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B365D"/>
          <w:sz w:val="48"/>
        </w:rPr>
        <w:t>SOFTWARE REQUIREMENTS SPECIFICATION</w:t>
      </w:r>
    </w:p>
    <w:p>
      <w:pPr>
        <w:spacing w:before="0" w:after="480"/>
        <w:jc w:val="center"/>
      </w:pPr>
      <w:r>
        <w:rPr>
          <w:rFonts w:ascii="Calibri" w:hAnsi="Calibri"/>
          <w:b/>
          <w:color w:val="2B6CB0"/>
          <w:sz w:val="28"/>
        </w:rPr>
        <w:t>FOR</w:t>
        <w:br/>
        <w:t>GENERATIVE AI ASSISTED TELEMEDICINE PLATFORM FOR PERSONALIZED GUT MICROBIOME ANALYSIS</w:t>
      </w:r>
    </w:p>
    <w:p>
      <w:pPr>
        <w:spacing w:before="240" w:after="720"/>
        <w:jc w:val="center"/>
      </w:pPr>
      <w:r>
        <w:rPr>
          <w:rFonts w:ascii="Calibri" w:hAnsi="Calibri"/>
          <w:b/>
          <w:color w:val="1B365D"/>
          <w:sz w:val="26"/>
        </w:rPr>
        <w:t>SYSTEM NAME: TeleMed</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PROJECT SPECIFICATION METADATA</w:t>
              <w:br/>
            </w:r>
            <w:r>
              <w:rPr>
                <w:rFonts w:ascii="Calibri" w:hAnsi="Calibri"/>
                <w:i/>
                <w:color w:val="1A202C"/>
                <w:sz w:val="19"/>
              </w:rPr>
              <w:t>DOCUMENT IDENTIFIER: SRS-TELEMED-2026-01</w:t>
              <w:br/>
              <w:t>ACADEMIC DEGREE: Bachelor of Technology (B.Tech) in Computer Science &amp; Engineering</w:t>
              <w:br/>
              <w:t>CURRICULUM STAGE: III Year / I Semester Major Project Requirement</w:t>
              <w:br/>
              <w:t>DEPARTMENT: Department of Computer Science &amp; Engineering</w:t>
              <w:br/>
              <w:t>DATE OF ISSUE: Academic Year 2025–2026</w:t>
              <w:br/>
              <w:t>SYSTEM STATUS: Production-Grade Research &amp; Decision-Support Prototype</w:t>
            </w:r>
          </w:p>
        </w:tc>
      </w:tr>
    </w:tbl>
    <w:p/>
    <w:p>
      <w:r>
        <w:br w:type="page"/>
      </w:r>
    </w:p>
    <w:p>
      <w:pPr>
        <w:keepNext/>
        <w:spacing w:before="280" w:after="120"/>
      </w:pPr>
      <w:r>
        <w:rPr>
          <w:rFonts w:ascii="Calibri" w:hAnsi="Calibri"/>
          <w:b/>
          <w:color w:val="1B365D"/>
          <w:sz w:val="32"/>
        </w:rPr>
        <w:t>1. ABSTRACT</w:t>
      </w:r>
    </w:p>
    <w:p>
      <w:pPr>
        <w:spacing w:before="0" w:after="100" w:line="276" w:lineRule="auto"/>
      </w:pPr>
      <w:r>
        <w:rPr>
          <w:rFonts w:ascii="Calibri" w:hAnsi="Calibri"/>
          <w:color w:val="1A202C"/>
          <w:sz w:val="21"/>
        </w:rPr>
        <w:t>TeleMed is an advanced AI-assisted telemedicine decision-support platform designed to address the fragmented nature of contemporary digital health systems. Traditional telemedicine frameworks rely almost exclusively on episodic clinical laboratory data, failing to synthesize continuous physiological telemetry from wearable sensors and metabolic multi-omics data from the human gut microbiome. TeleMed resolves this gap by providing a unified, multi-modal diagnostic engine that integrates three distinct health modalities: (1) Clinical Laboratory &amp; Biomarker Data (18 features), (2) Continuous Wearable &amp; Continuous Glucose Monitoring (CGM) Telemetry (15 features), and (3) 16S rRNA / Metagenomic Gut Microbiome Profiles (40 bacterial taxa and 9 derived ecological/functional indices).</w:t>
      </w:r>
    </w:p>
    <w:p>
      <w:pPr>
        <w:spacing w:before="0" w:after="100" w:line="276" w:lineRule="auto"/>
      </w:pPr>
      <w:r>
        <w:rPr>
          <w:rFonts w:ascii="Calibri" w:hAnsi="Calibri"/>
          <w:color w:val="1A202C"/>
          <w:sz w:val="21"/>
        </w:rPr>
        <w:t>The architecture incorporates three specialized modality-specific Machine Learning expert models—a CatBoost Clinical Expert, an XGBoost Wearable/CGM Expert, and a CatBoost Gut Microbiome Expert. These experts execute modality-level feature processing and pass their risk estimates into an adaptive Stacking/Fusion Meta-Learner. The fusion engine dynamically evaluates available patient modalities across seven complete and partial input combinations, producing multi-label risk probability scores for five interrelated cardiometabolic and liver conditions: Type 2 Diabetes, Prediabetes, High Adiposity Risk, Metabolic Syndrome, and Non-Alcoholic Fatty Liver Disease (NAFLD).</w:t>
      </w:r>
    </w:p>
    <w:p>
      <w:pPr>
        <w:spacing w:before="0" w:after="100" w:line="276" w:lineRule="auto"/>
      </w:pPr>
      <w:r>
        <w:rPr>
          <w:rFonts w:ascii="Calibri" w:hAnsi="Calibri"/>
          <w:color w:val="1A202C"/>
          <w:sz w:val="21"/>
        </w:rPr>
        <w:t>To ensure transparency and clinical trust, TeleMed integrates TreeSHAP (SHapley Additive exPlanations) to compute exact game-theoretic feature attributions for every prediction. To bridge the gap between machine predictions and clinical utility, the system combines a Medical Retrieval-Augmented Generation (RAG) vector engine (utilizing FAISS embeddings of peer-reviewed clinical guidelines) with a Large Language Model (LLM) to generate personalized, evidence-grounded health reports for patients and reviewing physicians.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CLINICAL DECISION SUPPORT NOTICE</w:t>
              <w:br/>
            </w:r>
            <w:r>
              <w:rPr>
                <w:rFonts w:ascii="Calibri" w:hAnsi="Calibri"/>
                <w:i/>
                <w:color w:val="1A202C"/>
                <w:sz w:val="19"/>
              </w:rPr>
              <w:t>CRITICAL DISCLAIMER: TeleMed is designed strictly as an AI-assisted clinical decision-support research prototype. It does NOT perform autonomous medical diagnosis, prescribe pharmaceutical treatments, or replace qualified healthcare professionals. All predictions and AI-generated insights represent probabilistic risk estimates and must be interpreted by a certified physician.</w:t>
            </w:r>
          </w:p>
        </w:tc>
      </w:tr>
    </w:tbl>
    <w:p/>
    <w:p>
      <w:pPr>
        <w:keepNext/>
        <w:spacing w:before="280" w:after="120"/>
      </w:pPr>
      <w:r>
        <w:rPr>
          <w:rFonts w:ascii="Calibri" w:hAnsi="Calibri"/>
          <w:b/>
          <w:color w:val="1B365D"/>
          <w:sz w:val="32"/>
        </w:rPr>
        <w:t>2. INTRODUCTION</w:t>
      </w:r>
    </w:p>
    <w:p>
      <w:pPr>
        <w:keepNext/>
        <w:spacing w:before="200" w:after="80"/>
      </w:pPr>
      <w:r>
        <w:rPr>
          <w:rFonts w:ascii="Calibri" w:hAnsi="Calibri"/>
          <w:b/>
          <w:color w:val="2B6CB0"/>
          <w:sz w:val="26"/>
        </w:rPr>
        <w:t>2.1 Purpose</w:t>
      </w:r>
    </w:p>
    <w:p>
      <w:pPr>
        <w:spacing w:before="0" w:after="100" w:line="276" w:lineRule="auto"/>
      </w:pPr>
      <w:r>
        <w:rPr>
          <w:rFonts w:ascii="Calibri" w:hAnsi="Calibri"/>
          <w:color w:val="1A202C"/>
          <w:sz w:val="21"/>
        </w:rPr>
        <w:t>This Software Requirements Specification (SRS) document provides a complete, rigorous description of the functional, non-functional, architectural, data, and security requirements for the TeleMed platform. It serves as the authoritative baseline for software engineers, machine learning architects, quality assurance testers, academic faculty guides, and project stakeholders during system implementation, testing, and evaluation.</w:t>
      </w:r>
    </w:p>
    <w:p>
      <w:pPr>
        <w:keepNext/>
        <w:spacing w:before="200" w:after="80"/>
      </w:pPr>
      <w:r>
        <w:rPr>
          <w:rFonts w:ascii="Calibri" w:hAnsi="Calibri"/>
          <w:b/>
          <w:color w:val="2B6CB0"/>
          <w:sz w:val="26"/>
        </w:rPr>
        <w:t>2.2 Problem Statement</w:t>
      </w:r>
    </w:p>
    <w:p>
      <w:pPr>
        <w:spacing w:before="0" w:after="100" w:line="276" w:lineRule="auto"/>
      </w:pPr>
      <w:r>
        <w:rPr>
          <w:rFonts w:ascii="Calibri" w:hAnsi="Calibri"/>
          <w:color w:val="1A202C"/>
          <w:sz w:val="21"/>
        </w:rPr>
        <w:t>Cardiometabolic disorders—including Type 2 Diabetes, Metabolic Syndrome, and NAFLD—represent a global health crisis characterized by complex multifactorial etiology. Existing telemedicine platforms suffer from significant diagnostic silos:</w:t>
      </w:r>
    </w:p>
    <w:p>
      <w:pPr>
        <w:pStyle w:val="ListBullet"/>
        <w:spacing w:before="0" w:after="60" w:line="276" w:lineRule="auto"/>
      </w:pPr>
      <w:r>
        <w:rPr>
          <w:rFonts w:ascii="Calibri" w:hAnsi="Calibri"/>
          <w:b/>
          <w:color w:val="1A202C"/>
          <w:sz w:val="21"/>
        </w:rPr>
        <w:t xml:space="preserve">Episodic Snapshot Limitation: </w:t>
      </w:r>
      <w:r>
        <w:rPr>
          <w:rFonts w:ascii="Calibri" w:hAnsi="Calibri"/>
          <w:color w:val="1A202C"/>
          <w:sz w:val="21"/>
        </w:rPr>
        <w:t>Clinical laboratory panels provide vital snapshot biomarkers (e.g., HbA1c, Fasting Glucose, Lipid Panels) but lack temporal granularity.</w:t>
      </w:r>
    </w:p>
    <w:p>
      <w:pPr>
        <w:pStyle w:val="ListBullet"/>
        <w:spacing w:before="0" w:after="60" w:line="276" w:lineRule="auto"/>
      </w:pPr>
      <w:r>
        <w:rPr>
          <w:rFonts w:ascii="Calibri" w:hAnsi="Calibri"/>
          <w:b/>
          <w:color w:val="1A202C"/>
          <w:sz w:val="21"/>
        </w:rPr>
        <w:t xml:space="preserve">Sensor Telemetry Isolation: </w:t>
      </w:r>
      <w:r>
        <w:rPr>
          <w:rFonts w:ascii="Calibri" w:hAnsi="Calibri"/>
          <w:color w:val="1A202C"/>
          <w:sz w:val="21"/>
        </w:rPr>
        <w:t>Consumer wearables and CGMs track continuous glycemic variability and autonomic stress but lack biological context regarding organ function or gut dysbiosis.</w:t>
      </w:r>
    </w:p>
    <w:p>
      <w:pPr>
        <w:pStyle w:val="ListBullet"/>
        <w:spacing w:before="0" w:after="60" w:line="276" w:lineRule="auto"/>
      </w:pPr>
      <w:r>
        <w:rPr>
          <w:rFonts w:ascii="Calibri" w:hAnsi="Calibri"/>
          <w:b/>
          <w:color w:val="1A202C"/>
          <w:sz w:val="21"/>
        </w:rPr>
        <w:t xml:space="preserve">Multi-Omics Omission: </w:t>
      </w:r>
      <w:r>
        <w:rPr>
          <w:rFonts w:ascii="Calibri" w:hAnsi="Calibri"/>
          <w:color w:val="1A202C"/>
          <w:sz w:val="21"/>
        </w:rPr>
        <w:t>Gut microbiome sequencing offers deep insights into systemic inflammation and SCFA production but is rarely integrated into digital clinical workflows.</w:t>
      </w:r>
    </w:p>
    <w:p>
      <w:pPr>
        <w:spacing w:before="0" w:after="100" w:line="276" w:lineRule="auto"/>
      </w:pPr>
      <w:r>
        <w:rPr>
          <w:rFonts w:ascii="Calibri" w:hAnsi="Calibri"/>
          <w:color w:val="1A202C"/>
          <w:sz w:val="21"/>
        </w:rPr>
        <w:t>Combining these heterogeneous health modalities into a unified machine learning architecture allows for early risk detection, personalized lifestyle interventions, and evidence-grounded clinical decision support.</w:t>
      </w:r>
    </w:p>
    <w:p>
      <w:pPr>
        <w:keepNext/>
        <w:spacing w:before="200" w:after="80"/>
      </w:pPr>
      <w:r>
        <w:rPr>
          <w:rFonts w:ascii="Calibri" w:hAnsi="Calibri"/>
          <w:b/>
          <w:color w:val="2B6CB0"/>
          <w:sz w:val="26"/>
        </w:rPr>
        <w:t>2.3 Objectives</w:t>
      </w:r>
    </w:p>
    <w:p>
      <w:pPr>
        <w:spacing w:before="0" w:after="100" w:line="276" w:lineRule="auto"/>
      </w:pPr>
      <w:r>
        <w:rPr>
          <w:rFonts w:ascii="Calibri" w:hAnsi="Calibri"/>
          <w:color w:val="1A202C"/>
          <w:sz w:val="21"/>
        </w:rPr>
        <w:t>The primary objectives of the TeleMed platform include:</w:t>
      </w:r>
    </w:p>
    <w:p>
      <w:pPr>
        <w:pStyle w:val="ListBullet"/>
        <w:spacing w:before="0" w:after="60" w:line="276" w:lineRule="auto"/>
      </w:pPr>
      <w:r>
        <w:rPr>
          <w:rFonts w:ascii="Calibri" w:hAnsi="Calibri"/>
          <w:color w:val="1A202C"/>
          <w:sz w:val="21"/>
        </w:rPr>
        <w:t>Architect and implement a secure, scalable web platform for multi-modal health data ingestion.</w:t>
      </w:r>
    </w:p>
    <w:p>
      <w:pPr>
        <w:pStyle w:val="ListBullet"/>
        <w:spacing w:before="0" w:after="60" w:line="276" w:lineRule="auto"/>
      </w:pPr>
      <w:r>
        <w:rPr>
          <w:rFonts w:ascii="Calibri" w:hAnsi="Calibri"/>
          <w:color w:val="1A202C"/>
          <w:sz w:val="21"/>
        </w:rPr>
        <w:t>Develop modality-specific ML expert models for Clinical Data (CatBoost), Wearable Data (XGBoost), and Microbiome Data (CatBoost).</w:t>
      </w:r>
    </w:p>
    <w:p>
      <w:pPr>
        <w:pStyle w:val="ListBullet"/>
        <w:spacing w:before="0" w:after="60" w:line="276" w:lineRule="auto"/>
      </w:pPr>
      <w:r>
        <w:rPr>
          <w:rFonts w:ascii="Calibri" w:hAnsi="Calibri"/>
          <w:color w:val="1A202C"/>
          <w:sz w:val="21"/>
        </w:rPr>
        <w:t>Implement an adaptive 7-pathway Stacking Fusion Meta-Learner supporting complete and partial modality inputs.</w:t>
      </w:r>
    </w:p>
    <w:p>
      <w:pPr>
        <w:pStyle w:val="ListBullet"/>
        <w:spacing w:before="0" w:after="60" w:line="276" w:lineRule="auto"/>
      </w:pPr>
      <w:r>
        <w:rPr>
          <w:rFonts w:ascii="Calibri" w:hAnsi="Calibri"/>
          <w:color w:val="1A202C"/>
          <w:sz w:val="21"/>
        </w:rPr>
        <w:t>Predict multi-label risk probabilities across 5 target conditions (Type 2 Diabetes, Prediabetes, Adiposity, Metabolic Syndrome, NAFLD).</w:t>
      </w:r>
    </w:p>
    <w:p>
      <w:pPr>
        <w:pStyle w:val="ListBullet"/>
        <w:spacing w:before="0" w:after="60" w:line="276" w:lineRule="auto"/>
      </w:pPr>
      <w:r>
        <w:rPr>
          <w:rFonts w:ascii="Calibri" w:hAnsi="Calibri"/>
          <w:color w:val="1A202C"/>
          <w:sz w:val="21"/>
        </w:rPr>
        <w:t>Incorporate TreeSHAP game-theoretic explainability to output precise global and local feature importance attributions.</w:t>
      </w:r>
    </w:p>
    <w:p>
      <w:pPr>
        <w:pStyle w:val="ListBullet"/>
        <w:spacing w:before="0" w:after="60" w:line="276" w:lineRule="auto"/>
      </w:pPr>
      <w:r>
        <w:rPr>
          <w:rFonts w:ascii="Calibri" w:hAnsi="Calibri"/>
          <w:color w:val="1A202C"/>
          <w:sz w:val="21"/>
        </w:rPr>
        <w:t>Integrate a Medical RAG vector search engine (FAISS) grounded in peer-reviewed clinical guidelines.</w:t>
      </w:r>
    </w:p>
    <w:p>
      <w:pPr>
        <w:pStyle w:val="ListBullet"/>
        <w:spacing w:before="0" w:after="60" w:line="276" w:lineRule="auto"/>
      </w:pPr>
      <w:r>
        <w:rPr>
          <w:rFonts w:ascii="Calibri" w:hAnsi="Calibri"/>
          <w:color w:val="1A202C"/>
          <w:sz w:val="21"/>
        </w:rPr>
        <w:t>Deploy Generative AI (LLM) report synthesis with automated safety validation guardrails.</w:t>
      </w:r>
    </w:p>
    <w:p>
      <w:pPr>
        <w:pStyle w:val="ListBullet"/>
        <w:spacing w:before="0" w:after="60" w:line="276" w:lineRule="auto"/>
      </w:pPr>
      <w:r>
        <w:rPr>
          <w:rFonts w:ascii="Calibri" w:hAnsi="Calibri"/>
          <w:color w:val="1A202C"/>
          <w:sz w:val="21"/>
        </w:rPr>
        <w:t>Provide dedicated Patient, Doctor, and Administrator portals with Role-Based Access Control (RBAC).</w:t>
      </w:r>
    </w:p>
    <w:p>
      <w:pPr>
        <w:pStyle w:val="ListBullet"/>
        <w:spacing w:before="0" w:after="60" w:line="276" w:lineRule="auto"/>
      </w:pPr>
      <w:r>
        <w:rPr>
          <w:rFonts w:ascii="Calibri" w:hAnsi="Calibri"/>
          <w:color w:val="1A202C"/>
          <w:sz w:val="21"/>
        </w:rPr>
        <w:t>Generate standardized, downloadable PDF clinical summary reports for patient records.</w:t>
      </w:r>
    </w:p>
    <w:p>
      <w:pPr>
        <w:pStyle w:val="ListBullet"/>
        <w:spacing w:before="0" w:after="60" w:line="276" w:lineRule="auto"/>
      </w:pPr>
      <w:r>
        <w:rPr>
          <w:rFonts w:ascii="Calibri" w:hAnsi="Calibri"/>
          <w:color w:val="1A202C"/>
          <w:sz w:val="21"/>
        </w:rPr>
        <w:t>Maintain immutable assessment history and audit logging for operational governance.</w:t>
      </w:r>
    </w:p>
    <w:p>
      <w:pPr>
        <w:pStyle w:val="ListBullet"/>
        <w:spacing w:before="0" w:after="60" w:line="276" w:lineRule="auto"/>
      </w:pPr>
      <w:r>
        <w:rPr>
          <w:rFonts w:ascii="Calibri" w:hAnsi="Calibri"/>
          <w:color w:val="1A202C"/>
          <w:sz w:val="21"/>
        </w:rPr>
        <w:t>Establish containerized microservices deployment using Docker Compose and PostgreSQL 17.</w:t>
      </w:r>
    </w:p>
    <w:p>
      <w:pPr>
        <w:pStyle w:val="ListBullet"/>
        <w:spacing w:before="0" w:after="60" w:line="276" w:lineRule="auto"/>
      </w:pPr>
      <w:r>
        <w:rPr>
          <w:rFonts w:ascii="Calibri" w:hAnsi="Calibri"/>
          <w:color w:val="1A202C"/>
          <w:sz w:val="21"/>
        </w:rPr>
        <w:t>Ensure full academic rigor and software engineering excellence for III/I B.Tech evaluation.</w:t>
      </w:r>
    </w:p>
    <w:p>
      <w:pPr>
        <w:keepNext/>
        <w:spacing w:before="200" w:after="80"/>
      </w:pPr>
      <w:r>
        <w:rPr>
          <w:rFonts w:ascii="Calibri" w:hAnsi="Calibri"/>
          <w:b/>
          <w:color w:val="2B6CB0"/>
          <w:sz w:val="26"/>
        </w:rPr>
        <w:t>2.4 Scope</w:t>
      </w:r>
    </w:p>
    <w:p>
      <w:pPr>
        <w:spacing w:before="0" w:after="100" w:line="276" w:lineRule="auto"/>
      </w:pPr>
      <w:r>
        <w:rPr>
          <w:rFonts w:ascii="Calibri" w:hAnsi="Calibri"/>
          <w:color w:val="1A202C"/>
          <w:sz w:val="21"/>
        </w:rPr>
        <w:t>The scope of the TeleMed system is demarcated into clear operational boundaries:</w:t>
      </w:r>
    </w:p>
    <w:p>
      <w:pPr>
        <w:spacing w:before="0" w:after="100" w:line="276" w:lineRule="auto"/>
      </w:pPr>
      <w:r>
        <w:rPr>
          <w:rFonts w:ascii="Calibri" w:hAnsi="Calibri"/>
          <w:b/>
          <w:color w:val="1A202C"/>
          <w:sz w:val="21"/>
        </w:rPr>
        <w:t xml:space="preserve">In-Scope Boundaries: </w:t>
      </w:r>
      <w:r>
        <w:rPr>
          <w:rFonts w:ascii="Calibri" w:hAnsi="Calibri"/>
          <w:color w:val="1A202C"/>
          <w:sz w:val="21"/>
        </w:rPr>
        <w:t>User authentication (JWT/Session), profile management, file upload parsing (PDF/CSV/JSON), unit normalization, physiological bounds validation, 3 ML expert models, 7-pathway fusion, TreeSHAP explanations, FAISS RAG evidence retrieval, LLM report generation, PDF rendering, doctor review workflows, audit logging, and Docker containerization.</w:t>
      </w:r>
    </w:p>
    <w:p>
      <w:pPr>
        <w:spacing w:before="0" w:after="100" w:line="276" w:lineRule="auto"/>
      </w:pPr>
      <w:r>
        <w:rPr>
          <w:rFonts w:ascii="Calibri" w:hAnsi="Calibri"/>
          <w:b/>
          <w:color w:val="1A202C"/>
          <w:sz w:val="21"/>
        </w:rPr>
        <w:t xml:space="preserve">Out-of-Scope Boundaries: </w:t>
      </w:r>
      <w:r>
        <w:rPr>
          <w:rFonts w:ascii="Calibri" w:hAnsi="Calibri"/>
          <w:color w:val="1A202C"/>
          <w:sz w:val="21"/>
        </w:rPr>
        <w:t>Autonomous clinical prescription, independent medical diagnosis without doctor oversight, direct hardware Bluetooth syncing, prospective human clinical trial validation, and emergency life-support triage.</w:t>
      </w:r>
    </w:p>
    <w:p>
      <w:pPr>
        <w:keepNext/>
        <w:spacing w:before="280" w:after="120"/>
      </w:pPr>
      <w:r>
        <w:rPr>
          <w:rFonts w:ascii="Calibri" w:hAnsi="Calibri"/>
          <w:b/>
          <w:color w:val="1B365D"/>
          <w:sz w:val="32"/>
        </w:rPr>
        <w:t>3. FUNCTIONAL REQUIREMENTS</w:t>
      </w:r>
    </w:p>
    <w:p>
      <w:pPr>
        <w:spacing w:before="0" w:after="100" w:line="276" w:lineRule="auto"/>
      </w:pPr>
      <w:r>
        <w:rPr>
          <w:rFonts w:ascii="Calibri" w:hAnsi="Calibri"/>
          <w:color w:val="1A202C"/>
          <w:sz w:val="21"/>
        </w:rPr>
        <w:t>The functional requirements define the explicit capabilities and behaviors that TeleMed must execute: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1B365D"/>
            <w:tcMar>
              <w:top w:w="100" w:type="dxa"/>
              <w:bottom w:w="100" w:type="dxa"/>
              <w:left w:w="120" w:type="dxa"/>
              <w:right w:w="120" w:type="dxa"/>
            </w:tcMar>
          </w:tcPr>
          <w:p>
            <w:pPr>
              <w:jc w:val="left"/>
            </w:pPr>
            <w:r>
              <w:rPr>
                <w:rFonts w:ascii="Calibri" w:hAnsi="Calibri"/>
                <w:b/>
                <w:color w:val="FFFFFF"/>
                <w:sz w:val="19"/>
              </w:rPr>
              <w:t>Req ID</w:t>
            </w:r>
          </w:p>
        </w:tc>
        <w:tc>
          <w:tcPr>
            <w:tcW w:type="dxa" w:w="2304"/>
            <w:shd w:fill="1B365D"/>
            <w:tcMar>
              <w:top w:w="100" w:type="dxa"/>
              <w:bottom w:w="100" w:type="dxa"/>
              <w:left w:w="120" w:type="dxa"/>
              <w:right w:w="120" w:type="dxa"/>
            </w:tcMar>
          </w:tcPr>
          <w:p>
            <w:pPr>
              <w:jc w:val="left"/>
            </w:pPr>
            <w:r>
              <w:rPr>
                <w:rFonts w:ascii="Calibri" w:hAnsi="Calibri"/>
                <w:b/>
                <w:color w:val="FFFFFF"/>
                <w:sz w:val="19"/>
              </w:rPr>
              <w:t>Requirement Name</w:t>
            </w:r>
          </w:p>
        </w:tc>
        <w:tc>
          <w:tcPr>
            <w:tcW w:type="dxa" w:w="3168"/>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2448"/>
            <w:shd w:fill="1B365D"/>
            <w:tcMar>
              <w:top w:w="100" w:type="dxa"/>
              <w:bottom w:w="100" w:type="dxa"/>
              <w:left w:w="120" w:type="dxa"/>
              <w:right w:w="120" w:type="dxa"/>
            </w:tcMar>
          </w:tcPr>
          <w:p>
            <w:pPr>
              <w:jc w:val="left"/>
            </w:pPr>
            <w:r>
              <w:rPr>
                <w:rFonts w:ascii="Calibri" w:hAnsi="Calibri"/>
                <w:b/>
                <w:color w:val="FFFFFF"/>
                <w:sz w:val="19"/>
              </w:rPr>
              <w:t>Expected System Behavior</w:t>
            </w:r>
          </w:p>
        </w:tc>
      </w:tr>
      <w:tr>
        <w:tc>
          <w:tcPr>
            <w:tcW w:type="dxa" w:w="1440"/>
            <w:shd w:fill="FFFFFF"/>
            <w:tcMar>
              <w:top w:w="80" w:type="dxa"/>
              <w:bottom w:w="80" w:type="dxa"/>
              <w:left w:w="120" w:type="dxa"/>
              <w:right w:w="120" w:type="dxa"/>
            </w:tcMar>
          </w:tcPr>
          <w:p>
            <w:r>
              <w:rPr>
                <w:rFonts w:ascii="Calibri" w:hAnsi="Calibri"/>
                <w:color w:val="1A202C"/>
                <w:sz w:val="18"/>
              </w:rPr>
              <w:t>FR-01</w:t>
            </w:r>
          </w:p>
        </w:tc>
        <w:tc>
          <w:tcPr>
            <w:tcW w:type="dxa" w:w="2304"/>
            <w:shd w:fill="FFFFFF"/>
            <w:tcMar>
              <w:top w:w="80" w:type="dxa"/>
              <w:bottom w:w="80" w:type="dxa"/>
              <w:left w:w="120" w:type="dxa"/>
              <w:right w:w="120" w:type="dxa"/>
            </w:tcMar>
          </w:tcPr>
          <w:p>
            <w:r>
              <w:rPr>
                <w:rFonts w:ascii="Calibri" w:hAnsi="Calibri"/>
                <w:color w:val="1A202C"/>
                <w:sz w:val="18"/>
              </w:rPr>
              <w:t>User Registration</w:t>
            </w:r>
          </w:p>
        </w:tc>
        <w:tc>
          <w:tcPr>
            <w:tcW w:type="dxa" w:w="3168"/>
            <w:shd w:fill="FFFFFF"/>
            <w:tcMar>
              <w:top w:w="80" w:type="dxa"/>
              <w:bottom w:w="80" w:type="dxa"/>
              <w:left w:w="120" w:type="dxa"/>
              <w:right w:w="120" w:type="dxa"/>
            </w:tcMar>
          </w:tcPr>
          <w:p>
            <w:r>
              <w:rPr>
                <w:rFonts w:ascii="Calibri" w:hAnsi="Calibri"/>
                <w:color w:val="1A202C"/>
                <w:sz w:val="18"/>
              </w:rPr>
              <w:t>Allow Patients and Doctors to register accounts.</w:t>
            </w:r>
          </w:p>
        </w:tc>
        <w:tc>
          <w:tcPr>
            <w:tcW w:type="dxa" w:w="2448"/>
            <w:shd w:fill="FFFFFF"/>
            <w:tcMar>
              <w:top w:w="80" w:type="dxa"/>
              <w:bottom w:w="80" w:type="dxa"/>
              <w:left w:w="120" w:type="dxa"/>
              <w:right w:w="120" w:type="dxa"/>
            </w:tcMar>
          </w:tcPr>
          <w:p>
            <w:r>
              <w:rPr>
                <w:rFonts w:ascii="Calibri" w:hAnsi="Calibri"/>
                <w:color w:val="1A202C"/>
                <w:sz w:val="18"/>
              </w:rPr>
              <w:t>Creates user entity, hashes password, initializes role profile.</w:t>
            </w:r>
          </w:p>
        </w:tc>
      </w:tr>
      <w:tr>
        <w:tc>
          <w:tcPr>
            <w:tcW w:type="dxa" w:w="1440"/>
            <w:shd w:fill="F7FAFC"/>
            <w:tcMar>
              <w:top w:w="80" w:type="dxa"/>
              <w:bottom w:w="80" w:type="dxa"/>
              <w:left w:w="120" w:type="dxa"/>
              <w:right w:w="120" w:type="dxa"/>
            </w:tcMar>
          </w:tcPr>
          <w:p>
            <w:r>
              <w:rPr>
                <w:rFonts w:ascii="Calibri" w:hAnsi="Calibri"/>
                <w:color w:val="1A202C"/>
                <w:sz w:val="18"/>
              </w:rPr>
              <w:t>FR-02</w:t>
            </w:r>
          </w:p>
        </w:tc>
        <w:tc>
          <w:tcPr>
            <w:tcW w:type="dxa" w:w="2304"/>
            <w:shd w:fill="F7FAFC"/>
            <w:tcMar>
              <w:top w:w="80" w:type="dxa"/>
              <w:bottom w:w="80" w:type="dxa"/>
              <w:left w:w="120" w:type="dxa"/>
              <w:right w:w="120" w:type="dxa"/>
            </w:tcMar>
          </w:tcPr>
          <w:p>
            <w:r>
              <w:rPr>
                <w:rFonts w:ascii="Calibri" w:hAnsi="Calibri"/>
                <w:color w:val="1A202C"/>
                <w:sz w:val="18"/>
              </w:rPr>
              <w:t>User Authentication</w:t>
            </w:r>
          </w:p>
        </w:tc>
        <w:tc>
          <w:tcPr>
            <w:tcW w:type="dxa" w:w="3168"/>
            <w:shd w:fill="F7FAFC"/>
            <w:tcMar>
              <w:top w:w="80" w:type="dxa"/>
              <w:bottom w:w="80" w:type="dxa"/>
              <w:left w:w="120" w:type="dxa"/>
              <w:right w:w="120" w:type="dxa"/>
            </w:tcMar>
          </w:tcPr>
          <w:p>
            <w:r>
              <w:rPr>
                <w:rFonts w:ascii="Calibri" w:hAnsi="Calibri"/>
                <w:color w:val="1A202C"/>
                <w:sz w:val="18"/>
              </w:rPr>
              <w:t>Authenticate users via email and password.</w:t>
            </w:r>
          </w:p>
        </w:tc>
        <w:tc>
          <w:tcPr>
            <w:tcW w:type="dxa" w:w="2448"/>
            <w:shd w:fill="F7FAFC"/>
            <w:tcMar>
              <w:top w:w="80" w:type="dxa"/>
              <w:bottom w:w="80" w:type="dxa"/>
              <w:left w:w="120" w:type="dxa"/>
              <w:right w:w="120" w:type="dxa"/>
            </w:tcMar>
          </w:tcPr>
          <w:p>
            <w:r>
              <w:rPr>
                <w:rFonts w:ascii="Calibri" w:hAnsi="Calibri"/>
                <w:color w:val="1A202C"/>
                <w:sz w:val="18"/>
              </w:rPr>
              <w:t>Validates credentials, issues JWT access/refresh tokens and HTTP cookies.</w:t>
            </w:r>
          </w:p>
        </w:tc>
      </w:tr>
      <w:tr>
        <w:tc>
          <w:tcPr>
            <w:tcW w:type="dxa" w:w="1440"/>
            <w:shd w:fill="FFFFFF"/>
            <w:tcMar>
              <w:top w:w="80" w:type="dxa"/>
              <w:bottom w:w="80" w:type="dxa"/>
              <w:left w:w="120" w:type="dxa"/>
              <w:right w:w="120" w:type="dxa"/>
            </w:tcMar>
          </w:tcPr>
          <w:p>
            <w:r>
              <w:rPr>
                <w:rFonts w:ascii="Calibri" w:hAnsi="Calibri"/>
                <w:color w:val="1A202C"/>
                <w:sz w:val="18"/>
              </w:rPr>
              <w:t>FR-03</w:t>
            </w:r>
          </w:p>
        </w:tc>
        <w:tc>
          <w:tcPr>
            <w:tcW w:type="dxa" w:w="2304"/>
            <w:shd w:fill="FFFFFF"/>
            <w:tcMar>
              <w:top w:w="80" w:type="dxa"/>
              <w:bottom w:w="80" w:type="dxa"/>
              <w:left w:w="120" w:type="dxa"/>
              <w:right w:w="120" w:type="dxa"/>
            </w:tcMar>
          </w:tcPr>
          <w:p>
            <w:r>
              <w:rPr>
                <w:rFonts w:ascii="Calibri" w:hAnsi="Calibri"/>
                <w:color w:val="1A202C"/>
                <w:sz w:val="18"/>
              </w:rPr>
              <w:t>Role-Based Access Control</w:t>
            </w:r>
          </w:p>
        </w:tc>
        <w:tc>
          <w:tcPr>
            <w:tcW w:type="dxa" w:w="3168"/>
            <w:shd w:fill="FFFFFF"/>
            <w:tcMar>
              <w:top w:w="80" w:type="dxa"/>
              <w:bottom w:w="80" w:type="dxa"/>
              <w:left w:w="120" w:type="dxa"/>
              <w:right w:w="120" w:type="dxa"/>
            </w:tcMar>
          </w:tcPr>
          <w:p>
            <w:r>
              <w:rPr>
                <w:rFonts w:ascii="Calibri" w:hAnsi="Calibri"/>
                <w:color w:val="1A202C"/>
                <w:sz w:val="18"/>
              </w:rPr>
              <w:t>Enforce RBAC boundaries (Patient, Doctor, Admin).</w:t>
            </w:r>
          </w:p>
        </w:tc>
        <w:tc>
          <w:tcPr>
            <w:tcW w:type="dxa" w:w="2448"/>
            <w:shd w:fill="FFFFFF"/>
            <w:tcMar>
              <w:top w:w="80" w:type="dxa"/>
              <w:bottom w:w="80" w:type="dxa"/>
              <w:left w:w="120" w:type="dxa"/>
              <w:right w:w="120" w:type="dxa"/>
            </w:tcMar>
          </w:tcPr>
          <w:p>
            <w:r>
              <w:rPr>
                <w:rFonts w:ascii="Calibri" w:hAnsi="Calibri"/>
                <w:color w:val="1A202C"/>
                <w:sz w:val="18"/>
              </w:rPr>
              <w:t>Blocks unauthorized endpoint access based on role permissions.</w:t>
            </w:r>
          </w:p>
        </w:tc>
      </w:tr>
      <w:tr>
        <w:tc>
          <w:tcPr>
            <w:tcW w:type="dxa" w:w="1440"/>
            <w:shd w:fill="F7FAFC"/>
            <w:tcMar>
              <w:top w:w="80" w:type="dxa"/>
              <w:bottom w:w="80" w:type="dxa"/>
              <w:left w:w="120" w:type="dxa"/>
              <w:right w:w="120" w:type="dxa"/>
            </w:tcMar>
          </w:tcPr>
          <w:p>
            <w:r>
              <w:rPr>
                <w:rFonts w:ascii="Calibri" w:hAnsi="Calibri"/>
                <w:color w:val="1A202C"/>
                <w:sz w:val="18"/>
              </w:rPr>
              <w:t>FR-04</w:t>
            </w:r>
          </w:p>
        </w:tc>
        <w:tc>
          <w:tcPr>
            <w:tcW w:type="dxa" w:w="2304"/>
            <w:shd w:fill="F7FAFC"/>
            <w:tcMar>
              <w:top w:w="80" w:type="dxa"/>
              <w:bottom w:w="80" w:type="dxa"/>
              <w:left w:w="120" w:type="dxa"/>
              <w:right w:w="120" w:type="dxa"/>
            </w:tcMar>
          </w:tcPr>
          <w:p>
            <w:r>
              <w:rPr>
                <w:rFonts w:ascii="Calibri" w:hAnsi="Calibri"/>
                <w:color w:val="1A202C"/>
                <w:sz w:val="18"/>
              </w:rPr>
              <w:t>Patient Profile</w:t>
            </w:r>
          </w:p>
        </w:tc>
        <w:tc>
          <w:tcPr>
            <w:tcW w:type="dxa" w:w="3168"/>
            <w:shd w:fill="F7FAFC"/>
            <w:tcMar>
              <w:top w:w="80" w:type="dxa"/>
              <w:bottom w:w="80" w:type="dxa"/>
              <w:left w:w="120" w:type="dxa"/>
              <w:right w:w="120" w:type="dxa"/>
            </w:tcMar>
          </w:tcPr>
          <w:p>
            <w:r>
              <w:rPr>
                <w:rFonts w:ascii="Calibri" w:hAnsi="Calibri"/>
                <w:color w:val="1A202C"/>
                <w:sz w:val="18"/>
              </w:rPr>
              <w:t>Maintain demographic and anthropometric records.</w:t>
            </w:r>
          </w:p>
        </w:tc>
        <w:tc>
          <w:tcPr>
            <w:tcW w:type="dxa" w:w="2448"/>
            <w:shd w:fill="F7FAFC"/>
            <w:tcMar>
              <w:top w:w="80" w:type="dxa"/>
              <w:bottom w:w="80" w:type="dxa"/>
              <w:left w:w="120" w:type="dxa"/>
              <w:right w:w="120" w:type="dxa"/>
            </w:tcMar>
          </w:tcPr>
          <w:p>
            <w:r>
              <w:rPr>
                <w:rFonts w:ascii="Calibri" w:hAnsi="Calibri"/>
                <w:color w:val="1A202C"/>
                <w:sz w:val="18"/>
              </w:rPr>
              <w:t>Stores and calculates derived metrics such as BMI from height/weight.</w:t>
            </w:r>
          </w:p>
        </w:tc>
      </w:tr>
      <w:tr>
        <w:tc>
          <w:tcPr>
            <w:tcW w:type="dxa" w:w="1440"/>
            <w:shd w:fill="FFFFFF"/>
            <w:tcMar>
              <w:top w:w="80" w:type="dxa"/>
              <w:bottom w:w="80" w:type="dxa"/>
              <w:left w:w="120" w:type="dxa"/>
              <w:right w:w="120" w:type="dxa"/>
            </w:tcMar>
          </w:tcPr>
          <w:p>
            <w:r>
              <w:rPr>
                <w:rFonts w:ascii="Calibri" w:hAnsi="Calibri"/>
                <w:color w:val="1A202C"/>
                <w:sz w:val="18"/>
              </w:rPr>
              <w:t>FR-05</w:t>
            </w:r>
          </w:p>
        </w:tc>
        <w:tc>
          <w:tcPr>
            <w:tcW w:type="dxa" w:w="2304"/>
            <w:shd w:fill="FFFFFF"/>
            <w:tcMar>
              <w:top w:w="80" w:type="dxa"/>
              <w:bottom w:w="80" w:type="dxa"/>
              <w:left w:w="120" w:type="dxa"/>
              <w:right w:w="120" w:type="dxa"/>
            </w:tcMar>
          </w:tcPr>
          <w:p>
            <w:r>
              <w:rPr>
                <w:rFonts w:ascii="Calibri" w:hAnsi="Calibri"/>
                <w:color w:val="1A202C"/>
                <w:sz w:val="18"/>
              </w:rPr>
              <w:t>Clinical Input</w:t>
            </w:r>
          </w:p>
        </w:tc>
        <w:tc>
          <w:tcPr>
            <w:tcW w:type="dxa" w:w="3168"/>
            <w:shd w:fill="FFFFFF"/>
            <w:tcMar>
              <w:top w:w="80" w:type="dxa"/>
              <w:bottom w:w="80" w:type="dxa"/>
              <w:left w:w="120" w:type="dxa"/>
              <w:right w:w="120" w:type="dxa"/>
            </w:tcMar>
          </w:tcPr>
          <w:p>
            <w:r>
              <w:rPr>
                <w:rFonts w:ascii="Calibri" w:hAnsi="Calibri"/>
                <w:color w:val="1A202C"/>
                <w:sz w:val="18"/>
              </w:rPr>
              <w:t>Ingest 18 clinical laboratory biomarkers.</w:t>
            </w:r>
          </w:p>
        </w:tc>
        <w:tc>
          <w:tcPr>
            <w:tcW w:type="dxa" w:w="2448"/>
            <w:shd w:fill="FFFFFF"/>
            <w:tcMar>
              <w:top w:w="80" w:type="dxa"/>
              <w:bottom w:w="80" w:type="dxa"/>
              <w:left w:w="120" w:type="dxa"/>
              <w:right w:w="120" w:type="dxa"/>
            </w:tcMar>
          </w:tcPr>
          <w:p>
            <w:r>
              <w:rPr>
                <w:rFonts w:ascii="Calibri" w:hAnsi="Calibri"/>
                <w:color w:val="1A202C"/>
                <w:sz w:val="18"/>
              </w:rPr>
              <w:t>Validates numeric inputs against physiological boundaries.</w:t>
            </w:r>
          </w:p>
        </w:tc>
      </w:tr>
      <w:tr>
        <w:tc>
          <w:tcPr>
            <w:tcW w:type="dxa" w:w="1440"/>
            <w:shd w:fill="F7FAFC"/>
            <w:tcMar>
              <w:top w:w="80" w:type="dxa"/>
              <w:bottom w:w="80" w:type="dxa"/>
              <w:left w:w="120" w:type="dxa"/>
              <w:right w:w="120" w:type="dxa"/>
            </w:tcMar>
          </w:tcPr>
          <w:p>
            <w:r>
              <w:rPr>
                <w:rFonts w:ascii="Calibri" w:hAnsi="Calibri"/>
                <w:color w:val="1A202C"/>
                <w:sz w:val="18"/>
              </w:rPr>
              <w:t>FR-06</w:t>
            </w:r>
          </w:p>
        </w:tc>
        <w:tc>
          <w:tcPr>
            <w:tcW w:type="dxa" w:w="2304"/>
            <w:shd w:fill="F7FAFC"/>
            <w:tcMar>
              <w:top w:w="80" w:type="dxa"/>
              <w:bottom w:w="80" w:type="dxa"/>
              <w:left w:w="120" w:type="dxa"/>
              <w:right w:w="120" w:type="dxa"/>
            </w:tcMar>
          </w:tcPr>
          <w:p>
            <w:r>
              <w:rPr>
                <w:rFonts w:ascii="Calibri" w:hAnsi="Calibri"/>
                <w:color w:val="1A202C"/>
                <w:sz w:val="18"/>
              </w:rPr>
              <w:t>Wearable/CGM Input</w:t>
            </w:r>
          </w:p>
        </w:tc>
        <w:tc>
          <w:tcPr>
            <w:tcW w:type="dxa" w:w="3168"/>
            <w:shd w:fill="F7FAFC"/>
            <w:tcMar>
              <w:top w:w="80" w:type="dxa"/>
              <w:bottom w:w="80" w:type="dxa"/>
              <w:left w:w="120" w:type="dxa"/>
              <w:right w:w="120" w:type="dxa"/>
            </w:tcMar>
          </w:tcPr>
          <w:p>
            <w:r>
              <w:rPr>
                <w:rFonts w:ascii="Calibri" w:hAnsi="Calibri"/>
                <w:color w:val="1A202C"/>
                <w:sz w:val="18"/>
              </w:rPr>
              <w:t>Ingest 15 wearable sensor &amp; CGM features.</w:t>
            </w:r>
          </w:p>
        </w:tc>
        <w:tc>
          <w:tcPr>
            <w:tcW w:type="dxa" w:w="2448"/>
            <w:shd w:fill="F7FAFC"/>
            <w:tcMar>
              <w:top w:w="80" w:type="dxa"/>
              <w:bottom w:w="80" w:type="dxa"/>
              <w:left w:w="120" w:type="dxa"/>
              <w:right w:w="120" w:type="dxa"/>
            </w:tcMar>
          </w:tcPr>
          <w:p>
            <w:r>
              <w:rPr>
                <w:rFonts w:ascii="Calibri" w:hAnsi="Calibri"/>
                <w:color w:val="1A202C"/>
                <w:sz w:val="18"/>
              </w:rPr>
              <w:t>Parses CSV telemetry files and populates wearable feature tensor.</w:t>
            </w:r>
          </w:p>
        </w:tc>
      </w:tr>
      <w:tr>
        <w:tc>
          <w:tcPr>
            <w:tcW w:type="dxa" w:w="1440"/>
            <w:shd w:fill="FFFFFF"/>
            <w:tcMar>
              <w:top w:w="80" w:type="dxa"/>
              <w:bottom w:w="80" w:type="dxa"/>
              <w:left w:w="120" w:type="dxa"/>
              <w:right w:w="120" w:type="dxa"/>
            </w:tcMar>
          </w:tcPr>
          <w:p>
            <w:r>
              <w:rPr>
                <w:rFonts w:ascii="Calibri" w:hAnsi="Calibri"/>
                <w:color w:val="1A202C"/>
                <w:sz w:val="18"/>
              </w:rPr>
              <w:t>FR-07</w:t>
            </w:r>
          </w:p>
        </w:tc>
        <w:tc>
          <w:tcPr>
            <w:tcW w:type="dxa" w:w="2304"/>
            <w:shd w:fill="FFFFFF"/>
            <w:tcMar>
              <w:top w:w="80" w:type="dxa"/>
              <w:bottom w:w="80" w:type="dxa"/>
              <w:left w:w="120" w:type="dxa"/>
              <w:right w:w="120" w:type="dxa"/>
            </w:tcMar>
          </w:tcPr>
          <w:p>
            <w:r>
              <w:rPr>
                <w:rFonts w:ascii="Calibri" w:hAnsi="Calibri"/>
                <w:color w:val="1A202C"/>
                <w:sz w:val="18"/>
              </w:rPr>
              <w:t>Microbiome Input</w:t>
            </w:r>
          </w:p>
        </w:tc>
        <w:tc>
          <w:tcPr>
            <w:tcW w:type="dxa" w:w="3168"/>
            <w:shd w:fill="FFFFFF"/>
            <w:tcMar>
              <w:top w:w="80" w:type="dxa"/>
              <w:bottom w:w="80" w:type="dxa"/>
              <w:left w:w="120" w:type="dxa"/>
              <w:right w:w="120" w:type="dxa"/>
            </w:tcMar>
          </w:tcPr>
          <w:p>
            <w:r>
              <w:rPr>
                <w:rFonts w:ascii="Calibri" w:hAnsi="Calibri"/>
                <w:color w:val="1A202C"/>
                <w:sz w:val="18"/>
              </w:rPr>
              <w:t>Ingest 40 bacterial taxa &amp; 9 derived indices.</w:t>
            </w:r>
          </w:p>
        </w:tc>
        <w:tc>
          <w:tcPr>
            <w:tcW w:type="dxa" w:w="2448"/>
            <w:shd w:fill="FFFFFF"/>
            <w:tcMar>
              <w:top w:w="80" w:type="dxa"/>
              <w:bottom w:w="80" w:type="dxa"/>
              <w:left w:w="120" w:type="dxa"/>
              <w:right w:w="120" w:type="dxa"/>
            </w:tcMar>
          </w:tcPr>
          <w:p>
            <w:r>
              <w:rPr>
                <w:rFonts w:ascii="Calibri" w:hAnsi="Calibri"/>
                <w:color w:val="1A202C"/>
                <w:sz w:val="18"/>
              </w:rPr>
              <w:t>Validates relative abundance sum and computes ecological diversity.</w:t>
            </w:r>
          </w:p>
        </w:tc>
      </w:tr>
      <w:tr>
        <w:tc>
          <w:tcPr>
            <w:tcW w:type="dxa" w:w="1440"/>
            <w:shd w:fill="F7FAFC"/>
            <w:tcMar>
              <w:top w:w="80" w:type="dxa"/>
              <w:bottom w:w="80" w:type="dxa"/>
              <w:left w:w="120" w:type="dxa"/>
              <w:right w:w="120" w:type="dxa"/>
            </w:tcMar>
          </w:tcPr>
          <w:p>
            <w:r>
              <w:rPr>
                <w:rFonts w:ascii="Calibri" w:hAnsi="Calibri"/>
                <w:color w:val="1A202C"/>
                <w:sz w:val="18"/>
              </w:rPr>
              <w:t>FR-08</w:t>
            </w:r>
          </w:p>
        </w:tc>
        <w:tc>
          <w:tcPr>
            <w:tcW w:type="dxa" w:w="2304"/>
            <w:shd w:fill="F7FAFC"/>
            <w:tcMar>
              <w:top w:w="80" w:type="dxa"/>
              <w:bottom w:w="80" w:type="dxa"/>
              <w:left w:w="120" w:type="dxa"/>
              <w:right w:w="120" w:type="dxa"/>
            </w:tcMar>
          </w:tcPr>
          <w:p>
            <w:r>
              <w:rPr>
                <w:rFonts w:ascii="Calibri" w:hAnsi="Calibri"/>
                <w:color w:val="1A202C"/>
                <w:sz w:val="18"/>
              </w:rPr>
              <w:t>File Upload Parsing</w:t>
            </w:r>
          </w:p>
        </w:tc>
        <w:tc>
          <w:tcPr>
            <w:tcW w:type="dxa" w:w="3168"/>
            <w:shd w:fill="F7FAFC"/>
            <w:tcMar>
              <w:top w:w="80" w:type="dxa"/>
              <w:bottom w:w="80" w:type="dxa"/>
              <w:left w:w="120" w:type="dxa"/>
              <w:right w:w="120" w:type="dxa"/>
            </w:tcMar>
          </w:tcPr>
          <w:p>
            <w:r>
              <w:rPr>
                <w:rFonts w:ascii="Calibri" w:hAnsi="Calibri"/>
                <w:color w:val="1A202C"/>
                <w:sz w:val="18"/>
              </w:rPr>
              <w:t>Upload medical reports in PDF, CSV, TXT, PNG.</w:t>
            </w:r>
          </w:p>
        </w:tc>
        <w:tc>
          <w:tcPr>
            <w:tcW w:type="dxa" w:w="2448"/>
            <w:shd w:fill="F7FAFC"/>
            <w:tcMar>
              <w:top w:w="80" w:type="dxa"/>
              <w:bottom w:w="80" w:type="dxa"/>
              <w:left w:w="120" w:type="dxa"/>
              <w:right w:w="120" w:type="dxa"/>
            </w:tcMar>
          </w:tcPr>
          <w:p>
            <w:r>
              <w:rPr>
                <w:rFonts w:ascii="Calibri" w:hAnsi="Calibri"/>
                <w:color w:val="1A202C"/>
                <w:sz w:val="18"/>
              </w:rPr>
              <w:t>Extracts structured key-value pairs via IMDIE parser engine.</w:t>
            </w:r>
          </w:p>
        </w:tc>
      </w:tr>
      <w:tr>
        <w:tc>
          <w:tcPr>
            <w:tcW w:type="dxa" w:w="1440"/>
            <w:shd w:fill="FFFFFF"/>
            <w:tcMar>
              <w:top w:w="80" w:type="dxa"/>
              <w:bottom w:w="80" w:type="dxa"/>
              <w:left w:w="120" w:type="dxa"/>
              <w:right w:w="120" w:type="dxa"/>
            </w:tcMar>
          </w:tcPr>
          <w:p>
            <w:r>
              <w:rPr>
                <w:rFonts w:ascii="Calibri" w:hAnsi="Calibri"/>
                <w:color w:val="1A202C"/>
                <w:sz w:val="18"/>
              </w:rPr>
              <w:t>FR-09</w:t>
            </w:r>
          </w:p>
        </w:tc>
        <w:tc>
          <w:tcPr>
            <w:tcW w:type="dxa" w:w="2304"/>
            <w:shd w:fill="FFFFFF"/>
            <w:tcMar>
              <w:top w:w="80" w:type="dxa"/>
              <w:bottom w:w="80" w:type="dxa"/>
              <w:left w:w="120" w:type="dxa"/>
              <w:right w:w="120" w:type="dxa"/>
            </w:tcMar>
          </w:tcPr>
          <w:p>
            <w:r>
              <w:rPr>
                <w:rFonts w:ascii="Calibri" w:hAnsi="Calibri"/>
                <w:color w:val="1A202C"/>
                <w:sz w:val="18"/>
              </w:rPr>
              <w:t>Data Validation</w:t>
            </w:r>
          </w:p>
        </w:tc>
        <w:tc>
          <w:tcPr>
            <w:tcW w:type="dxa" w:w="3168"/>
            <w:shd w:fill="FFFFFF"/>
            <w:tcMar>
              <w:top w:w="80" w:type="dxa"/>
              <w:bottom w:w="80" w:type="dxa"/>
              <w:left w:w="120" w:type="dxa"/>
              <w:right w:w="120" w:type="dxa"/>
            </w:tcMar>
          </w:tcPr>
          <w:p>
            <w:r>
              <w:rPr>
                <w:rFonts w:ascii="Calibri" w:hAnsi="Calibri"/>
                <w:color w:val="1A202C"/>
                <w:sz w:val="18"/>
              </w:rPr>
              <w:t>Check physiological bounds and alias mapping.</w:t>
            </w:r>
          </w:p>
        </w:tc>
        <w:tc>
          <w:tcPr>
            <w:tcW w:type="dxa" w:w="2448"/>
            <w:shd w:fill="FFFFFF"/>
            <w:tcMar>
              <w:top w:w="80" w:type="dxa"/>
              <w:bottom w:w="80" w:type="dxa"/>
              <w:left w:w="120" w:type="dxa"/>
              <w:right w:w="120" w:type="dxa"/>
            </w:tcMar>
          </w:tcPr>
          <w:p>
            <w:r>
              <w:rPr>
                <w:rFonts w:ascii="Calibri" w:hAnsi="Calibri"/>
                <w:color w:val="1A202C"/>
                <w:sz w:val="18"/>
              </w:rPr>
              <w:t>Flags anomalies and resolves canonical feature aliases automatically.</w:t>
            </w:r>
          </w:p>
        </w:tc>
      </w:tr>
      <w:tr>
        <w:tc>
          <w:tcPr>
            <w:tcW w:type="dxa" w:w="1440"/>
            <w:shd w:fill="F7FAFC"/>
            <w:tcMar>
              <w:top w:w="80" w:type="dxa"/>
              <w:bottom w:w="80" w:type="dxa"/>
              <w:left w:w="120" w:type="dxa"/>
              <w:right w:w="120" w:type="dxa"/>
            </w:tcMar>
          </w:tcPr>
          <w:p>
            <w:r>
              <w:rPr>
                <w:rFonts w:ascii="Calibri" w:hAnsi="Calibri"/>
                <w:color w:val="1A202C"/>
                <w:sz w:val="18"/>
              </w:rPr>
              <w:t>FR-10</w:t>
            </w:r>
          </w:p>
        </w:tc>
        <w:tc>
          <w:tcPr>
            <w:tcW w:type="dxa" w:w="2304"/>
            <w:shd w:fill="F7FAFC"/>
            <w:tcMar>
              <w:top w:w="80" w:type="dxa"/>
              <w:bottom w:w="80" w:type="dxa"/>
              <w:left w:w="120" w:type="dxa"/>
              <w:right w:w="120" w:type="dxa"/>
            </w:tcMar>
          </w:tcPr>
          <w:p>
            <w:r>
              <w:rPr>
                <w:rFonts w:ascii="Calibri" w:hAnsi="Calibri"/>
                <w:color w:val="1A202C"/>
                <w:sz w:val="18"/>
              </w:rPr>
              <w:t>Unit Normalization</w:t>
            </w:r>
          </w:p>
        </w:tc>
        <w:tc>
          <w:tcPr>
            <w:tcW w:type="dxa" w:w="3168"/>
            <w:shd w:fill="F7FAFC"/>
            <w:tcMar>
              <w:top w:w="80" w:type="dxa"/>
              <w:bottom w:w="80" w:type="dxa"/>
              <w:left w:w="120" w:type="dxa"/>
              <w:right w:w="120" w:type="dxa"/>
            </w:tcMar>
          </w:tcPr>
          <w:p>
            <w:r>
              <w:rPr>
                <w:rFonts w:ascii="Calibri" w:hAnsi="Calibri"/>
                <w:color w:val="1A202C"/>
                <w:sz w:val="18"/>
              </w:rPr>
              <w:t>Standardize clinical and wearable units.</w:t>
            </w:r>
          </w:p>
        </w:tc>
        <w:tc>
          <w:tcPr>
            <w:tcW w:type="dxa" w:w="2448"/>
            <w:shd w:fill="F7FAFC"/>
            <w:tcMar>
              <w:top w:w="80" w:type="dxa"/>
              <w:bottom w:w="80" w:type="dxa"/>
              <w:left w:w="120" w:type="dxa"/>
              <w:right w:w="120" w:type="dxa"/>
            </w:tcMar>
          </w:tcPr>
          <w:p>
            <w:r>
              <w:rPr>
                <w:rFonts w:ascii="Calibri" w:hAnsi="Calibri"/>
                <w:color w:val="1A202C"/>
                <w:sz w:val="18"/>
              </w:rPr>
              <w:t>Converts mg/dL to mmol/L or standard units prior to inference.</w:t>
            </w:r>
          </w:p>
        </w:tc>
      </w:tr>
      <w:tr>
        <w:tc>
          <w:tcPr>
            <w:tcW w:type="dxa" w:w="1440"/>
            <w:shd w:fill="FFFFFF"/>
            <w:tcMar>
              <w:top w:w="80" w:type="dxa"/>
              <w:bottom w:w="80" w:type="dxa"/>
              <w:left w:w="120" w:type="dxa"/>
              <w:right w:w="120" w:type="dxa"/>
            </w:tcMar>
          </w:tcPr>
          <w:p>
            <w:r>
              <w:rPr>
                <w:rFonts w:ascii="Calibri" w:hAnsi="Calibri"/>
                <w:color w:val="1A202C"/>
                <w:sz w:val="18"/>
              </w:rPr>
              <w:t>FR-11</w:t>
            </w:r>
          </w:p>
        </w:tc>
        <w:tc>
          <w:tcPr>
            <w:tcW w:type="dxa" w:w="2304"/>
            <w:shd w:fill="FFFFFF"/>
            <w:tcMar>
              <w:top w:w="80" w:type="dxa"/>
              <w:bottom w:w="80" w:type="dxa"/>
              <w:left w:w="120" w:type="dxa"/>
              <w:right w:w="120" w:type="dxa"/>
            </w:tcMar>
          </w:tcPr>
          <w:p>
            <w:r>
              <w:rPr>
                <w:rFonts w:ascii="Calibri" w:hAnsi="Calibri"/>
                <w:color w:val="1A202C"/>
                <w:sz w:val="18"/>
              </w:rPr>
              <w:t>Modality Detection</w:t>
            </w:r>
          </w:p>
        </w:tc>
        <w:tc>
          <w:tcPr>
            <w:tcW w:type="dxa" w:w="3168"/>
            <w:shd w:fill="FFFFFF"/>
            <w:tcMar>
              <w:top w:w="80" w:type="dxa"/>
              <w:bottom w:w="80" w:type="dxa"/>
              <w:left w:w="120" w:type="dxa"/>
              <w:right w:w="120" w:type="dxa"/>
            </w:tcMar>
          </w:tcPr>
          <w:p>
            <w:r>
              <w:rPr>
                <w:rFonts w:ascii="Calibri" w:hAnsi="Calibri"/>
                <w:color w:val="1A202C"/>
                <w:sz w:val="18"/>
              </w:rPr>
              <w:t>Detect available input modalities dynamically.</w:t>
            </w:r>
          </w:p>
        </w:tc>
        <w:tc>
          <w:tcPr>
            <w:tcW w:type="dxa" w:w="2448"/>
            <w:shd w:fill="FFFFFF"/>
            <w:tcMar>
              <w:top w:w="80" w:type="dxa"/>
              <w:bottom w:w="80" w:type="dxa"/>
              <w:left w:w="120" w:type="dxa"/>
              <w:right w:w="120" w:type="dxa"/>
            </w:tcMar>
          </w:tcPr>
          <w:p>
            <w:r>
              <w:rPr>
                <w:rFonts w:ascii="Calibri" w:hAnsi="Calibri"/>
                <w:color w:val="1A202C"/>
                <w:sz w:val="18"/>
              </w:rPr>
              <w:t>Identifies active modalities and routes tensor to corresponding pathway.</w:t>
            </w:r>
          </w:p>
        </w:tc>
      </w:tr>
      <w:tr>
        <w:tc>
          <w:tcPr>
            <w:tcW w:type="dxa" w:w="1440"/>
            <w:shd w:fill="F7FAFC"/>
            <w:tcMar>
              <w:top w:w="80" w:type="dxa"/>
              <w:bottom w:w="80" w:type="dxa"/>
              <w:left w:w="120" w:type="dxa"/>
              <w:right w:w="120" w:type="dxa"/>
            </w:tcMar>
          </w:tcPr>
          <w:p>
            <w:r>
              <w:rPr>
                <w:rFonts w:ascii="Calibri" w:hAnsi="Calibri"/>
                <w:color w:val="1A202C"/>
                <w:sz w:val="18"/>
              </w:rPr>
              <w:t>FR-12</w:t>
            </w:r>
          </w:p>
        </w:tc>
        <w:tc>
          <w:tcPr>
            <w:tcW w:type="dxa" w:w="2304"/>
            <w:shd w:fill="F7FAFC"/>
            <w:tcMar>
              <w:top w:w="80" w:type="dxa"/>
              <w:bottom w:w="80" w:type="dxa"/>
              <w:left w:w="120" w:type="dxa"/>
              <w:right w:w="120" w:type="dxa"/>
            </w:tcMar>
          </w:tcPr>
          <w:p>
            <w:r>
              <w:rPr>
                <w:rFonts w:ascii="Calibri" w:hAnsi="Calibri"/>
                <w:color w:val="1A202C"/>
                <w:sz w:val="18"/>
              </w:rPr>
              <w:t>Clinical Expert ML</w:t>
            </w:r>
          </w:p>
        </w:tc>
        <w:tc>
          <w:tcPr>
            <w:tcW w:type="dxa" w:w="3168"/>
            <w:shd w:fill="F7FAFC"/>
            <w:tcMar>
              <w:top w:w="80" w:type="dxa"/>
              <w:bottom w:w="80" w:type="dxa"/>
              <w:left w:w="120" w:type="dxa"/>
              <w:right w:w="120" w:type="dxa"/>
            </w:tcMar>
          </w:tcPr>
          <w:p>
            <w:r>
              <w:rPr>
                <w:rFonts w:ascii="Calibri" w:hAnsi="Calibri"/>
                <w:color w:val="1A202C"/>
                <w:sz w:val="18"/>
              </w:rPr>
              <w:t>Execute CatBoost Clinical Expert model.</w:t>
            </w:r>
          </w:p>
        </w:tc>
        <w:tc>
          <w:tcPr>
            <w:tcW w:type="dxa" w:w="2448"/>
            <w:shd w:fill="F7FAFC"/>
            <w:tcMar>
              <w:top w:w="80" w:type="dxa"/>
              <w:bottom w:w="80" w:type="dxa"/>
              <w:left w:w="120" w:type="dxa"/>
              <w:right w:w="120" w:type="dxa"/>
            </w:tcMar>
          </w:tcPr>
          <w:p>
            <w:r>
              <w:rPr>
                <w:rFonts w:ascii="Calibri" w:hAnsi="Calibri"/>
                <w:color w:val="1A202C"/>
                <w:sz w:val="18"/>
              </w:rPr>
              <w:t>Computes clinical-specific risk probabilities.</w:t>
            </w:r>
          </w:p>
        </w:tc>
      </w:tr>
      <w:tr>
        <w:tc>
          <w:tcPr>
            <w:tcW w:type="dxa" w:w="1440"/>
            <w:shd w:fill="FFFFFF"/>
            <w:tcMar>
              <w:top w:w="80" w:type="dxa"/>
              <w:bottom w:w="80" w:type="dxa"/>
              <w:left w:w="120" w:type="dxa"/>
              <w:right w:w="120" w:type="dxa"/>
            </w:tcMar>
          </w:tcPr>
          <w:p>
            <w:r>
              <w:rPr>
                <w:rFonts w:ascii="Calibri" w:hAnsi="Calibri"/>
                <w:color w:val="1A202C"/>
                <w:sz w:val="18"/>
              </w:rPr>
              <w:t>FR-13</w:t>
            </w:r>
          </w:p>
        </w:tc>
        <w:tc>
          <w:tcPr>
            <w:tcW w:type="dxa" w:w="2304"/>
            <w:shd w:fill="FFFFFF"/>
            <w:tcMar>
              <w:top w:w="80" w:type="dxa"/>
              <w:bottom w:w="80" w:type="dxa"/>
              <w:left w:w="120" w:type="dxa"/>
              <w:right w:w="120" w:type="dxa"/>
            </w:tcMar>
          </w:tcPr>
          <w:p>
            <w:r>
              <w:rPr>
                <w:rFonts w:ascii="Calibri" w:hAnsi="Calibri"/>
                <w:color w:val="1A202C"/>
                <w:sz w:val="18"/>
              </w:rPr>
              <w:t>Wearable Expert ML</w:t>
            </w:r>
          </w:p>
        </w:tc>
        <w:tc>
          <w:tcPr>
            <w:tcW w:type="dxa" w:w="3168"/>
            <w:shd w:fill="FFFFFF"/>
            <w:tcMar>
              <w:top w:w="80" w:type="dxa"/>
              <w:bottom w:w="80" w:type="dxa"/>
              <w:left w:w="120" w:type="dxa"/>
              <w:right w:w="120" w:type="dxa"/>
            </w:tcMar>
          </w:tcPr>
          <w:p>
            <w:r>
              <w:rPr>
                <w:rFonts w:ascii="Calibri" w:hAnsi="Calibri"/>
                <w:color w:val="1A202C"/>
                <w:sz w:val="18"/>
              </w:rPr>
              <w:t>Execute XGBoost Wearable/CGM Expert model.</w:t>
            </w:r>
          </w:p>
        </w:tc>
        <w:tc>
          <w:tcPr>
            <w:tcW w:type="dxa" w:w="2448"/>
            <w:shd w:fill="FFFFFF"/>
            <w:tcMar>
              <w:top w:w="80" w:type="dxa"/>
              <w:bottom w:w="80" w:type="dxa"/>
              <w:left w:w="120" w:type="dxa"/>
              <w:right w:w="120" w:type="dxa"/>
            </w:tcMar>
          </w:tcPr>
          <w:p>
            <w:r>
              <w:rPr>
                <w:rFonts w:ascii="Calibri" w:hAnsi="Calibri"/>
                <w:color w:val="1A202C"/>
                <w:sz w:val="18"/>
              </w:rPr>
              <w:t>Computes wearable-specific risk probabilities.</w:t>
            </w:r>
          </w:p>
        </w:tc>
      </w:tr>
      <w:tr>
        <w:tc>
          <w:tcPr>
            <w:tcW w:type="dxa" w:w="1440"/>
            <w:shd w:fill="F7FAFC"/>
            <w:tcMar>
              <w:top w:w="80" w:type="dxa"/>
              <w:bottom w:w="80" w:type="dxa"/>
              <w:left w:w="120" w:type="dxa"/>
              <w:right w:w="120" w:type="dxa"/>
            </w:tcMar>
          </w:tcPr>
          <w:p>
            <w:r>
              <w:rPr>
                <w:rFonts w:ascii="Calibri" w:hAnsi="Calibri"/>
                <w:color w:val="1A202C"/>
                <w:sz w:val="18"/>
              </w:rPr>
              <w:t>FR-14</w:t>
            </w:r>
          </w:p>
        </w:tc>
        <w:tc>
          <w:tcPr>
            <w:tcW w:type="dxa" w:w="2304"/>
            <w:shd w:fill="F7FAFC"/>
            <w:tcMar>
              <w:top w:w="80" w:type="dxa"/>
              <w:bottom w:w="80" w:type="dxa"/>
              <w:left w:w="120" w:type="dxa"/>
              <w:right w:w="120" w:type="dxa"/>
            </w:tcMar>
          </w:tcPr>
          <w:p>
            <w:r>
              <w:rPr>
                <w:rFonts w:ascii="Calibri" w:hAnsi="Calibri"/>
                <w:color w:val="1A202C"/>
                <w:sz w:val="18"/>
              </w:rPr>
              <w:t>Gut Expert ML</w:t>
            </w:r>
          </w:p>
        </w:tc>
        <w:tc>
          <w:tcPr>
            <w:tcW w:type="dxa" w:w="3168"/>
            <w:shd w:fill="F7FAFC"/>
            <w:tcMar>
              <w:top w:w="80" w:type="dxa"/>
              <w:bottom w:w="80" w:type="dxa"/>
              <w:left w:w="120" w:type="dxa"/>
              <w:right w:w="120" w:type="dxa"/>
            </w:tcMar>
          </w:tcPr>
          <w:p>
            <w:r>
              <w:rPr>
                <w:rFonts w:ascii="Calibri" w:hAnsi="Calibri"/>
                <w:color w:val="1A202C"/>
                <w:sz w:val="18"/>
              </w:rPr>
              <w:t>Execute CatBoost Gut Microbiome Expert model.</w:t>
            </w:r>
          </w:p>
        </w:tc>
        <w:tc>
          <w:tcPr>
            <w:tcW w:type="dxa" w:w="2448"/>
            <w:shd w:fill="F7FAFC"/>
            <w:tcMar>
              <w:top w:w="80" w:type="dxa"/>
              <w:bottom w:w="80" w:type="dxa"/>
              <w:left w:w="120" w:type="dxa"/>
              <w:right w:w="120" w:type="dxa"/>
            </w:tcMar>
          </w:tcPr>
          <w:p>
            <w:r>
              <w:rPr>
                <w:rFonts w:ascii="Calibri" w:hAnsi="Calibri"/>
                <w:color w:val="1A202C"/>
                <w:sz w:val="18"/>
              </w:rPr>
              <w:t>Computes microbiome-specific risk probabilities.</w:t>
            </w:r>
          </w:p>
        </w:tc>
      </w:tr>
      <w:tr>
        <w:tc>
          <w:tcPr>
            <w:tcW w:type="dxa" w:w="1440"/>
            <w:shd w:fill="FFFFFF"/>
            <w:tcMar>
              <w:top w:w="80" w:type="dxa"/>
              <w:bottom w:w="80" w:type="dxa"/>
              <w:left w:w="120" w:type="dxa"/>
              <w:right w:w="120" w:type="dxa"/>
            </w:tcMar>
          </w:tcPr>
          <w:p>
            <w:r>
              <w:rPr>
                <w:rFonts w:ascii="Calibri" w:hAnsi="Calibri"/>
                <w:color w:val="1A202C"/>
                <w:sz w:val="18"/>
              </w:rPr>
              <w:t>FR-15</w:t>
            </w:r>
          </w:p>
        </w:tc>
        <w:tc>
          <w:tcPr>
            <w:tcW w:type="dxa" w:w="2304"/>
            <w:shd w:fill="FFFFFF"/>
            <w:tcMar>
              <w:top w:w="80" w:type="dxa"/>
              <w:bottom w:w="80" w:type="dxa"/>
              <w:left w:w="120" w:type="dxa"/>
              <w:right w:w="120" w:type="dxa"/>
            </w:tcMar>
          </w:tcPr>
          <w:p>
            <w:r>
              <w:rPr>
                <w:rFonts w:ascii="Calibri" w:hAnsi="Calibri"/>
                <w:color w:val="1A202C"/>
                <w:sz w:val="18"/>
              </w:rPr>
              <w:t>Multimodal Fusion</w:t>
            </w:r>
          </w:p>
        </w:tc>
        <w:tc>
          <w:tcPr>
            <w:tcW w:type="dxa" w:w="3168"/>
            <w:shd w:fill="FFFFFF"/>
            <w:tcMar>
              <w:top w:w="80" w:type="dxa"/>
              <w:bottom w:w="80" w:type="dxa"/>
              <w:left w:w="120" w:type="dxa"/>
              <w:right w:w="120" w:type="dxa"/>
            </w:tcMar>
          </w:tcPr>
          <w:p>
            <w:r>
              <w:rPr>
                <w:rFonts w:ascii="Calibri" w:hAnsi="Calibri"/>
                <w:color w:val="1A202C"/>
                <w:sz w:val="18"/>
              </w:rPr>
              <w:t>Execute Stacking Meta-Learner.</w:t>
            </w:r>
          </w:p>
        </w:tc>
        <w:tc>
          <w:tcPr>
            <w:tcW w:type="dxa" w:w="2448"/>
            <w:shd w:fill="FFFFFF"/>
            <w:tcMar>
              <w:top w:w="80" w:type="dxa"/>
              <w:bottom w:w="80" w:type="dxa"/>
              <w:left w:w="120" w:type="dxa"/>
              <w:right w:w="120" w:type="dxa"/>
            </w:tcMar>
          </w:tcPr>
          <w:p>
            <w:r>
              <w:rPr>
                <w:rFonts w:ascii="Calibri" w:hAnsi="Calibri"/>
                <w:color w:val="1A202C"/>
                <w:sz w:val="18"/>
              </w:rPr>
              <w:t>Combines expert predictions across 1 of 7 active pathways.</w:t>
            </w:r>
          </w:p>
        </w:tc>
      </w:tr>
      <w:tr>
        <w:tc>
          <w:tcPr>
            <w:tcW w:type="dxa" w:w="1440"/>
            <w:shd w:fill="F7FAFC"/>
            <w:tcMar>
              <w:top w:w="80" w:type="dxa"/>
              <w:bottom w:w="80" w:type="dxa"/>
              <w:left w:w="120" w:type="dxa"/>
              <w:right w:w="120" w:type="dxa"/>
            </w:tcMar>
          </w:tcPr>
          <w:p>
            <w:r>
              <w:rPr>
                <w:rFonts w:ascii="Calibri" w:hAnsi="Calibri"/>
                <w:color w:val="1A202C"/>
                <w:sz w:val="18"/>
              </w:rPr>
              <w:t>FR-16</w:t>
            </w:r>
          </w:p>
        </w:tc>
        <w:tc>
          <w:tcPr>
            <w:tcW w:type="dxa" w:w="2304"/>
            <w:shd w:fill="F7FAFC"/>
            <w:tcMar>
              <w:top w:w="80" w:type="dxa"/>
              <w:bottom w:w="80" w:type="dxa"/>
              <w:left w:w="120" w:type="dxa"/>
              <w:right w:w="120" w:type="dxa"/>
            </w:tcMar>
          </w:tcPr>
          <w:p>
            <w:r>
              <w:rPr>
                <w:rFonts w:ascii="Calibri" w:hAnsi="Calibri"/>
                <w:color w:val="1A202C"/>
                <w:sz w:val="18"/>
              </w:rPr>
              <w:t>Five-Disease Risk</w:t>
            </w:r>
          </w:p>
        </w:tc>
        <w:tc>
          <w:tcPr>
            <w:tcW w:type="dxa" w:w="3168"/>
            <w:shd w:fill="F7FAFC"/>
            <w:tcMar>
              <w:top w:w="80" w:type="dxa"/>
              <w:bottom w:w="80" w:type="dxa"/>
              <w:left w:w="120" w:type="dxa"/>
              <w:right w:w="120" w:type="dxa"/>
            </w:tcMar>
          </w:tcPr>
          <w:p>
            <w:r>
              <w:rPr>
                <w:rFonts w:ascii="Calibri" w:hAnsi="Calibri"/>
                <w:color w:val="1A202C"/>
                <w:sz w:val="18"/>
              </w:rPr>
              <w:t>Generate multi-label risk probability scores.</w:t>
            </w:r>
          </w:p>
        </w:tc>
        <w:tc>
          <w:tcPr>
            <w:tcW w:type="dxa" w:w="2448"/>
            <w:shd w:fill="F7FAFC"/>
            <w:tcMar>
              <w:top w:w="80" w:type="dxa"/>
              <w:bottom w:w="80" w:type="dxa"/>
              <w:left w:w="120" w:type="dxa"/>
              <w:right w:w="120" w:type="dxa"/>
            </w:tcMar>
          </w:tcPr>
          <w:p>
            <w:r>
              <w:rPr>
                <w:rFonts w:ascii="Calibri" w:hAnsi="Calibri"/>
                <w:color w:val="1A202C"/>
                <w:sz w:val="18"/>
              </w:rPr>
              <w:t>Outputs 5 independent risk scores (0.0 to 1.0) for target conditions.</w:t>
            </w:r>
          </w:p>
        </w:tc>
      </w:tr>
      <w:tr>
        <w:tc>
          <w:tcPr>
            <w:tcW w:type="dxa" w:w="1440"/>
            <w:shd w:fill="FFFFFF"/>
            <w:tcMar>
              <w:top w:w="80" w:type="dxa"/>
              <w:bottom w:w="80" w:type="dxa"/>
              <w:left w:w="120" w:type="dxa"/>
              <w:right w:w="120" w:type="dxa"/>
            </w:tcMar>
          </w:tcPr>
          <w:p>
            <w:r>
              <w:rPr>
                <w:rFonts w:ascii="Calibri" w:hAnsi="Calibri"/>
                <w:color w:val="1A202C"/>
                <w:sz w:val="18"/>
              </w:rPr>
              <w:t>FR-17</w:t>
            </w:r>
          </w:p>
        </w:tc>
        <w:tc>
          <w:tcPr>
            <w:tcW w:type="dxa" w:w="2304"/>
            <w:shd w:fill="FFFFFF"/>
            <w:tcMar>
              <w:top w:w="80" w:type="dxa"/>
              <w:bottom w:w="80" w:type="dxa"/>
              <w:left w:w="120" w:type="dxa"/>
              <w:right w:w="120" w:type="dxa"/>
            </w:tcMar>
          </w:tcPr>
          <w:p>
            <w:r>
              <w:rPr>
                <w:rFonts w:ascii="Calibri" w:hAnsi="Calibri"/>
                <w:color w:val="1A202C"/>
                <w:sz w:val="18"/>
              </w:rPr>
              <w:t>Risk Categorization</w:t>
            </w:r>
          </w:p>
        </w:tc>
        <w:tc>
          <w:tcPr>
            <w:tcW w:type="dxa" w:w="3168"/>
            <w:shd w:fill="FFFFFF"/>
            <w:tcMar>
              <w:top w:w="80" w:type="dxa"/>
              <w:bottom w:w="80" w:type="dxa"/>
              <w:left w:w="120" w:type="dxa"/>
              <w:right w:w="120" w:type="dxa"/>
            </w:tcMar>
          </w:tcPr>
          <w:p>
            <w:r>
              <w:rPr>
                <w:rFonts w:ascii="Calibri" w:hAnsi="Calibri"/>
                <w:color w:val="1A202C"/>
                <w:sz w:val="18"/>
              </w:rPr>
              <w:t>Classify risk scores into LOW, MODERATE, HIGH.</w:t>
            </w:r>
          </w:p>
        </w:tc>
        <w:tc>
          <w:tcPr>
            <w:tcW w:type="dxa" w:w="2448"/>
            <w:shd w:fill="FFFFFF"/>
            <w:tcMar>
              <w:top w:w="80" w:type="dxa"/>
              <w:bottom w:w="80" w:type="dxa"/>
              <w:left w:w="120" w:type="dxa"/>
              <w:right w:w="120" w:type="dxa"/>
            </w:tcMar>
          </w:tcPr>
          <w:p>
            <w:r>
              <w:rPr>
                <w:rFonts w:ascii="Calibri" w:hAnsi="Calibri"/>
                <w:color w:val="1A202C"/>
                <w:sz w:val="18"/>
              </w:rPr>
              <w:t>Applies clinical threshold boundaries for dashboard presentation.</w:t>
            </w:r>
          </w:p>
        </w:tc>
      </w:tr>
      <w:tr>
        <w:tc>
          <w:tcPr>
            <w:tcW w:type="dxa" w:w="1440"/>
            <w:shd w:fill="F7FAFC"/>
            <w:tcMar>
              <w:top w:w="80" w:type="dxa"/>
              <w:bottom w:w="80" w:type="dxa"/>
              <w:left w:w="120" w:type="dxa"/>
              <w:right w:w="120" w:type="dxa"/>
            </w:tcMar>
          </w:tcPr>
          <w:p>
            <w:r>
              <w:rPr>
                <w:rFonts w:ascii="Calibri" w:hAnsi="Calibri"/>
                <w:color w:val="1A202C"/>
                <w:sz w:val="18"/>
              </w:rPr>
              <w:t>FR-18</w:t>
            </w:r>
          </w:p>
        </w:tc>
        <w:tc>
          <w:tcPr>
            <w:tcW w:type="dxa" w:w="2304"/>
            <w:shd w:fill="F7FAFC"/>
            <w:tcMar>
              <w:top w:w="80" w:type="dxa"/>
              <w:bottom w:w="80" w:type="dxa"/>
              <w:left w:w="120" w:type="dxa"/>
              <w:right w:w="120" w:type="dxa"/>
            </w:tcMar>
          </w:tcPr>
          <w:p>
            <w:r>
              <w:rPr>
                <w:rFonts w:ascii="Calibri" w:hAnsi="Calibri"/>
                <w:color w:val="1A202C"/>
                <w:sz w:val="18"/>
              </w:rPr>
              <w:t>TreeSHAP Attributions</w:t>
            </w:r>
          </w:p>
        </w:tc>
        <w:tc>
          <w:tcPr>
            <w:tcW w:type="dxa" w:w="3168"/>
            <w:shd w:fill="F7FAFC"/>
            <w:tcMar>
              <w:top w:w="80" w:type="dxa"/>
              <w:bottom w:w="80" w:type="dxa"/>
              <w:left w:w="120" w:type="dxa"/>
              <w:right w:w="120" w:type="dxa"/>
            </w:tcMar>
          </w:tcPr>
          <w:p>
            <w:r>
              <w:rPr>
                <w:rFonts w:ascii="Calibri" w:hAnsi="Calibri"/>
                <w:color w:val="1A202C"/>
                <w:sz w:val="18"/>
              </w:rPr>
              <w:t>Calculate local &amp; global Shapley values.</w:t>
            </w:r>
          </w:p>
        </w:tc>
        <w:tc>
          <w:tcPr>
            <w:tcW w:type="dxa" w:w="2448"/>
            <w:shd w:fill="F7FAFC"/>
            <w:tcMar>
              <w:top w:w="80" w:type="dxa"/>
              <w:bottom w:w="80" w:type="dxa"/>
              <w:left w:w="120" w:type="dxa"/>
              <w:right w:w="120" w:type="dxa"/>
            </w:tcMar>
          </w:tcPr>
          <w:p>
            <w:r>
              <w:rPr>
                <w:rFonts w:ascii="Calibri" w:hAnsi="Calibri"/>
                <w:color w:val="1A202C"/>
                <w:sz w:val="18"/>
              </w:rPr>
              <w:t>Displays top positive and negative feature contributions per prediction.</w:t>
            </w:r>
          </w:p>
        </w:tc>
      </w:tr>
      <w:tr>
        <w:tc>
          <w:tcPr>
            <w:tcW w:type="dxa" w:w="1440"/>
            <w:shd w:fill="FFFFFF"/>
            <w:tcMar>
              <w:top w:w="80" w:type="dxa"/>
              <w:bottom w:w="80" w:type="dxa"/>
              <w:left w:w="120" w:type="dxa"/>
              <w:right w:w="120" w:type="dxa"/>
            </w:tcMar>
          </w:tcPr>
          <w:p>
            <w:r>
              <w:rPr>
                <w:rFonts w:ascii="Calibri" w:hAnsi="Calibri"/>
                <w:color w:val="1A202C"/>
                <w:sz w:val="18"/>
              </w:rPr>
              <w:t>FR-19</w:t>
            </w:r>
          </w:p>
        </w:tc>
        <w:tc>
          <w:tcPr>
            <w:tcW w:type="dxa" w:w="2304"/>
            <w:shd w:fill="FFFFFF"/>
            <w:tcMar>
              <w:top w:w="80" w:type="dxa"/>
              <w:bottom w:w="80" w:type="dxa"/>
              <w:left w:w="120" w:type="dxa"/>
              <w:right w:w="120" w:type="dxa"/>
            </w:tcMar>
          </w:tcPr>
          <w:p>
            <w:r>
              <w:rPr>
                <w:rFonts w:ascii="Calibri" w:hAnsi="Calibri"/>
                <w:color w:val="1A202C"/>
                <w:sz w:val="18"/>
              </w:rPr>
              <w:t>Prediction Persistence</w:t>
            </w:r>
          </w:p>
        </w:tc>
        <w:tc>
          <w:tcPr>
            <w:tcW w:type="dxa" w:w="3168"/>
            <w:shd w:fill="FFFFFF"/>
            <w:tcMar>
              <w:top w:w="80" w:type="dxa"/>
              <w:bottom w:w="80" w:type="dxa"/>
              <w:left w:w="120" w:type="dxa"/>
              <w:right w:w="120" w:type="dxa"/>
            </w:tcMar>
          </w:tcPr>
          <w:p>
            <w:r>
              <w:rPr>
                <w:rFonts w:ascii="Calibri" w:hAnsi="Calibri"/>
                <w:color w:val="1A202C"/>
                <w:sz w:val="18"/>
              </w:rPr>
              <w:t>Store assessment snapshots in PostgreSQL.</w:t>
            </w:r>
          </w:p>
        </w:tc>
        <w:tc>
          <w:tcPr>
            <w:tcW w:type="dxa" w:w="2448"/>
            <w:shd w:fill="FFFFFF"/>
            <w:tcMar>
              <w:top w:w="80" w:type="dxa"/>
              <w:bottom w:w="80" w:type="dxa"/>
              <w:left w:w="120" w:type="dxa"/>
              <w:right w:w="120" w:type="dxa"/>
            </w:tcMar>
          </w:tcPr>
          <w:p>
            <w:r>
              <w:rPr>
                <w:rFonts w:ascii="Calibri" w:hAnsi="Calibri"/>
                <w:color w:val="1A202C"/>
                <w:sz w:val="18"/>
              </w:rPr>
              <w:t>Persists feature inputs, predictions, and SHAP attributions.</w:t>
            </w:r>
          </w:p>
        </w:tc>
      </w:tr>
      <w:tr>
        <w:tc>
          <w:tcPr>
            <w:tcW w:type="dxa" w:w="1440"/>
            <w:shd w:fill="F7FAFC"/>
            <w:tcMar>
              <w:top w:w="80" w:type="dxa"/>
              <w:bottom w:w="80" w:type="dxa"/>
              <w:left w:w="120" w:type="dxa"/>
              <w:right w:w="120" w:type="dxa"/>
            </w:tcMar>
          </w:tcPr>
          <w:p>
            <w:r>
              <w:rPr>
                <w:rFonts w:ascii="Calibri" w:hAnsi="Calibri"/>
                <w:color w:val="1A202C"/>
                <w:sz w:val="18"/>
              </w:rPr>
              <w:t>FR-20</w:t>
            </w:r>
          </w:p>
        </w:tc>
        <w:tc>
          <w:tcPr>
            <w:tcW w:type="dxa" w:w="2304"/>
            <w:shd w:fill="F7FAFC"/>
            <w:tcMar>
              <w:top w:w="80" w:type="dxa"/>
              <w:bottom w:w="80" w:type="dxa"/>
              <w:left w:w="120" w:type="dxa"/>
              <w:right w:w="120" w:type="dxa"/>
            </w:tcMar>
          </w:tcPr>
          <w:p>
            <w:r>
              <w:rPr>
                <w:rFonts w:ascii="Calibri" w:hAnsi="Calibri"/>
                <w:color w:val="1A202C"/>
                <w:sz w:val="18"/>
              </w:rPr>
              <w:t>Medical RAG Retrieval</w:t>
            </w:r>
          </w:p>
        </w:tc>
        <w:tc>
          <w:tcPr>
            <w:tcW w:type="dxa" w:w="3168"/>
            <w:shd w:fill="F7FAFC"/>
            <w:tcMar>
              <w:top w:w="80" w:type="dxa"/>
              <w:bottom w:w="80" w:type="dxa"/>
              <w:left w:w="120" w:type="dxa"/>
              <w:right w:w="120" w:type="dxa"/>
            </w:tcMar>
          </w:tcPr>
          <w:p>
            <w:r>
              <w:rPr>
                <w:rFonts w:ascii="Calibri" w:hAnsi="Calibri"/>
                <w:color w:val="1A202C"/>
                <w:sz w:val="18"/>
              </w:rPr>
              <w:t>Query FAISS vector store with SHAP features.</w:t>
            </w:r>
          </w:p>
        </w:tc>
        <w:tc>
          <w:tcPr>
            <w:tcW w:type="dxa" w:w="2448"/>
            <w:shd w:fill="F7FAFC"/>
            <w:tcMar>
              <w:top w:w="80" w:type="dxa"/>
              <w:bottom w:w="80" w:type="dxa"/>
              <w:left w:w="120" w:type="dxa"/>
              <w:right w:w="120" w:type="dxa"/>
            </w:tcMar>
          </w:tcPr>
          <w:p>
            <w:r>
              <w:rPr>
                <w:rFonts w:ascii="Calibri" w:hAnsi="Calibri"/>
                <w:color w:val="1A202C"/>
                <w:sz w:val="18"/>
              </w:rPr>
              <w:t>Retrieves top-k relevant clinical guideline excerpts.</w:t>
            </w:r>
          </w:p>
        </w:tc>
      </w:tr>
      <w:tr>
        <w:tc>
          <w:tcPr>
            <w:tcW w:type="dxa" w:w="1440"/>
            <w:shd w:fill="FFFFFF"/>
            <w:tcMar>
              <w:top w:w="80" w:type="dxa"/>
              <w:bottom w:w="80" w:type="dxa"/>
              <w:left w:w="120" w:type="dxa"/>
              <w:right w:w="120" w:type="dxa"/>
            </w:tcMar>
          </w:tcPr>
          <w:p>
            <w:r>
              <w:rPr>
                <w:rFonts w:ascii="Calibri" w:hAnsi="Calibri"/>
                <w:color w:val="1A202C"/>
                <w:sz w:val="18"/>
              </w:rPr>
              <w:t>FR-21</w:t>
            </w:r>
          </w:p>
        </w:tc>
        <w:tc>
          <w:tcPr>
            <w:tcW w:type="dxa" w:w="2304"/>
            <w:shd w:fill="FFFFFF"/>
            <w:tcMar>
              <w:top w:w="80" w:type="dxa"/>
              <w:bottom w:w="80" w:type="dxa"/>
              <w:left w:w="120" w:type="dxa"/>
              <w:right w:w="120" w:type="dxa"/>
            </w:tcMar>
          </w:tcPr>
          <w:p>
            <w:r>
              <w:rPr>
                <w:rFonts w:ascii="Calibri" w:hAnsi="Calibri"/>
                <w:color w:val="1A202C"/>
                <w:sz w:val="18"/>
              </w:rPr>
              <w:t>Generative AI Report</w:t>
            </w:r>
          </w:p>
        </w:tc>
        <w:tc>
          <w:tcPr>
            <w:tcW w:type="dxa" w:w="3168"/>
            <w:shd w:fill="FFFFFF"/>
            <w:tcMar>
              <w:top w:w="80" w:type="dxa"/>
              <w:bottom w:w="80" w:type="dxa"/>
              <w:left w:w="120" w:type="dxa"/>
              <w:right w:w="120" w:type="dxa"/>
            </w:tcMar>
          </w:tcPr>
          <w:p>
            <w:r>
              <w:rPr>
                <w:rFonts w:ascii="Calibri" w:hAnsi="Calibri"/>
                <w:color w:val="1A202C"/>
                <w:sz w:val="18"/>
              </w:rPr>
              <w:t>Synthesize evidence-grounded health report.</w:t>
            </w:r>
          </w:p>
        </w:tc>
        <w:tc>
          <w:tcPr>
            <w:tcW w:type="dxa" w:w="2448"/>
            <w:shd w:fill="FFFFFF"/>
            <w:tcMar>
              <w:top w:w="80" w:type="dxa"/>
              <w:bottom w:w="80" w:type="dxa"/>
              <w:left w:w="120" w:type="dxa"/>
              <w:right w:w="120" w:type="dxa"/>
            </w:tcMar>
          </w:tcPr>
          <w:p>
            <w:r>
              <w:rPr>
                <w:rFonts w:ascii="Calibri" w:hAnsi="Calibri"/>
                <w:color w:val="1A202C"/>
                <w:sz w:val="18"/>
              </w:rPr>
              <w:t>LLM generates patient summary and doctor clinical briefing.</w:t>
            </w:r>
          </w:p>
        </w:tc>
      </w:tr>
      <w:tr>
        <w:tc>
          <w:tcPr>
            <w:tcW w:type="dxa" w:w="1440"/>
            <w:shd w:fill="F7FAFC"/>
            <w:tcMar>
              <w:top w:w="80" w:type="dxa"/>
              <w:bottom w:w="80" w:type="dxa"/>
              <w:left w:w="120" w:type="dxa"/>
              <w:right w:w="120" w:type="dxa"/>
            </w:tcMar>
          </w:tcPr>
          <w:p>
            <w:r>
              <w:rPr>
                <w:rFonts w:ascii="Calibri" w:hAnsi="Calibri"/>
                <w:color w:val="1A202C"/>
                <w:sz w:val="18"/>
              </w:rPr>
              <w:t>FR-22</w:t>
            </w:r>
          </w:p>
        </w:tc>
        <w:tc>
          <w:tcPr>
            <w:tcW w:type="dxa" w:w="2304"/>
            <w:shd w:fill="F7FAFC"/>
            <w:tcMar>
              <w:top w:w="80" w:type="dxa"/>
              <w:bottom w:w="80" w:type="dxa"/>
              <w:left w:w="120" w:type="dxa"/>
              <w:right w:w="120" w:type="dxa"/>
            </w:tcMar>
          </w:tcPr>
          <w:p>
            <w:r>
              <w:rPr>
                <w:rFonts w:ascii="Calibri" w:hAnsi="Calibri"/>
                <w:color w:val="1A202C"/>
                <w:sz w:val="18"/>
              </w:rPr>
              <w:t>Report Guardrails</w:t>
            </w:r>
          </w:p>
        </w:tc>
        <w:tc>
          <w:tcPr>
            <w:tcW w:type="dxa" w:w="3168"/>
            <w:shd w:fill="F7FAFC"/>
            <w:tcMar>
              <w:top w:w="80" w:type="dxa"/>
              <w:bottom w:w="80" w:type="dxa"/>
              <w:left w:w="120" w:type="dxa"/>
              <w:right w:w="120" w:type="dxa"/>
            </w:tcMar>
          </w:tcPr>
          <w:p>
            <w:r>
              <w:rPr>
                <w:rFonts w:ascii="Calibri" w:hAnsi="Calibri"/>
                <w:color w:val="1A202C"/>
                <w:sz w:val="18"/>
              </w:rPr>
              <w:t>Validate LLM output against safety rules.</w:t>
            </w:r>
          </w:p>
        </w:tc>
        <w:tc>
          <w:tcPr>
            <w:tcW w:type="dxa" w:w="2448"/>
            <w:shd w:fill="F7FAFC"/>
            <w:tcMar>
              <w:top w:w="80" w:type="dxa"/>
              <w:bottom w:w="80" w:type="dxa"/>
              <w:left w:w="120" w:type="dxa"/>
              <w:right w:w="120" w:type="dxa"/>
            </w:tcMar>
          </w:tcPr>
          <w:p>
            <w:r>
              <w:rPr>
                <w:rFonts w:ascii="Calibri" w:hAnsi="Calibri"/>
                <w:color w:val="1A202C"/>
                <w:sz w:val="18"/>
              </w:rPr>
              <w:t>Rejects reports containing ungrounded claims or diagnostic assertions.</w:t>
            </w:r>
          </w:p>
        </w:tc>
      </w:tr>
      <w:tr>
        <w:tc>
          <w:tcPr>
            <w:tcW w:type="dxa" w:w="1440"/>
            <w:shd w:fill="FFFFFF"/>
            <w:tcMar>
              <w:top w:w="80" w:type="dxa"/>
              <w:bottom w:w="80" w:type="dxa"/>
              <w:left w:w="120" w:type="dxa"/>
              <w:right w:w="120" w:type="dxa"/>
            </w:tcMar>
          </w:tcPr>
          <w:p>
            <w:r>
              <w:rPr>
                <w:rFonts w:ascii="Calibri" w:hAnsi="Calibri"/>
                <w:color w:val="1A202C"/>
                <w:sz w:val="18"/>
              </w:rPr>
              <w:t>FR-23</w:t>
            </w:r>
          </w:p>
        </w:tc>
        <w:tc>
          <w:tcPr>
            <w:tcW w:type="dxa" w:w="2304"/>
            <w:shd w:fill="FFFFFF"/>
            <w:tcMar>
              <w:top w:w="80" w:type="dxa"/>
              <w:bottom w:w="80" w:type="dxa"/>
              <w:left w:w="120" w:type="dxa"/>
              <w:right w:w="120" w:type="dxa"/>
            </w:tcMar>
          </w:tcPr>
          <w:p>
            <w:r>
              <w:rPr>
                <w:rFonts w:ascii="Calibri" w:hAnsi="Calibri"/>
                <w:color w:val="1A202C"/>
                <w:sz w:val="18"/>
              </w:rPr>
              <w:t>PDF Generation</w:t>
            </w:r>
          </w:p>
        </w:tc>
        <w:tc>
          <w:tcPr>
            <w:tcW w:type="dxa" w:w="3168"/>
            <w:shd w:fill="FFFFFF"/>
            <w:tcMar>
              <w:top w:w="80" w:type="dxa"/>
              <w:bottom w:w="80" w:type="dxa"/>
              <w:left w:w="120" w:type="dxa"/>
              <w:right w:w="120" w:type="dxa"/>
            </w:tcMar>
          </w:tcPr>
          <w:p>
            <w:r>
              <w:rPr>
                <w:rFonts w:ascii="Calibri" w:hAnsi="Calibri"/>
                <w:color w:val="1A202C"/>
                <w:sz w:val="18"/>
              </w:rPr>
              <w:t>Render downloadable PDF assessment report.</w:t>
            </w:r>
          </w:p>
        </w:tc>
        <w:tc>
          <w:tcPr>
            <w:tcW w:type="dxa" w:w="2448"/>
            <w:shd w:fill="FFFFFF"/>
            <w:tcMar>
              <w:top w:w="80" w:type="dxa"/>
              <w:bottom w:w="80" w:type="dxa"/>
              <w:left w:w="120" w:type="dxa"/>
              <w:right w:w="120" w:type="dxa"/>
            </w:tcMar>
          </w:tcPr>
          <w:p>
            <w:r>
              <w:rPr>
                <w:rFonts w:ascii="Calibri" w:hAnsi="Calibri"/>
                <w:color w:val="1A202C"/>
                <w:sz w:val="18"/>
              </w:rPr>
              <w:t>Generates styled PDF containing metrics, SHAP charts, and report.</w:t>
            </w:r>
          </w:p>
        </w:tc>
      </w:tr>
      <w:tr>
        <w:tc>
          <w:tcPr>
            <w:tcW w:type="dxa" w:w="1440"/>
            <w:shd w:fill="F7FAFC"/>
            <w:tcMar>
              <w:top w:w="80" w:type="dxa"/>
              <w:bottom w:w="80" w:type="dxa"/>
              <w:left w:w="120" w:type="dxa"/>
              <w:right w:w="120" w:type="dxa"/>
            </w:tcMar>
          </w:tcPr>
          <w:p>
            <w:r>
              <w:rPr>
                <w:rFonts w:ascii="Calibri" w:hAnsi="Calibri"/>
                <w:color w:val="1A202C"/>
                <w:sz w:val="18"/>
              </w:rPr>
              <w:t>FR-24</w:t>
            </w:r>
          </w:p>
        </w:tc>
        <w:tc>
          <w:tcPr>
            <w:tcW w:type="dxa" w:w="2304"/>
            <w:shd w:fill="F7FAFC"/>
            <w:tcMar>
              <w:top w:w="80" w:type="dxa"/>
              <w:bottom w:w="80" w:type="dxa"/>
              <w:left w:w="120" w:type="dxa"/>
              <w:right w:w="120" w:type="dxa"/>
            </w:tcMar>
          </w:tcPr>
          <w:p>
            <w:r>
              <w:rPr>
                <w:rFonts w:ascii="Calibri" w:hAnsi="Calibri"/>
                <w:color w:val="1A202C"/>
                <w:sz w:val="18"/>
              </w:rPr>
              <w:t>Assessment History</w:t>
            </w:r>
          </w:p>
        </w:tc>
        <w:tc>
          <w:tcPr>
            <w:tcW w:type="dxa" w:w="3168"/>
            <w:shd w:fill="F7FAFC"/>
            <w:tcMar>
              <w:top w:w="80" w:type="dxa"/>
              <w:bottom w:w="80" w:type="dxa"/>
              <w:left w:w="120" w:type="dxa"/>
              <w:right w:w="120" w:type="dxa"/>
            </w:tcMar>
          </w:tcPr>
          <w:p>
            <w:r>
              <w:rPr>
                <w:rFonts w:ascii="Calibri" w:hAnsi="Calibri"/>
                <w:color w:val="1A202C"/>
                <w:sz w:val="18"/>
              </w:rPr>
              <w:t>Display historical assessment timeline.</w:t>
            </w:r>
          </w:p>
        </w:tc>
        <w:tc>
          <w:tcPr>
            <w:tcW w:type="dxa" w:w="2448"/>
            <w:shd w:fill="F7FAFC"/>
            <w:tcMar>
              <w:top w:w="80" w:type="dxa"/>
              <w:bottom w:w="80" w:type="dxa"/>
              <w:left w:w="120" w:type="dxa"/>
              <w:right w:w="120" w:type="dxa"/>
            </w:tcMar>
          </w:tcPr>
          <w:p>
            <w:r>
              <w:rPr>
                <w:rFonts w:ascii="Calibri" w:hAnsi="Calibri"/>
                <w:color w:val="1A202C"/>
                <w:sz w:val="18"/>
              </w:rPr>
              <w:t>Allows patients and doctors to view prior assessment progression.</w:t>
            </w:r>
          </w:p>
        </w:tc>
      </w:tr>
      <w:tr>
        <w:tc>
          <w:tcPr>
            <w:tcW w:type="dxa" w:w="1440"/>
            <w:shd w:fill="FFFFFF"/>
            <w:tcMar>
              <w:top w:w="80" w:type="dxa"/>
              <w:bottom w:w="80" w:type="dxa"/>
              <w:left w:w="120" w:type="dxa"/>
              <w:right w:w="120" w:type="dxa"/>
            </w:tcMar>
          </w:tcPr>
          <w:p>
            <w:r>
              <w:rPr>
                <w:rFonts w:ascii="Calibri" w:hAnsi="Calibri"/>
                <w:color w:val="1A202C"/>
                <w:sz w:val="18"/>
              </w:rPr>
              <w:t>FR-25</w:t>
            </w:r>
          </w:p>
        </w:tc>
        <w:tc>
          <w:tcPr>
            <w:tcW w:type="dxa" w:w="2304"/>
            <w:shd w:fill="FFFFFF"/>
            <w:tcMar>
              <w:top w:w="80" w:type="dxa"/>
              <w:bottom w:w="80" w:type="dxa"/>
              <w:left w:w="120" w:type="dxa"/>
              <w:right w:w="120" w:type="dxa"/>
            </w:tcMar>
          </w:tcPr>
          <w:p>
            <w:r>
              <w:rPr>
                <w:rFonts w:ascii="Calibri" w:hAnsi="Calibri"/>
                <w:color w:val="1A202C"/>
                <w:sz w:val="18"/>
              </w:rPr>
              <w:t>Doctor Portal</w:t>
            </w:r>
          </w:p>
        </w:tc>
        <w:tc>
          <w:tcPr>
            <w:tcW w:type="dxa" w:w="3168"/>
            <w:shd w:fill="FFFFFF"/>
            <w:tcMar>
              <w:top w:w="80" w:type="dxa"/>
              <w:bottom w:w="80" w:type="dxa"/>
              <w:left w:w="120" w:type="dxa"/>
              <w:right w:w="120" w:type="dxa"/>
            </w:tcMar>
          </w:tcPr>
          <w:p>
            <w:r>
              <w:rPr>
                <w:rFonts w:ascii="Calibri" w:hAnsi="Calibri"/>
                <w:color w:val="1A202C"/>
                <w:sz w:val="18"/>
              </w:rPr>
              <w:t>Enable doctor review and verification.</w:t>
            </w:r>
          </w:p>
        </w:tc>
        <w:tc>
          <w:tcPr>
            <w:tcW w:type="dxa" w:w="2448"/>
            <w:shd w:fill="FFFFFF"/>
            <w:tcMar>
              <w:top w:w="80" w:type="dxa"/>
              <w:bottom w:w="80" w:type="dxa"/>
              <w:left w:w="120" w:type="dxa"/>
              <w:right w:w="120" w:type="dxa"/>
            </w:tcMar>
          </w:tcPr>
          <w:p>
            <w:r>
              <w:rPr>
                <w:rFonts w:ascii="Calibri" w:hAnsi="Calibri"/>
                <w:color w:val="1A202C"/>
                <w:sz w:val="18"/>
              </w:rPr>
              <w:t>Doctors inspect assigned patient assessments and append review notes.</w:t>
            </w:r>
          </w:p>
        </w:tc>
      </w:tr>
      <w:tr>
        <w:tc>
          <w:tcPr>
            <w:tcW w:type="dxa" w:w="1440"/>
            <w:shd w:fill="F7FAFC"/>
            <w:tcMar>
              <w:top w:w="80" w:type="dxa"/>
              <w:bottom w:w="80" w:type="dxa"/>
              <w:left w:w="120" w:type="dxa"/>
              <w:right w:w="120" w:type="dxa"/>
            </w:tcMar>
          </w:tcPr>
          <w:p>
            <w:r>
              <w:rPr>
                <w:rFonts w:ascii="Calibri" w:hAnsi="Calibri"/>
                <w:color w:val="1A202C"/>
                <w:sz w:val="18"/>
              </w:rPr>
              <w:t>FR-26</w:t>
            </w:r>
          </w:p>
        </w:tc>
        <w:tc>
          <w:tcPr>
            <w:tcW w:type="dxa" w:w="2304"/>
            <w:shd w:fill="F7FAFC"/>
            <w:tcMar>
              <w:top w:w="80" w:type="dxa"/>
              <w:bottom w:w="80" w:type="dxa"/>
              <w:left w:w="120" w:type="dxa"/>
              <w:right w:w="120" w:type="dxa"/>
            </w:tcMar>
          </w:tcPr>
          <w:p>
            <w:r>
              <w:rPr>
                <w:rFonts w:ascii="Calibri" w:hAnsi="Calibri"/>
                <w:color w:val="1A202C"/>
                <w:sz w:val="18"/>
              </w:rPr>
              <w:t>Admin Governance</w:t>
            </w:r>
          </w:p>
        </w:tc>
        <w:tc>
          <w:tcPr>
            <w:tcW w:type="dxa" w:w="3168"/>
            <w:shd w:fill="F7FAFC"/>
            <w:tcMar>
              <w:top w:w="80" w:type="dxa"/>
              <w:bottom w:w="80" w:type="dxa"/>
              <w:left w:w="120" w:type="dxa"/>
              <w:right w:w="120" w:type="dxa"/>
            </w:tcMar>
          </w:tcPr>
          <w:p>
            <w:r>
              <w:rPr>
                <w:rFonts w:ascii="Calibri" w:hAnsi="Calibri"/>
                <w:color w:val="1A202C"/>
                <w:sz w:val="18"/>
              </w:rPr>
              <w:t>Manage users, doctor verification, system health.</w:t>
            </w:r>
          </w:p>
        </w:tc>
        <w:tc>
          <w:tcPr>
            <w:tcW w:type="dxa" w:w="2448"/>
            <w:shd w:fill="F7FAFC"/>
            <w:tcMar>
              <w:top w:w="80" w:type="dxa"/>
              <w:bottom w:w="80" w:type="dxa"/>
              <w:left w:w="120" w:type="dxa"/>
              <w:right w:w="120" w:type="dxa"/>
            </w:tcMar>
          </w:tcPr>
          <w:p>
            <w:r>
              <w:rPr>
                <w:rFonts w:ascii="Calibri" w:hAnsi="Calibri"/>
                <w:color w:val="1A202C"/>
                <w:sz w:val="18"/>
              </w:rPr>
              <w:t>Provides admin dashboard for system monitoring and account governance.</w:t>
            </w:r>
          </w:p>
        </w:tc>
      </w:tr>
      <w:tr>
        <w:tc>
          <w:tcPr>
            <w:tcW w:type="dxa" w:w="1440"/>
            <w:shd w:fill="FFFFFF"/>
            <w:tcMar>
              <w:top w:w="80" w:type="dxa"/>
              <w:bottom w:w="80" w:type="dxa"/>
              <w:left w:w="120" w:type="dxa"/>
              <w:right w:w="120" w:type="dxa"/>
            </w:tcMar>
          </w:tcPr>
          <w:p>
            <w:r>
              <w:rPr>
                <w:rFonts w:ascii="Calibri" w:hAnsi="Calibri"/>
                <w:color w:val="1A202C"/>
                <w:sz w:val="18"/>
              </w:rPr>
              <w:t>FR-27</w:t>
            </w:r>
          </w:p>
        </w:tc>
        <w:tc>
          <w:tcPr>
            <w:tcW w:type="dxa" w:w="2304"/>
            <w:shd w:fill="FFFFFF"/>
            <w:tcMar>
              <w:top w:w="80" w:type="dxa"/>
              <w:bottom w:w="80" w:type="dxa"/>
              <w:left w:w="120" w:type="dxa"/>
              <w:right w:w="120" w:type="dxa"/>
            </w:tcMar>
          </w:tcPr>
          <w:p>
            <w:r>
              <w:rPr>
                <w:rFonts w:ascii="Calibri" w:hAnsi="Calibri"/>
                <w:color w:val="1A202C"/>
                <w:sz w:val="18"/>
              </w:rPr>
              <w:t>Error Handling</w:t>
            </w:r>
          </w:p>
        </w:tc>
        <w:tc>
          <w:tcPr>
            <w:tcW w:type="dxa" w:w="3168"/>
            <w:shd w:fill="FFFFFF"/>
            <w:tcMar>
              <w:top w:w="80" w:type="dxa"/>
              <w:bottom w:w="80" w:type="dxa"/>
              <w:left w:w="120" w:type="dxa"/>
              <w:right w:w="120" w:type="dxa"/>
            </w:tcMar>
          </w:tcPr>
          <w:p>
            <w:r>
              <w:rPr>
                <w:rFonts w:ascii="Calibri" w:hAnsi="Calibri"/>
                <w:color w:val="1A202C"/>
                <w:sz w:val="18"/>
              </w:rPr>
              <w:t>Handle missing modalities &amp; server errors.</w:t>
            </w:r>
          </w:p>
        </w:tc>
        <w:tc>
          <w:tcPr>
            <w:tcW w:type="dxa" w:w="2448"/>
            <w:shd w:fill="FFFFFF"/>
            <w:tcMar>
              <w:top w:w="80" w:type="dxa"/>
              <w:bottom w:w="80" w:type="dxa"/>
              <w:left w:w="120" w:type="dxa"/>
              <w:right w:w="120" w:type="dxa"/>
            </w:tcMar>
          </w:tcPr>
          <w:p>
            <w:r>
              <w:rPr>
                <w:rFonts w:ascii="Calibri" w:hAnsi="Calibri"/>
                <w:color w:val="1A202C"/>
                <w:sz w:val="18"/>
              </w:rPr>
              <w:t>Displays descriptive user alerts and maintains operational stability.</w:t>
            </w:r>
          </w:p>
        </w:tc>
      </w:tr>
      <w:tr>
        <w:tc>
          <w:tcPr>
            <w:tcW w:type="dxa" w:w="1440"/>
            <w:shd w:fill="F7FAFC"/>
            <w:tcMar>
              <w:top w:w="80" w:type="dxa"/>
              <w:bottom w:w="80" w:type="dxa"/>
              <w:left w:w="120" w:type="dxa"/>
              <w:right w:w="120" w:type="dxa"/>
            </w:tcMar>
          </w:tcPr>
          <w:p>
            <w:r>
              <w:rPr>
                <w:rFonts w:ascii="Calibri" w:hAnsi="Calibri"/>
                <w:color w:val="1A202C"/>
                <w:sz w:val="18"/>
              </w:rPr>
              <w:t>FR-28</w:t>
            </w:r>
          </w:p>
        </w:tc>
        <w:tc>
          <w:tcPr>
            <w:tcW w:type="dxa" w:w="2304"/>
            <w:shd w:fill="F7FAFC"/>
            <w:tcMar>
              <w:top w:w="80" w:type="dxa"/>
              <w:bottom w:w="80" w:type="dxa"/>
              <w:left w:w="120" w:type="dxa"/>
              <w:right w:w="120" w:type="dxa"/>
            </w:tcMar>
          </w:tcPr>
          <w:p>
            <w:r>
              <w:rPr>
                <w:rFonts w:ascii="Calibri" w:hAnsi="Calibri"/>
                <w:color w:val="1A202C"/>
                <w:sz w:val="18"/>
              </w:rPr>
              <w:t>Audit Logging</w:t>
            </w:r>
          </w:p>
        </w:tc>
        <w:tc>
          <w:tcPr>
            <w:tcW w:type="dxa" w:w="3168"/>
            <w:shd w:fill="F7FAFC"/>
            <w:tcMar>
              <w:top w:w="80" w:type="dxa"/>
              <w:bottom w:w="80" w:type="dxa"/>
              <w:left w:w="120" w:type="dxa"/>
              <w:right w:w="120" w:type="dxa"/>
            </w:tcMar>
          </w:tcPr>
          <w:p>
            <w:r>
              <w:rPr>
                <w:rFonts w:ascii="Calibri" w:hAnsi="Calibri"/>
                <w:color w:val="1A202C"/>
                <w:sz w:val="18"/>
              </w:rPr>
              <w:t>Record security and data access audit events.</w:t>
            </w:r>
          </w:p>
        </w:tc>
        <w:tc>
          <w:tcPr>
            <w:tcW w:type="dxa" w:w="2448"/>
            <w:shd w:fill="F7FAFC"/>
            <w:tcMar>
              <w:top w:w="80" w:type="dxa"/>
              <w:bottom w:w="80" w:type="dxa"/>
              <w:left w:w="120" w:type="dxa"/>
              <w:right w:w="120" w:type="dxa"/>
            </w:tcMar>
          </w:tcPr>
          <w:p>
            <w:r>
              <w:rPr>
                <w:rFonts w:ascii="Calibri" w:hAnsi="Calibri"/>
                <w:color w:val="1A202C"/>
                <w:sz w:val="18"/>
              </w:rPr>
              <w:t>Logs login attempts, data access, and clinical status transitions.</w:t>
            </w:r>
          </w:p>
        </w:tc>
      </w:tr>
    </w:tbl>
    <w:p>
      <w:pPr>
        <w:keepNext/>
        <w:spacing w:before="280" w:after="120"/>
      </w:pPr>
      <w:r>
        <w:rPr>
          <w:rFonts w:ascii="Calibri" w:hAnsi="Calibri"/>
          <w:b/>
          <w:color w:val="1B365D"/>
          <w:sz w:val="32"/>
        </w:rPr>
        <w:t>4. NON-FUNCTIONAL REQUIREMENTS</w:t>
      </w:r>
    </w:p>
    <w:p>
      <w:pPr>
        <w:spacing w:before="0" w:after="100" w:line="276" w:lineRule="auto"/>
      </w:pPr>
      <w:r>
        <w:rPr>
          <w:rFonts w:ascii="Calibri" w:hAnsi="Calibri"/>
          <w:color w:val="1A202C"/>
          <w:sz w:val="21"/>
        </w:rPr>
        <w:t>Non-functional requirements specify quality attributes, performance benchmarks, security standards, and system constraints: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152"/>
            <w:shd w:fill="1B365D"/>
            <w:tcMar>
              <w:top w:w="100" w:type="dxa"/>
              <w:bottom w:w="100" w:type="dxa"/>
              <w:left w:w="120" w:type="dxa"/>
              <w:right w:w="120" w:type="dxa"/>
            </w:tcMar>
          </w:tcPr>
          <w:p>
            <w:pPr>
              <w:jc w:val="left"/>
            </w:pPr>
            <w:r>
              <w:rPr>
                <w:rFonts w:ascii="Calibri" w:hAnsi="Calibri"/>
                <w:b/>
                <w:color w:val="FFFFFF"/>
                <w:sz w:val="19"/>
              </w:rPr>
              <w:t>ID</w:t>
            </w:r>
          </w:p>
        </w:tc>
        <w:tc>
          <w:tcPr>
            <w:tcW w:type="dxa" w:w="1872"/>
            <w:shd w:fill="1B365D"/>
            <w:tcMar>
              <w:top w:w="100" w:type="dxa"/>
              <w:bottom w:w="100" w:type="dxa"/>
              <w:left w:w="120" w:type="dxa"/>
              <w:right w:w="120" w:type="dxa"/>
            </w:tcMar>
          </w:tcPr>
          <w:p>
            <w:pPr>
              <w:jc w:val="left"/>
            </w:pPr>
            <w:r>
              <w:rPr>
                <w:rFonts w:ascii="Calibri" w:hAnsi="Calibri"/>
                <w:b/>
                <w:color w:val="FFFFFF"/>
                <w:sz w:val="19"/>
              </w:rPr>
              <w:t>Category</w:t>
            </w:r>
          </w:p>
        </w:tc>
        <w:tc>
          <w:tcPr>
            <w:tcW w:type="dxa" w:w="4032"/>
            <w:shd w:fill="1B365D"/>
            <w:tcMar>
              <w:top w:w="100" w:type="dxa"/>
              <w:bottom w:w="100" w:type="dxa"/>
              <w:left w:w="120" w:type="dxa"/>
              <w:right w:w="120" w:type="dxa"/>
            </w:tcMar>
          </w:tcPr>
          <w:p>
            <w:pPr>
              <w:jc w:val="left"/>
            </w:pPr>
            <w:r>
              <w:rPr>
                <w:rFonts w:ascii="Calibri" w:hAnsi="Calibri"/>
                <w:b/>
                <w:color w:val="FFFFFF"/>
                <w:sz w:val="19"/>
              </w:rPr>
              <w:t>Requirement Specification</w:t>
            </w:r>
          </w:p>
        </w:tc>
        <w:tc>
          <w:tcPr>
            <w:tcW w:type="dxa" w:w="2304"/>
            <w:shd w:fill="1B365D"/>
            <w:tcMar>
              <w:top w:w="100" w:type="dxa"/>
              <w:bottom w:w="100" w:type="dxa"/>
              <w:left w:w="120" w:type="dxa"/>
              <w:right w:w="120" w:type="dxa"/>
            </w:tcMar>
          </w:tcPr>
          <w:p>
            <w:pPr>
              <w:jc w:val="left"/>
            </w:pPr>
            <w:r>
              <w:rPr>
                <w:rFonts w:ascii="Calibri" w:hAnsi="Calibri"/>
                <w:b/>
                <w:color w:val="FFFFFF"/>
                <w:sz w:val="19"/>
              </w:rPr>
              <w:t>Target Metric / Standard</w:t>
            </w:r>
          </w:p>
        </w:tc>
      </w:tr>
      <w:tr>
        <w:tc>
          <w:tcPr>
            <w:tcW w:type="dxa" w:w="1152"/>
            <w:shd w:fill="FFFFFF"/>
            <w:tcMar>
              <w:top w:w="80" w:type="dxa"/>
              <w:bottom w:w="80" w:type="dxa"/>
              <w:left w:w="120" w:type="dxa"/>
              <w:right w:w="120" w:type="dxa"/>
            </w:tcMar>
          </w:tcPr>
          <w:p>
            <w:r>
              <w:rPr>
                <w:rFonts w:ascii="Calibri" w:hAnsi="Calibri"/>
                <w:color w:val="1A202C"/>
                <w:sz w:val="18"/>
              </w:rPr>
              <w:t>NFR-01</w:t>
            </w:r>
          </w:p>
        </w:tc>
        <w:tc>
          <w:tcPr>
            <w:tcW w:type="dxa" w:w="1872"/>
            <w:shd w:fill="FFFFFF"/>
            <w:tcMar>
              <w:top w:w="80" w:type="dxa"/>
              <w:bottom w:w="80" w:type="dxa"/>
              <w:left w:w="120" w:type="dxa"/>
              <w:right w:w="120" w:type="dxa"/>
            </w:tcMar>
          </w:tcPr>
          <w:p>
            <w:r>
              <w:rPr>
                <w:rFonts w:ascii="Calibri" w:hAnsi="Calibri"/>
                <w:color w:val="1A202C"/>
                <w:sz w:val="18"/>
              </w:rPr>
              <w:t>Performance</w:t>
            </w:r>
          </w:p>
        </w:tc>
        <w:tc>
          <w:tcPr>
            <w:tcW w:type="dxa" w:w="4032"/>
            <w:shd w:fill="FFFFFF"/>
            <w:tcMar>
              <w:top w:w="80" w:type="dxa"/>
              <w:bottom w:w="80" w:type="dxa"/>
              <w:left w:w="120" w:type="dxa"/>
              <w:right w:w="120" w:type="dxa"/>
            </w:tcMar>
          </w:tcPr>
          <w:p>
            <w:r>
              <w:rPr>
                <w:rFonts w:ascii="Calibri" w:hAnsi="Calibri"/>
                <w:color w:val="1A202C"/>
                <w:sz w:val="18"/>
              </w:rPr>
              <w:t>End-to-end ML inference response time.</w:t>
            </w:r>
          </w:p>
        </w:tc>
        <w:tc>
          <w:tcPr>
            <w:tcW w:type="dxa" w:w="2304"/>
            <w:shd w:fill="FFFFFF"/>
            <w:tcMar>
              <w:top w:w="80" w:type="dxa"/>
              <w:bottom w:w="80" w:type="dxa"/>
              <w:left w:w="120" w:type="dxa"/>
              <w:right w:w="120" w:type="dxa"/>
            </w:tcMar>
          </w:tcPr>
          <w:p>
            <w:r>
              <w:rPr>
                <w:rFonts w:ascii="Calibri" w:hAnsi="Calibri"/>
                <w:color w:val="1A202C"/>
                <w:sz w:val="18"/>
              </w:rPr>
              <w:t>&lt; 1.5 seconds for multi-modal inference.</w:t>
            </w:r>
          </w:p>
        </w:tc>
      </w:tr>
      <w:tr>
        <w:tc>
          <w:tcPr>
            <w:tcW w:type="dxa" w:w="1152"/>
            <w:shd w:fill="F7FAFC"/>
            <w:tcMar>
              <w:top w:w="80" w:type="dxa"/>
              <w:bottom w:w="80" w:type="dxa"/>
              <w:left w:w="120" w:type="dxa"/>
              <w:right w:w="120" w:type="dxa"/>
            </w:tcMar>
          </w:tcPr>
          <w:p>
            <w:r>
              <w:rPr>
                <w:rFonts w:ascii="Calibri" w:hAnsi="Calibri"/>
                <w:color w:val="1A202C"/>
                <w:sz w:val="18"/>
              </w:rPr>
              <w:t>NFR-02</w:t>
            </w:r>
          </w:p>
        </w:tc>
        <w:tc>
          <w:tcPr>
            <w:tcW w:type="dxa" w:w="1872"/>
            <w:shd w:fill="F7FAFC"/>
            <w:tcMar>
              <w:top w:w="80" w:type="dxa"/>
              <w:bottom w:w="80" w:type="dxa"/>
              <w:left w:w="120" w:type="dxa"/>
              <w:right w:w="120" w:type="dxa"/>
            </w:tcMar>
          </w:tcPr>
          <w:p>
            <w:r>
              <w:rPr>
                <w:rFonts w:ascii="Calibri" w:hAnsi="Calibri"/>
                <w:color w:val="1A202C"/>
                <w:sz w:val="18"/>
              </w:rPr>
              <w:t>Performance</w:t>
            </w:r>
          </w:p>
        </w:tc>
        <w:tc>
          <w:tcPr>
            <w:tcW w:type="dxa" w:w="4032"/>
            <w:shd w:fill="F7FAFC"/>
            <w:tcMar>
              <w:top w:w="80" w:type="dxa"/>
              <w:bottom w:w="80" w:type="dxa"/>
              <w:left w:w="120" w:type="dxa"/>
              <w:right w:w="120" w:type="dxa"/>
            </w:tcMar>
          </w:tcPr>
          <w:p>
            <w:r>
              <w:rPr>
                <w:rFonts w:ascii="Calibri" w:hAnsi="Calibri"/>
                <w:color w:val="1A202C"/>
                <w:sz w:val="18"/>
              </w:rPr>
              <w:t>RAG vector search and LLM report synthesis.</w:t>
            </w:r>
          </w:p>
        </w:tc>
        <w:tc>
          <w:tcPr>
            <w:tcW w:type="dxa" w:w="2304"/>
            <w:shd w:fill="F7FAFC"/>
            <w:tcMar>
              <w:top w:w="80" w:type="dxa"/>
              <w:bottom w:w="80" w:type="dxa"/>
              <w:left w:w="120" w:type="dxa"/>
              <w:right w:w="120" w:type="dxa"/>
            </w:tcMar>
          </w:tcPr>
          <w:p>
            <w:r>
              <w:rPr>
                <w:rFonts w:ascii="Calibri" w:hAnsi="Calibri"/>
                <w:color w:val="1A202C"/>
                <w:sz w:val="18"/>
              </w:rPr>
              <w:t>&lt; 4.0 seconds for complete report generation.</w:t>
            </w:r>
          </w:p>
        </w:tc>
      </w:tr>
      <w:tr>
        <w:tc>
          <w:tcPr>
            <w:tcW w:type="dxa" w:w="1152"/>
            <w:shd w:fill="FFFFFF"/>
            <w:tcMar>
              <w:top w:w="80" w:type="dxa"/>
              <w:bottom w:w="80" w:type="dxa"/>
              <w:left w:w="120" w:type="dxa"/>
              <w:right w:w="120" w:type="dxa"/>
            </w:tcMar>
          </w:tcPr>
          <w:p>
            <w:r>
              <w:rPr>
                <w:rFonts w:ascii="Calibri" w:hAnsi="Calibri"/>
                <w:color w:val="1A202C"/>
                <w:sz w:val="18"/>
              </w:rPr>
              <w:t>NFR-03</w:t>
            </w:r>
          </w:p>
        </w:tc>
        <w:tc>
          <w:tcPr>
            <w:tcW w:type="dxa" w:w="1872"/>
            <w:shd w:fill="FFFFFF"/>
            <w:tcMar>
              <w:top w:w="80" w:type="dxa"/>
              <w:bottom w:w="80" w:type="dxa"/>
              <w:left w:w="120" w:type="dxa"/>
              <w:right w:w="120" w:type="dxa"/>
            </w:tcMar>
          </w:tcPr>
          <w:p>
            <w:r>
              <w:rPr>
                <w:rFonts w:ascii="Calibri" w:hAnsi="Calibri"/>
                <w:color w:val="1A202C"/>
                <w:sz w:val="18"/>
              </w:rPr>
              <w:t>Availability</w:t>
            </w:r>
          </w:p>
        </w:tc>
        <w:tc>
          <w:tcPr>
            <w:tcW w:type="dxa" w:w="4032"/>
            <w:shd w:fill="FFFFFF"/>
            <w:tcMar>
              <w:top w:w="80" w:type="dxa"/>
              <w:bottom w:w="80" w:type="dxa"/>
              <w:left w:w="120" w:type="dxa"/>
              <w:right w:w="120" w:type="dxa"/>
            </w:tcMar>
          </w:tcPr>
          <w:p>
            <w:r>
              <w:rPr>
                <w:rFonts w:ascii="Calibri" w:hAnsi="Calibri"/>
                <w:color w:val="1A202C"/>
                <w:sz w:val="18"/>
              </w:rPr>
              <w:t>System operational uptime.</w:t>
            </w:r>
          </w:p>
        </w:tc>
        <w:tc>
          <w:tcPr>
            <w:tcW w:type="dxa" w:w="2304"/>
            <w:shd w:fill="FFFFFF"/>
            <w:tcMar>
              <w:top w:w="80" w:type="dxa"/>
              <w:bottom w:w="80" w:type="dxa"/>
              <w:left w:w="120" w:type="dxa"/>
              <w:right w:w="120" w:type="dxa"/>
            </w:tcMar>
          </w:tcPr>
          <w:p>
            <w:r>
              <w:rPr>
                <w:rFonts w:ascii="Calibri" w:hAnsi="Calibri"/>
                <w:color w:val="1A202C"/>
                <w:sz w:val="18"/>
              </w:rPr>
              <w:t>99.5% availability during operational hours.</w:t>
            </w:r>
          </w:p>
        </w:tc>
      </w:tr>
      <w:tr>
        <w:tc>
          <w:tcPr>
            <w:tcW w:type="dxa" w:w="1152"/>
            <w:shd w:fill="F7FAFC"/>
            <w:tcMar>
              <w:top w:w="80" w:type="dxa"/>
              <w:bottom w:w="80" w:type="dxa"/>
              <w:left w:w="120" w:type="dxa"/>
              <w:right w:w="120" w:type="dxa"/>
            </w:tcMar>
          </w:tcPr>
          <w:p>
            <w:r>
              <w:rPr>
                <w:rFonts w:ascii="Calibri" w:hAnsi="Calibri"/>
                <w:color w:val="1A202C"/>
                <w:sz w:val="18"/>
              </w:rPr>
              <w:t>NFR-04</w:t>
            </w:r>
          </w:p>
        </w:tc>
        <w:tc>
          <w:tcPr>
            <w:tcW w:type="dxa" w:w="1872"/>
            <w:shd w:fill="F7FAFC"/>
            <w:tcMar>
              <w:top w:w="80" w:type="dxa"/>
              <w:bottom w:w="80" w:type="dxa"/>
              <w:left w:w="120" w:type="dxa"/>
              <w:right w:w="120" w:type="dxa"/>
            </w:tcMar>
          </w:tcPr>
          <w:p>
            <w:r>
              <w:rPr>
                <w:rFonts w:ascii="Calibri" w:hAnsi="Calibri"/>
                <w:color w:val="1A202C"/>
                <w:sz w:val="18"/>
              </w:rPr>
              <w:t>Scalability</w:t>
            </w:r>
          </w:p>
        </w:tc>
        <w:tc>
          <w:tcPr>
            <w:tcW w:type="dxa" w:w="4032"/>
            <w:shd w:fill="F7FAFC"/>
            <w:tcMar>
              <w:top w:w="80" w:type="dxa"/>
              <w:bottom w:w="80" w:type="dxa"/>
              <w:left w:w="120" w:type="dxa"/>
              <w:right w:w="120" w:type="dxa"/>
            </w:tcMar>
          </w:tcPr>
          <w:p>
            <w:r>
              <w:rPr>
                <w:rFonts w:ascii="Calibri" w:hAnsi="Calibri"/>
                <w:color w:val="1A202C"/>
                <w:sz w:val="18"/>
              </w:rPr>
              <w:t>Stateless API server design with connection pooling.</w:t>
            </w:r>
          </w:p>
        </w:tc>
        <w:tc>
          <w:tcPr>
            <w:tcW w:type="dxa" w:w="2304"/>
            <w:shd w:fill="F7FAFC"/>
            <w:tcMar>
              <w:top w:w="80" w:type="dxa"/>
              <w:bottom w:w="80" w:type="dxa"/>
              <w:left w:w="120" w:type="dxa"/>
              <w:right w:w="120" w:type="dxa"/>
            </w:tcMar>
          </w:tcPr>
          <w:p>
            <w:r>
              <w:rPr>
                <w:rFonts w:ascii="Calibri" w:hAnsi="Calibri"/>
                <w:color w:val="1A202C"/>
                <w:sz w:val="18"/>
              </w:rPr>
              <w:t>Supports 100+ concurrent user sessions.</w:t>
            </w:r>
          </w:p>
        </w:tc>
      </w:tr>
      <w:tr>
        <w:tc>
          <w:tcPr>
            <w:tcW w:type="dxa" w:w="1152"/>
            <w:shd w:fill="FFFFFF"/>
            <w:tcMar>
              <w:top w:w="80" w:type="dxa"/>
              <w:bottom w:w="80" w:type="dxa"/>
              <w:left w:w="120" w:type="dxa"/>
              <w:right w:w="120" w:type="dxa"/>
            </w:tcMar>
          </w:tcPr>
          <w:p>
            <w:r>
              <w:rPr>
                <w:rFonts w:ascii="Calibri" w:hAnsi="Calibri"/>
                <w:color w:val="1A202C"/>
                <w:sz w:val="18"/>
              </w:rPr>
              <w:t>NFR-05</w:t>
            </w:r>
          </w:p>
        </w:tc>
        <w:tc>
          <w:tcPr>
            <w:tcW w:type="dxa" w:w="1872"/>
            <w:shd w:fill="FFFFFF"/>
            <w:tcMar>
              <w:top w:w="80" w:type="dxa"/>
              <w:bottom w:w="80" w:type="dxa"/>
              <w:left w:w="120" w:type="dxa"/>
              <w:right w:w="120" w:type="dxa"/>
            </w:tcMar>
          </w:tcPr>
          <w:p>
            <w:r>
              <w:rPr>
                <w:rFonts w:ascii="Calibri" w:hAnsi="Calibri"/>
                <w:color w:val="1A202C"/>
                <w:sz w:val="18"/>
              </w:rPr>
              <w:t>Security</w:t>
            </w:r>
          </w:p>
        </w:tc>
        <w:tc>
          <w:tcPr>
            <w:tcW w:type="dxa" w:w="4032"/>
            <w:shd w:fill="FFFFFF"/>
            <w:tcMar>
              <w:top w:w="80" w:type="dxa"/>
              <w:bottom w:w="80" w:type="dxa"/>
              <w:left w:w="120" w:type="dxa"/>
              <w:right w:w="120" w:type="dxa"/>
            </w:tcMar>
          </w:tcPr>
          <w:p>
            <w:r>
              <w:rPr>
                <w:rFonts w:ascii="Calibri" w:hAnsi="Calibri"/>
                <w:color w:val="1A202C"/>
                <w:sz w:val="18"/>
              </w:rPr>
              <w:t>Data in transit and at rest encryption.</w:t>
            </w:r>
          </w:p>
        </w:tc>
        <w:tc>
          <w:tcPr>
            <w:tcW w:type="dxa" w:w="2304"/>
            <w:shd w:fill="FFFFFF"/>
            <w:tcMar>
              <w:top w:w="80" w:type="dxa"/>
              <w:bottom w:w="80" w:type="dxa"/>
              <w:left w:w="120" w:type="dxa"/>
              <w:right w:w="120" w:type="dxa"/>
            </w:tcMar>
          </w:tcPr>
          <w:p>
            <w:r>
              <w:rPr>
                <w:rFonts w:ascii="Calibri" w:hAnsi="Calibri"/>
                <w:color w:val="1A202C"/>
                <w:sz w:val="18"/>
              </w:rPr>
              <w:t>TLS 1.3 for in-transit; AES-256 for database storage.</w:t>
            </w:r>
          </w:p>
        </w:tc>
      </w:tr>
      <w:tr>
        <w:tc>
          <w:tcPr>
            <w:tcW w:type="dxa" w:w="1152"/>
            <w:shd w:fill="F7FAFC"/>
            <w:tcMar>
              <w:top w:w="80" w:type="dxa"/>
              <w:bottom w:w="80" w:type="dxa"/>
              <w:left w:w="120" w:type="dxa"/>
              <w:right w:w="120" w:type="dxa"/>
            </w:tcMar>
          </w:tcPr>
          <w:p>
            <w:r>
              <w:rPr>
                <w:rFonts w:ascii="Calibri" w:hAnsi="Calibri"/>
                <w:color w:val="1A202C"/>
                <w:sz w:val="18"/>
              </w:rPr>
              <w:t>NFR-06</w:t>
            </w:r>
          </w:p>
        </w:tc>
        <w:tc>
          <w:tcPr>
            <w:tcW w:type="dxa" w:w="1872"/>
            <w:shd w:fill="F7FAFC"/>
            <w:tcMar>
              <w:top w:w="80" w:type="dxa"/>
              <w:bottom w:w="80" w:type="dxa"/>
              <w:left w:w="120" w:type="dxa"/>
              <w:right w:w="120" w:type="dxa"/>
            </w:tcMar>
          </w:tcPr>
          <w:p>
            <w:r>
              <w:rPr>
                <w:rFonts w:ascii="Calibri" w:hAnsi="Calibri"/>
                <w:color w:val="1A202C"/>
                <w:sz w:val="18"/>
              </w:rPr>
              <w:t>Security</w:t>
            </w:r>
          </w:p>
        </w:tc>
        <w:tc>
          <w:tcPr>
            <w:tcW w:type="dxa" w:w="4032"/>
            <w:shd w:fill="F7FAFC"/>
            <w:tcMar>
              <w:top w:w="80" w:type="dxa"/>
              <w:bottom w:w="80" w:type="dxa"/>
              <w:left w:w="120" w:type="dxa"/>
              <w:right w:w="120" w:type="dxa"/>
            </w:tcMar>
          </w:tcPr>
          <w:p>
            <w:r>
              <w:rPr>
                <w:rFonts w:ascii="Calibri" w:hAnsi="Calibri"/>
                <w:color w:val="1A202C"/>
                <w:sz w:val="18"/>
              </w:rPr>
              <w:t>Password storage hashing.</w:t>
            </w:r>
          </w:p>
        </w:tc>
        <w:tc>
          <w:tcPr>
            <w:tcW w:type="dxa" w:w="2304"/>
            <w:shd w:fill="F7FAFC"/>
            <w:tcMar>
              <w:top w:w="80" w:type="dxa"/>
              <w:bottom w:w="80" w:type="dxa"/>
              <w:left w:w="120" w:type="dxa"/>
              <w:right w:w="120" w:type="dxa"/>
            </w:tcMar>
          </w:tcPr>
          <w:p>
            <w:r>
              <w:rPr>
                <w:rFonts w:ascii="Calibri" w:hAnsi="Calibri"/>
                <w:color w:val="1A202C"/>
                <w:sz w:val="18"/>
              </w:rPr>
              <w:t>PBKDF2 / SHA-256 with unique 16-byte random salt.</w:t>
            </w:r>
          </w:p>
        </w:tc>
      </w:tr>
      <w:tr>
        <w:tc>
          <w:tcPr>
            <w:tcW w:type="dxa" w:w="1152"/>
            <w:shd w:fill="FFFFFF"/>
            <w:tcMar>
              <w:top w:w="80" w:type="dxa"/>
              <w:bottom w:w="80" w:type="dxa"/>
              <w:left w:w="120" w:type="dxa"/>
              <w:right w:w="120" w:type="dxa"/>
            </w:tcMar>
          </w:tcPr>
          <w:p>
            <w:r>
              <w:rPr>
                <w:rFonts w:ascii="Calibri" w:hAnsi="Calibri"/>
                <w:color w:val="1A202C"/>
                <w:sz w:val="18"/>
              </w:rPr>
              <w:t>NFR-07</w:t>
            </w:r>
          </w:p>
        </w:tc>
        <w:tc>
          <w:tcPr>
            <w:tcW w:type="dxa" w:w="1872"/>
            <w:shd w:fill="FFFFFF"/>
            <w:tcMar>
              <w:top w:w="80" w:type="dxa"/>
              <w:bottom w:w="80" w:type="dxa"/>
              <w:left w:w="120" w:type="dxa"/>
              <w:right w:w="120" w:type="dxa"/>
            </w:tcMar>
          </w:tcPr>
          <w:p>
            <w:r>
              <w:rPr>
                <w:rFonts w:ascii="Calibri" w:hAnsi="Calibri"/>
                <w:color w:val="1A202C"/>
                <w:sz w:val="18"/>
              </w:rPr>
              <w:t>Privacy</w:t>
            </w:r>
          </w:p>
        </w:tc>
        <w:tc>
          <w:tcPr>
            <w:tcW w:type="dxa" w:w="4032"/>
            <w:shd w:fill="FFFFFF"/>
            <w:tcMar>
              <w:top w:w="80" w:type="dxa"/>
              <w:bottom w:w="80" w:type="dxa"/>
              <w:left w:w="120" w:type="dxa"/>
              <w:right w:w="120" w:type="dxa"/>
            </w:tcMar>
          </w:tcPr>
          <w:p>
            <w:r>
              <w:rPr>
                <w:rFonts w:ascii="Calibri" w:hAnsi="Calibri"/>
                <w:color w:val="1A202C"/>
                <w:sz w:val="18"/>
              </w:rPr>
              <w:t>Patient clinical data isolation.</w:t>
            </w:r>
          </w:p>
        </w:tc>
        <w:tc>
          <w:tcPr>
            <w:tcW w:type="dxa" w:w="2304"/>
            <w:shd w:fill="FFFFFF"/>
            <w:tcMar>
              <w:top w:w="80" w:type="dxa"/>
              <w:bottom w:w="80" w:type="dxa"/>
              <w:left w:w="120" w:type="dxa"/>
              <w:right w:w="120" w:type="dxa"/>
            </w:tcMar>
          </w:tcPr>
          <w:p>
            <w:r>
              <w:rPr>
                <w:rFonts w:ascii="Calibri" w:hAnsi="Calibri"/>
                <w:color w:val="1A202C"/>
                <w:sz w:val="18"/>
              </w:rPr>
              <w:t>Strict tenant boundaries enforced at API &amp; DB query level.</w:t>
            </w:r>
          </w:p>
        </w:tc>
      </w:tr>
      <w:tr>
        <w:tc>
          <w:tcPr>
            <w:tcW w:type="dxa" w:w="1152"/>
            <w:shd w:fill="F7FAFC"/>
            <w:tcMar>
              <w:top w:w="80" w:type="dxa"/>
              <w:bottom w:w="80" w:type="dxa"/>
              <w:left w:w="120" w:type="dxa"/>
              <w:right w:w="120" w:type="dxa"/>
            </w:tcMar>
          </w:tcPr>
          <w:p>
            <w:r>
              <w:rPr>
                <w:rFonts w:ascii="Calibri" w:hAnsi="Calibri"/>
                <w:color w:val="1A202C"/>
                <w:sz w:val="18"/>
              </w:rPr>
              <w:t>NFR-08</w:t>
            </w:r>
          </w:p>
        </w:tc>
        <w:tc>
          <w:tcPr>
            <w:tcW w:type="dxa" w:w="1872"/>
            <w:shd w:fill="F7FAFC"/>
            <w:tcMar>
              <w:top w:w="80" w:type="dxa"/>
              <w:bottom w:w="80" w:type="dxa"/>
              <w:left w:w="120" w:type="dxa"/>
              <w:right w:w="120" w:type="dxa"/>
            </w:tcMar>
          </w:tcPr>
          <w:p>
            <w:r>
              <w:rPr>
                <w:rFonts w:ascii="Calibri" w:hAnsi="Calibri"/>
                <w:color w:val="1A202C"/>
                <w:sz w:val="18"/>
              </w:rPr>
              <w:t>Usability</w:t>
            </w:r>
          </w:p>
        </w:tc>
        <w:tc>
          <w:tcPr>
            <w:tcW w:type="dxa" w:w="4032"/>
            <w:shd w:fill="F7FAFC"/>
            <w:tcMar>
              <w:top w:w="80" w:type="dxa"/>
              <w:bottom w:w="80" w:type="dxa"/>
              <w:left w:w="120" w:type="dxa"/>
              <w:right w:w="120" w:type="dxa"/>
            </w:tcMar>
          </w:tcPr>
          <w:p>
            <w:r>
              <w:rPr>
                <w:rFonts w:ascii="Calibri" w:hAnsi="Calibri"/>
                <w:color w:val="1A202C"/>
                <w:sz w:val="18"/>
              </w:rPr>
              <w:t>Responsive, high-aesthetic web interface.</w:t>
            </w:r>
          </w:p>
        </w:tc>
        <w:tc>
          <w:tcPr>
            <w:tcW w:type="dxa" w:w="2304"/>
            <w:shd w:fill="F7FAFC"/>
            <w:tcMar>
              <w:top w:w="80" w:type="dxa"/>
              <w:bottom w:w="80" w:type="dxa"/>
              <w:left w:w="120" w:type="dxa"/>
              <w:right w:w="120" w:type="dxa"/>
            </w:tcMar>
          </w:tcPr>
          <w:p>
            <w:r>
              <w:rPr>
                <w:rFonts w:ascii="Calibri" w:hAnsi="Calibri"/>
                <w:color w:val="1A202C"/>
                <w:sz w:val="18"/>
              </w:rPr>
              <w:t>Fully functional across desktop, tablet, and mobile browsers.</w:t>
            </w:r>
          </w:p>
        </w:tc>
      </w:tr>
      <w:tr>
        <w:tc>
          <w:tcPr>
            <w:tcW w:type="dxa" w:w="1152"/>
            <w:shd w:fill="FFFFFF"/>
            <w:tcMar>
              <w:top w:w="80" w:type="dxa"/>
              <w:bottom w:w="80" w:type="dxa"/>
              <w:left w:w="120" w:type="dxa"/>
              <w:right w:w="120" w:type="dxa"/>
            </w:tcMar>
          </w:tcPr>
          <w:p>
            <w:r>
              <w:rPr>
                <w:rFonts w:ascii="Calibri" w:hAnsi="Calibri"/>
                <w:color w:val="1A202C"/>
                <w:sz w:val="18"/>
              </w:rPr>
              <w:t>NFR-09</w:t>
            </w:r>
          </w:p>
        </w:tc>
        <w:tc>
          <w:tcPr>
            <w:tcW w:type="dxa" w:w="1872"/>
            <w:shd w:fill="FFFFFF"/>
            <w:tcMar>
              <w:top w:w="80" w:type="dxa"/>
              <w:bottom w:w="80" w:type="dxa"/>
              <w:left w:w="120" w:type="dxa"/>
              <w:right w:w="120" w:type="dxa"/>
            </w:tcMar>
          </w:tcPr>
          <w:p>
            <w:r>
              <w:rPr>
                <w:rFonts w:ascii="Calibri" w:hAnsi="Calibri"/>
                <w:color w:val="1A202C"/>
                <w:sz w:val="18"/>
              </w:rPr>
              <w:t>Maintainability</w:t>
            </w:r>
          </w:p>
        </w:tc>
        <w:tc>
          <w:tcPr>
            <w:tcW w:type="dxa" w:w="4032"/>
            <w:shd w:fill="FFFFFF"/>
            <w:tcMar>
              <w:top w:w="80" w:type="dxa"/>
              <w:bottom w:w="80" w:type="dxa"/>
              <w:left w:w="120" w:type="dxa"/>
              <w:right w:w="120" w:type="dxa"/>
            </w:tcMar>
          </w:tcPr>
          <w:p>
            <w:r>
              <w:rPr>
                <w:rFonts w:ascii="Calibri" w:hAnsi="Calibri"/>
                <w:color w:val="1A202C"/>
                <w:sz w:val="18"/>
              </w:rPr>
              <w:t>Modular code structure with separation of concerns.</w:t>
            </w:r>
          </w:p>
        </w:tc>
        <w:tc>
          <w:tcPr>
            <w:tcW w:type="dxa" w:w="2304"/>
            <w:shd w:fill="FFFFFF"/>
            <w:tcMar>
              <w:top w:w="80" w:type="dxa"/>
              <w:bottom w:w="80" w:type="dxa"/>
              <w:left w:w="120" w:type="dxa"/>
              <w:right w:w="120" w:type="dxa"/>
            </w:tcMar>
          </w:tcPr>
          <w:p>
            <w:r>
              <w:rPr>
                <w:rFonts w:ascii="Calibri" w:hAnsi="Calibri"/>
                <w:color w:val="1A202C"/>
                <w:sz w:val="18"/>
              </w:rPr>
              <w:t>Clean REST architecture with documented FastAPI endpoints.</w:t>
            </w:r>
          </w:p>
        </w:tc>
      </w:tr>
      <w:tr>
        <w:tc>
          <w:tcPr>
            <w:tcW w:type="dxa" w:w="1152"/>
            <w:shd w:fill="F7FAFC"/>
            <w:tcMar>
              <w:top w:w="80" w:type="dxa"/>
              <w:bottom w:w="80" w:type="dxa"/>
              <w:left w:w="120" w:type="dxa"/>
              <w:right w:w="120" w:type="dxa"/>
            </w:tcMar>
          </w:tcPr>
          <w:p>
            <w:r>
              <w:rPr>
                <w:rFonts w:ascii="Calibri" w:hAnsi="Calibri"/>
                <w:color w:val="1A202C"/>
                <w:sz w:val="18"/>
              </w:rPr>
              <w:t>NFR-10</w:t>
            </w:r>
          </w:p>
        </w:tc>
        <w:tc>
          <w:tcPr>
            <w:tcW w:type="dxa" w:w="1872"/>
            <w:shd w:fill="F7FAFC"/>
            <w:tcMar>
              <w:top w:w="80" w:type="dxa"/>
              <w:bottom w:w="80" w:type="dxa"/>
              <w:left w:w="120" w:type="dxa"/>
              <w:right w:w="120" w:type="dxa"/>
            </w:tcMar>
          </w:tcPr>
          <w:p>
            <w:r>
              <w:rPr>
                <w:rFonts w:ascii="Calibri" w:hAnsi="Calibri"/>
                <w:color w:val="1A202C"/>
                <w:sz w:val="18"/>
              </w:rPr>
              <w:t>Extensibility</w:t>
            </w:r>
          </w:p>
        </w:tc>
        <w:tc>
          <w:tcPr>
            <w:tcW w:type="dxa" w:w="4032"/>
            <w:shd w:fill="F7FAFC"/>
            <w:tcMar>
              <w:top w:w="80" w:type="dxa"/>
              <w:bottom w:w="80" w:type="dxa"/>
              <w:left w:w="120" w:type="dxa"/>
              <w:right w:w="120" w:type="dxa"/>
            </w:tcMar>
          </w:tcPr>
          <w:p>
            <w:r>
              <w:rPr>
                <w:rFonts w:ascii="Calibri" w:hAnsi="Calibri"/>
                <w:color w:val="1A202C"/>
                <w:sz w:val="18"/>
              </w:rPr>
              <w:t>Pluggable ML expert model architecture.</w:t>
            </w:r>
          </w:p>
        </w:tc>
        <w:tc>
          <w:tcPr>
            <w:tcW w:type="dxa" w:w="2304"/>
            <w:shd w:fill="F7FAFC"/>
            <w:tcMar>
              <w:top w:w="80" w:type="dxa"/>
              <w:bottom w:w="80" w:type="dxa"/>
              <w:left w:w="120" w:type="dxa"/>
              <w:right w:w="120" w:type="dxa"/>
            </w:tcMar>
          </w:tcPr>
          <w:p>
            <w:r>
              <w:rPr>
                <w:rFonts w:ascii="Calibri" w:hAnsi="Calibri"/>
                <w:color w:val="1A202C"/>
                <w:sz w:val="18"/>
              </w:rPr>
              <w:t>Allows new modality experts to be added without breaking pipeline.</w:t>
            </w:r>
          </w:p>
        </w:tc>
      </w:tr>
      <w:tr>
        <w:tc>
          <w:tcPr>
            <w:tcW w:type="dxa" w:w="1152"/>
            <w:shd w:fill="FFFFFF"/>
            <w:tcMar>
              <w:top w:w="80" w:type="dxa"/>
              <w:bottom w:w="80" w:type="dxa"/>
              <w:left w:w="120" w:type="dxa"/>
              <w:right w:w="120" w:type="dxa"/>
            </w:tcMar>
          </w:tcPr>
          <w:p>
            <w:r>
              <w:rPr>
                <w:rFonts w:ascii="Calibri" w:hAnsi="Calibri"/>
                <w:color w:val="1A202C"/>
                <w:sz w:val="18"/>
              </w:rPr>
              <w:t>NFR-11</w:t>
            </w:r>
          </w:p>
        </w:tc>
        <w:tc>
          <w:tcPr>
            <w:tcW w:type="dxa" w:w="1872"/>
            <w:shd w:fill="FFFFFF"/>
            <w:tcMar>
              <w:top w:w="80" w:type="dxa"/>
              <w:bottom w:w="80" w:type="dxa"/>
              <w:left w:w="120" w:type="dxa"/>
              <w:right w:w="120" w:type="dxa"/>
            </w:tcMar>
          </w:tcPr>
          <w:p>
            <w:r>
              <w:rPr>
                <w:rFonts w:ascii="Calibri" w:hAnsi="Calibri"/>
                <w:color w:val="1A202C"/>
                <w:sz w:val="18"/>
              </w:rPr>
              <w:t>Explainability</w:t>
            </w:r>
          </w:p>
        </w:tc>
        <w:tc>
          <w:tcPr>
            <w:tcW w:type="dxa" w:w="4032"/>
            <w:shd w:fill="FFFFFF"/>
            <w:tcMar>
              <w:top w:w="80" w:type="dxa"/>
              <w:bottom w:w="80" w:type="dxa"/>
              <w:left w:w="120" w:type="dxa"/>
              <w:right w:w="120" w:type="dxa"/>
            </w:tcMar>
          </w:tcPr>
          <w:p>
            <w:r>
              <w:rPr>
                <w:rFonts w:ascii="Calibri" w:hAnsi="Calibri"/>
                <w:color w:val="1A202C"/>
                <w:sz w:val="18"/>
              </w:rPr>
              <w:t>Interpretable prediction attributions.</w:t>
            </w:r>
          </w:p>
        </w:tc>
        <w:tc>
          <w:tcPr>
            <w:tcW w:type="dxa" w:w="2304"/>
            <w:shd w:fill="FFFFFF"/>
            <w:tcMar>
              <w:top w:w="80" w:type="dxa"/>
              <w:bottom w:w="80" w:type="dxa"/>
              <w:left w:w="120" w:type="dxa"/>
              <w:right w:w="120" w:type="dxa"/>
            </w:tcMar>
          </w:tcPr>
          <w:p>
            <w:r>
              <w:rPr>
                <w:rFonts w:ascii="Calibri" w:hAnsi="Calibri"/>
                <w:color w:val="1A202C"/>
                <w:sz w:val="18"/>
              </w:rPr>
              <w:t>100% of predictions accompanied by TreeSHAP feature scores.</w:t>
            </w:r>
          </w:p>
        </w:tc>
      </w:tr>
      <w:tr>
        <w:tc>
          <w:tcPr>
            <w:tcW w:type="dxa" w:w="1152"/>
            <w:shd w:fill="F7FAFC"/>
            <w:tcMar>
              <w:top w:w="80" w:type="dxa"/>
              <w:bottom w:w="80" w:type="dxa"/>
              <w:left w:w="120" w:type="dxa"/>
              <w:right w:w="120" w:type="dxa"/>
            </w:tcMar>
          </w:tcPr>
          <w:p>
            <w:r>
              <w:rPr>
                <w:rFonts w:ascii="Calibri" w:hAnsi="Calibri"/>
                <w:color w:val="1A202C"/>
                <w:sz w:val="18"/>
              </w:rPr>
              <w:t>NFR-12</w:t>
            </w:r>
          </w:p>
        </w:tc>
        <w:tc>
          <w:tcPr>
            <w:tcW w:type="dxa" w:w="1872"/>
            <w:shd w:fill="F7FAFC"/>
            <w:tcMar>
              <w:top w:w="80" w:type="dxa"/>
              <w:bottom w:w="80" w:type="dxa"/>
              <w:left w:w="120" w:type="dxa"/>
              <w:right w:w="120" w:type="dxa"/>
            </w:tcMar>
          </w:tcPr>
          <w:p>
            <w:r>
              <w:rPr>
                <w:rFonts w:ascii="Calibri" w:hAnsi="Calibri"/>
                <w:color w:val="1A202C"/>
                <w:sz w:val="18"/>
              </w:rPr>
              <w:t>Safety</w:t>
            </w:r>
          </w:p>
        </w:tc>
        <w:tc>
          <w:tcPr>
            <w:tcW w:type="dxa" w:w="4032"/>
            <w:shd w:fill="F7FAFC"/>
            <w:tcMar>
              <w:top w:w="80" w:type="dxa"/>
              <w:bottom w:w="80" w:type="dxa"/>
              <w:left w:w="120" w:type="dxa"/>
              <w:right w:w="120" w:type="dxa"/>
            </w:tcMar>
          </w:tcPr>
          <w:p>
            <w:r>
              <w:rPr>
                <w:rFonts w:ascii="Calibri" w:hAnsi="Calibri"/>
                <w:color w:val="1A202C"/>
                <w:sz w:val="18"/>
              </w:rPr>
              <w:t>AI non-autonomy and safety disclaimers.</w:t>
            </w:r>
          </w:p>
        </w:tc>
        <w:tc>
          <w:tcPr>
            <w:tcW w:type="dxa" w:w="2304"/>
            <w:shd w:fill="F7FAFC"/>
            <w:tcMar>
              <w:top w:w="80" w:type="dxa"/>
              <w:bottom w:w="80" w:type="dxa"/>
              <w:left w:w="120" w:type="dxa"/>
              <w:right w:w="120" w:type="dxa"/>
            </w:tcMar>
          </w:tcPr>
          <w:p>
            <w:r>
              <w:rPr>
                <w:rFonts w:ascii="Calibri" w:hAnsi="Calibri"/>
                <w:color w:val="1A202C"/>
                <w:sz w:val="18"/>
              </w:rPr>
              <w:t>Mandatory medical disclaimer on all reports and UI views.</w:t>
            </w:r>
          </w:p>
        </w:tc>
      </w:tr>
      <w:tr>
        <w:tc>
          <w:tcPr>
            <w:tcW w:type="dxa" w:w="1152"/>
            <w:shd w:fill="FFFFFF"/>
            <w:tcMar>
              <w:top w:w="80" w:type="dxa"/>
              <w:bottom w:w="80" w:type="dxa"/>
              <w:left w:w="120" w:type="dxa"/>
              <w:right w:w="120" w:type="dxa"/>
            </w:tcMar>
          </w:tcPr>
          <w:p>
            <w:r>
              <w:rPr>
                <w:rFonts w:ascii="Calibri" w:hAnsi="Calibri"/>
                <w:color w:val="1A202C"/>
                <w:sz w:val="18"/>
              </w:rPr>
              <w:t>NFR-13</w:t>
            </w:r>
          </w:p>
        </w:tc>
        <w:tc>
          <w:tcPr>
            <w:tcW w:type="dxa" w:w="1872"/>
            <w:shd w:fill="FFFFFF"/>
            <w:tcMar>
              <w:top w:w="80" w:type="dxa"/>
              <w:bottom w:w="80" w:type="dxa"/>
              <w:left w:w="120" w:type="dxa"/>
              <w:right w:w="120" w:type="dxa"/>
            </w:tcMar>
          </w:tcPr>
          <w:p>
            <w:r>
              <w:rPr>
                <w:rFonts w:ascii="Calibri" w:hAnsi="Calibri"/>
                <w:color w:val="1A202C"/>
                <w:sz w:val="18"/>
              </w:rPr>
              <w:t>Data Integrity</w:t>
            </w:r>
          </w:p>
        </w:tc>
        <w:tc>
          <w:tcPr>
            <w:tcW w:type="dxa" w:w="4032"/>
            <w:shd w:fill="FFFFFF"/>
            <w:tcMar>
              <w:top w:w="80" w:type="dxa"/>
              <w:bottom w:w="80" w:type="dxa"/>
              <w:left w:w="120" w:type="dxa"/>
              <w:right w:w="120" w:type="dxa"/>
            </w:tcMar>
          </w:tcPr>
          <w:p>
            <w:r>
              <w:rPr>
                <w:rFonts w:ascii="Calibri" w:hAnsi="Calibri"/>
                <w:color w:val="1A202C"/>
                <w:sz w:val="18"/>
              </w:rPr>
              <w:t>Strict schema validation and bounds checking.</w:t>
            </w:r>
          </w:p>
        </w:tc>
        <w:tc>
          <w:tcPr>
            <w:tcW w:type="dxa" w:w="2304"/>
            <w:shd w:fill="FFFFFF"/>
            <w:tcMar>
              <w:top w:w="80" w:type="dxa"/>
              <w:bottom w:w="80" w:type="dxa"/>
              <w:left w:w="120" w:type="dxa"/>
              <w:right w:w="120" w:type="dxa"/>
            </w:tcMar>
          </w:tcPr>
          <w:p>
            <w:r>
              <w:rPr>
                <w:rFonts w:ascii="Calibri" w:hAnsi="Calibri"/>
                <w:color w:val="1A202C"/>
                <w:sz w:val="18"/>
              </w:rPr>
              <w:t>Rejects invalid physiological inputs prior to ML execution.</w:t>
            </w:r>
          </w:p>
        </w:tc>
      </w:tr>
      <w:tr>
        <w:tc>
          <w:tcPr>
            <w:tcW w:type="dxa" w:w="1152"/>
            <w:shd w:fill="F7FAFC"/>
            <w:tcMar>
              <w:top w:w="80" w:type="dxa"/>
              <w:bottom w:w="80" w:type="dxa"/>
              <w:left w:w="120" w:type="dxa"/>
              <w:right w:w="120" w:type="dxa"/>
            </w:tcMar>
          </w:tcPr>
          <w:p>
            <w:r>
              <w:rPr>
                <w:rFonts w:ascii="Calibri" w:hAnsi="Calibri"/>
                <w:color w:val="1A202C"/>
                <w:sz w:val="18"/>
              </w:rPr>
              <w:t>NFR-14</w:t>
            </w:r>
          </w:p>
        </w:tc>
        <w:tc>
          <w:tcPr>
            <w:tcW w:type="dxa" w:w="1872"/>
            <w:shd w:fill="F7FAFC"/>
            <w:tcMar>
              <w:top w:w="80" w:type="dxa"/>
              <w:bottom w:w="80" w:type="dxa"/>
              <w:left w:w="120" w:type="dxa"/>
              <w:right w:w="120" w:type="dxa"/>
            </w:tcMar>
          </w:tcPr>
          <w:p>
            <w:r>
              <w:rPr>
                <w:rFonts w:ascii="Calibri" w:hAnsi="Calibri"/>
                <w:color w:val="1A202C"/>
                <w:sz w:val="18"/>
              </w:rPr>
              <w:t>Auditability</w:t>
            </w:r>
          </w:p>
        </w:tc>
        <w:tc>
          <w:tcPr>
            <w:tcW w:type="dxa" w:w="4032"/>
            <w:shd w:fill="F7FAFC"/>
            <w:tcMar>
              <w:top w:w="80" w:type="dxa"/>
              <w:bottom w:w="80" w:type="dxa"/>
              <w:left w:w="120" w:type="dxa"/>
              <w:right w:w="120" w:type="dxa"/>
            </w:tcMar>
          </w:tcPr>
          <w:p>
            <w:r>
              <w:rPr>
                <w:rFonts w:ascii="Calibri" w:hAnsi="Calibri"/>
                <w:color w:val="1A202C"/>
                <w:sz w:val="18"/>
              </w:rPr>
              <w:t>Comprehensive audit logging of data operations.</w:t>
            </w:r>
          </w:p>
        </w:tc>
        <w:tc>
          <w:tcPr>
            <w:tcW w:type="dxa" w:w="2304"/>
            <w:shd w:fill="F7FAFC"/>
            <w:tcMar>
              <w:top w:w="80" w:type="dxa"/>
              <w:bottom w:w="80" w:type="dxa"/>
              <w:left w:w="120" w:type="dxa"/>
              <w:right w:w="120" w:type="dxa"/>
            </w:tcMar>
          </w:tcPr>
          <w:p>
            <w:r>
              <w:rPr>
                <w:rFonts w:ascii="Calibri" w:hAnsi="Calibri"/>
                <w:color w:val="1A202C"/>
                <w:sz w:val="18"/>
              </w:rPr>
              <w:t>All clinical data access logged with timestamp and user ID.</w:t>
            </w:r>
          </w:p>
        </w:tc>
      </w:tr>
      <w:tr>
        <w:tc>
          <w:tcPr>
            <w:tcW w:type="dxa" w:w="1152"/>
            <w:shd w:fill="FFFFFF"/>
            <w:tcMar>
              <w:top w:w="80" w:type="dxa"/>
              <w:bottom w:w="80" w:type="dxa"/>
              <w:left w:w="120" w:type="dxa"/>
              <w:right w:w="120" w:type="dxa"/>
            </w:tcMar>
          </w:tcPr>
          <w:p>
            <w:r>
              <w:rPr>
                <w:rFonts w:ascii="Calibri" w:hAnsi="Calibri"/>
                <w:color w:val="1A202C"/>
                <w:sz w:val="18"/>
              </w:rPr>
              <w:t>NFR-15</w:t>
            </w:r>
          </w:p>
        </w:tc>
        <w:tc>
          <w:tcPr>
            <w:tcW w:type="dxa" w:w="1872"/>
            <w:shd w:fill="FFFFFF"/>
            <w:tcMar>
              <w:top w:w="80" w:type="dxa"/>
              <w:bottom w:w="80" w:type="dxa"/>
              <w:left w:w="120" w:type="dxa"/>
              <w:right w:w="120" w:type="dxa"/>
            </w:tcMar>
          </w:tcPr>
          <w:p>
            <w:r>
              <w:rPr>
                <w:rFonts w:ascii="Calibri" w:hAnsi="Calibri"/>
                <w:color w:val="1A202C"/>
                <w:sz w:val="18"/>
              </w:rPr>
              <w:t>Reproducibility</w:t>
            </w:r>
          </w:p>
        </w:tc>
        <w:tc>
          <w:tcPr>
            <w:tcW w:type="dxa" w:w="4032"/>
            <w:shd w:fill="FFFFFF"/>
            <w:tcMar>
              <w:top w:w="80" w:type="dxa"/>
              <w:bottom w:w="80" w:type="dxa"/>
              <w:left w:w="120" w:type="dxa"/>
              <w:right w:w="120" w:type="dxa"/>
            </w:tcMar>
          </w:tcPr>
          <w:p>
            <w:r>
              <w:rPr>
                <w:rFonts w:ascii="Calibri" w:hAnsi="Calibri"/>
                <w:color w:val="1A202C"/>
                <w:sz w:val="18"/>
              </w:rPr>
              <w:t>Containerized software deployment environment.</w:t>
            </w:r>
          </w:p>
        </w:tc>
        <w:tc>
          <w:tcPr>
            <w:tcW w:type="dxa" w:w="2304"/>
            <w:shd w:fill="FFFFFF"/>
            <w:tcMar>
              <w:top w:w="80" w:type="dxa"/>
              <w:bottom w:w="80" w:type="dxa"/>
              <w:left w:w="120" w:type="dxa"/>
              <w:right w:w="120" w:type="dxa"/>
            </w:tcMar>
          </w:tcPr>
          <w:p>
            <w:r>
              <w:rPr>
                <w:rFonts w:ascii="Calibri" w:hAnsi="Calibri"/>
                <w:color w:val="1A202C"/>
                <w:sz w:val="18"/>
              </w:rPr>
              <w:t>Docker Compose deployment with pinned library dependencies.</w:t>
            </w:r>
          </w:p>
        </w:tc>
      </w:tr>
    </w:tbl>
    <w:p>
      <w:pPr>
        <w:keepNext/>
        <w:spacing w:before="280" w:after="120"/>
      </w:pPr>
      <w:r>
        <w:rPr>
          <w:rFonts w:ascii="Calibri" w:hAnsi="Calibri"/>
          <w:b/>
          <w:color w:val="1B365D"/>
          <w:sz w:val="32"/>
        </w:rPr>
        <w:t>5. IDENTIFICATION OF USERS</w:t>
      </w:r>
    </w:p>
    <w:p>
      <w:pPr>
        <w:spacing w:before="0" w:after="100" w:line="276" w:lineRule="auto"/>
      </w:pPr>
      <w:r>
        <w:rPr>
          <w:rFonts w:ascii="Calibri" w:hAnsi="Calibri"/>
          <w:color w:val="1A202C"/>
          <w:sz w:val="21"/>
        </w:rPr>
        <w:t>The TeleMed platform defines three primary human user roles and one external system interface:</w:t>
      </w:r>
    </w:p>
    <w:p>
      <w:pPr>
        <w:keepNext/>
        <w:spacing w:before="200" w:after="80"/>
      </w:pPr>
      <w:r>
        <w:rPr>
          <w:rFonts w:ascii="Calibri" w:hAnsi="Calibri"/>
          <w:b/>
          <w:color w:val="2B6CB0"/>
          <w:sz w:val="26"/>
        </w:rPr>
        <w:t>5.1 Patient User</w:t>
      </w:r>
    </w:p>
    <w:p>
      <w:pPr>
        <w:spacing w:before="0" w:after="100" w:line="276" w:lineRule="auto"/>
      </w:pPr>
      <w:r>
        <w:rPr>
          <w:rFonts w:ascii="Calibri" w:hAnsi="Calibri"/>
          <w:color w:val="1A202C"/>
          <w:sz w:val="21"/>
        </w:rPr>
        <w:t>Primary consumer of the platform seeking personalized health assessments. Responsibilities include registering, managing personal demographics, submitting clinical lab values, uploading wearable/CGM files, uploading microbiome datasets, initiating assessments, viewing risk dashboard, inspecting TreeSHAP explanations, and downloading PDF clinical summaries.</w:t>
      </w:r>
    </w:p>
    <w:p>
      <w:pPr>
        <w:keepNext/>
        <w:spacing w:before="200" w:after="80"/>
      </w:pPr>
      <w:r>
        <w:rPr>
          <w:rFonts w:ascii="Calibri" w:hAnsi="Calibri"/>
          <w:b/>
          <w:color w:val="2B6CB0"/>
          <w:sz w:val="26"/>
        </w:rPr>
        <w:t>5.2 Doctor User (Clinical Reviewer)</w:t>
      </w:r>
    </w:p>
    <w:p>
      <w:pPr>
        <w:spacing w:before="0" w:after="100" w:line="276" w:lineRule="auto"/>
      </w:pPr>
      <w:r>
        <w:rPr>
          <w:rFonts w:ascii="Calibri" w:hAnsi="Calibri"/>
          <w:color w:val="1A202C"/>
          <w:sz w:val="21"/>
        </w:rPr>
        <w:t>Licensed medical practitioner responsible for clinical oversight. Responsibilities include logging in via verified credentials, accessing assigned patient records, inspecting multi-modal risk profiles and SHAP attributions, evaluating AI-generated clinical briefings, adding physician notes, and guiding patient care plans. The doctor retains full clinical responsibility.</w:t>
      </w:r>
    </w:p>
    <w:p>
      <w:pPr>
        <w:keepNext/>
        <w:spacing w:before="200" w:after="80"/>
      </w:pPr>
      <w:r>
        <w:rPr>
          <w:rFonts w:ascii="Calibri" w:hAnsi="Calibri"/>
          <w:b/>
          <w:color w:val="2B6CB0"/>
          <w:sz w:val="26"/>
        </w:rPr>
        <w:t>5.3 Administrator User</w:t>
      </w:r>
    </w:p>
    <w:p>
      <w:pPr>
        <w:spacing w:before="0" w:after="100" w:line="276" w:lineRule="auto"/>
      </w:pPr>
      <w:r>
        <w:rPr>
          <w:rFonts w:ascii="Calibri" w:hAnsi="Calibri"/>
          <w:color w:val="1A202C"/>
          <w:sz w:val="21"/>
        </w:rPr>
        <w:t>System operations and governance user. Responsibilities include managing user accounts, verifying doctor registration credentials, monitoring system health and latency, inspecting audit logs, and maintaining platform security.</w:t>
      </w:r>
    </w:p>
    <w:p>
      <w:pPr>
        <w:keepNext/>
        <w:spacing w:before="200" w:after="80"/>
      </w:pPr>
      <w:r>
        <w:rPr>
          <w:rFonts w:ascii="Calibri" w:hAnsi="Calibri"/>
          <w:b/>
          <w:color w:val="2B6CB0"/>
          <w:sz w:val="26"/>
        </w:rPr>
        <w:t>5.4 External Medical Knowledge Base Interface</w:t>
      </w:r>
    </w:p>
    <w:p>
      <w:pPr>
        <w:spacing w:before="0" w:after="100" w:line="276" w:lineRule="auto"/>
      </w:pPr>
      <w:r>
        <w:rPr>
          <w:rFonts w:ascii="Calibri" w:hAnsi="Calibri"/>
          <w:color w:val="1A202C"/>
          <w:sz w:val="21"/>
        </w:rPr>
        <w:t>External vector database storing peer-reviewed clinical practice guidelines (ADA, EASD, AASLD). Interfaced via FAISS vector similarity search during RAG evidence retrieval.</w:t>
      </w:r>
    </w:p>
    <w:p>
      <w:pPr>
        <w:keepNext/>
        <w:spacing w:before="280" w:after="120"/>
      </w:pPr>
      <w:r>
        <w:rPr>
          <w:rFonts w:ascii="Calibri" w:hAnsi="Calibri"/>
          <w:b/>
          <w:color w:val="1B365D"/>
          <w:sz w:val="32"/>
        </w:rPr>
        <w:t>6. MODULES IN THE APPLICATION</w:t>
      </w:r>
    </w:p>
    <w:p>
      <w:pPr>
        <w:spacing w:before="0" w:after="100" w:line="276" w:lineRule="auto"/>
      </w:pPr>
      <w:r>
        <w:rPr>
          <w:rFonts w:ascii="Calibri" w:hAnsi="Calibri"/>
          <w:color w:val="1A202C"/>
          <w:sz w:val="21"/>
        </w:rPr>
        <w:t>TeleMed is structured into 16 cohesive software modules:</w:t>
      </w:r>
    </w:p>
    <w:p>
      <w:pPr>
        <w:spacing w:before="0" w:after="100" w:line="276" w:lineRule="auto"/>
      </w:pPr>
      <w:r>
        <w:rPr>
          <w:rFonts w:ascii="Calibri" w:hAnsi="Calibri"/>
          <w:b/>
          <w:color w:val="1A202C"/>
          <w:sz w:val="21"/>
        </w:rPr>
        <w:t xml:space="preserve">1. Authentication &amp; RBAC Module: </w:t>
      </w:r>
      <w:r>
        <w:rPr>
          <w:rFonts w:ascii="Calibri" w:hAnsi="Calibri"/>
          <w:color w:val="1A202C"/>
          <w:sz w:val="21"/>
        </w:rPr>
        <w:t>Manages user registration, password hashing, JWT token issuance, session tracking, and role enforcement. (Interacts with User DB, API Gateway.)</w:t>
      </w:r>
    </w:p>
    <w:p>
      <w:pPr>
        <w:spacing w:before="0" w:after="100" w:line="276" w:lineRule="auto"/>
      </w:pPr>
      <w:r>
        <w:rPr>
          <w:rFonts w:ascii="Calibri" w:hAnsi="Calibri"/>
          <w:b/>
          <w:color w:val="1A202C"/>
          <w:sz w:val="21"/>
        </w:rPr>
        <w:t xml:space="preserve">2. Patient Management Module: </w:t>
      </w:r>
      <w:r>
        <w:rPr>
          <w:rFonts w:ascii="Calibri" w:hAnsi="Calibri"/>
          <w:color w:val="1A202C"/>
          <w:sz w:val="21"/>
        </w:rPr>
        <w:t>Handles patient demographic profiles, anthropometric calculations (BMI), and personal health preferences. (Interacts with Patient DB, Intake Module.)</w:t>
      </w:r>
    </w:p>
    <w:p>
      <w:pPr>
        <w:spacing w:before="0" w:after="100" w:line="276" w:lineRule="auto"/>
      </w:pPr>
      <w:r>
        <w:rPr>
          <w:rFonts w:ascii="Calibri" w:hAnsi="Calibri"/>
          <w:b/>
          <w:color w:val="1A202C"/>
          <w:sz w:val="21"/>
        </w:rPr>
        <w:t xml:space="preserve">3. Doctor Management Module: </w:t>
      </w:r>
      <w:r>
        <w:rPr>
          <w:rFonts w:ascii="Calibri" w:hAnsi="Calibri"/>
          <w:color w:val="1A202C"/>
          <w:sz w:val="21"/>
        </w:rPr>
        <w:t>Manages doctor registration, medical license verification workflows, and assigned patient lists. (Interacts with Doctor DB, Review Portal.)</w:t>
      </w:r>
    </w:p>
    <w:p>
      <w:pPr>
        <w:spacing w:before="0" w:after="100" w:line="276" w:lineRule="auto"/>
      </w:pPr>
      <w:r>
        <w:rPr>
          <w:rFonts w:ascii="Calibri" w:hAnsi="Calibri"/>
          <w:b/>
          <w:color w:val="1A202C"/>
          <w:sz w:val="21"/>
        </w:rPr>
        <w:t xml:space="preserve">4. Multimodal Data Intake Module: </w:t>
      </w:r>
      <w:r>
        <w:rPr>
          <w:rFonts w:ascii="Calibri" w:hAnsi="Calibri"/>
          <w:color w:val="1A202C"/>
          <w:sz w:val="21"/>
        </w:rPr>
        <w:t>Parses uploaded PDF, CSV, TXT, and PNG files to extract structured key-value feature pairs. (Interacts with Upload Parser, Validation Module.)</w:t>
      </w:r>
    </w:p>
    <w:p>
      <w:pPr>
        <w:spacing w:before="0" w:after="100" w:line="276" w:lineRule="auto"/>
      </w:pPr>
      <w:r>
        <w:rPr>
          <w:rFonts w:ascii="Calibri" w:hAnsi="Calibri"/>
          <w:b/>
          <w:color w:val="1A202C"/>
          <w:sz w:val="21"/>
        </w:rPr>
        <w:t xml:space="preserve">5. Validation &amp; Preprocessing Module: </w:t>
      </w:r>
      <w:r>
        <w:rPr>
          <w:rFonts w:ascii="Calibri" w:hAnsi="Calibri"/>
          <w:color w:val="1A202C"/>
          <w:sz w:val="21"/>
        </w:rPr>
        <w:t>Validates physiological bounds, converts measurement units, and normalizes feature tensors. (Interacts with Intake Module, ML Experts.)</w:t>
      </w:r>
    </w:p>
    <w:p>
      <w:pPr>
        <w:spacing w:before="0" w:after="100" w:line="276" w:lineRule="auto"/>
      </w:pPr>
      <w:r>
        <w:rPr>
          <w:rFonts w:ascii="Calibri" w:hAnsi="Calibri"/>
          <w:b/>
          <w:color w:val="1A202C"/>
          <w:sz w:val="21"/>
        </w:rPr>
        <w:t xml:space="preserve">6. Clinical Expert Module: </w:t>
      </w:r>
      <w:r>
        <w:rPr>
          <w:rFonts w:ascii="Calibri" w:hAnsi="Calibri"/>
          <w:color w:val="1A202C"/>
          <w:sz w:val="21"/>
        </w:rPr>
        <w:t>Executes CatBoost model trained on 18 clinical laboratory biomarkers. (Interacts with Validation Module, Fusion Engine.)</w:t>
      </w:r>
    </w:p>
    <w:p>
      <w:pPr>
        <w:spacing w:before="0" w:after="100" w:line="276" w:lineRule="auto"/>
      </w:pPr>
      <w:r>
        <w:rPr>
          <w:rFonts w:ascii="Calibri" w:hAnsi="Calibri"/>
          <w:b/>
          <w:color w:val="1A202C"/>
          <w:sz w:val="21"/>
        </w:rPr>
        <w:t xml:space="preserve">7. Wearable/CGM Expert Module: </w:t>
      </w:r>
      <w:r>
        <w:rPr>
          <w:rFonts w:ascii="Calibri" w:hAnsi="Calibri"/>
          <w:color w:val="1A202C"/>
          <w:sz w:val="21"/>
        </w:rPr>
        <w:t>Executes XGBoost model trained on 15 wearable sensor and CGM features. (Interacts with Validation Module, Fusion Engine.)</w:t>
      </w:r>
    </w:p>
    <w:p>
      <w:pPr>
        <w:spacing w:before="0" w:after="100" w:line="276" w:lineRule="auto"/>
      </w:pPr>
      <w:r>
        <w:rPr>
          <w:rFonts w:ascii="Calibri" w:hAnsi="Calibri"/>
          <w:b/>
          <w:color w:val="1A202C"/>
          <w:sz w:val="21"/>
        </w:rPr>
        <w:t xml:space="preserve">8. Gut Microbiome Expert Module: </w:t>
      </w:r>
      <w:r>
        <w:rPr>
          <w:rFonts w:ascii="Calibri" w:hAnsi="Calibri"/>
          <w:color w:val="1A202C"/>
          <w:sz w:val="21"/>
        </w:rPr>
        <w:t>Executes CatBoost model trained on 40 bacterial taxa and 9 ecological/functional indices. (Interacts with Validation Module, Fusion Engine.)</w:t>
      </w:r>
    </w:p>
    <w:p>
      <w:pPr>
        <w:spacing w:before="0" w:after="100" w:line="276" w:lineRule="auto"/>
      </w:pPr>
      <w:r>
        <w:rPr>
          <w:rFonts w:ascii="Calibri" w:hAnsi="Calibri"/>
          <w:b/>
          <w:color w:val="1A202C"/>
          <w:sz w:val="21"/>
        </w:rPr>
        <w:t xml:space="preserve">9. Multimodal Fusion Module: </w:t>
      </w:r>
      <w:r>
        <w:rPr>
          <w:rFonts w:ascii="Calibri" w:hAnsi="Calibri"/>
          <w:color w:val="1A202C"/>
          <w:sz w:val="21"/>
        </w:rPr>
        <w:t>Implements Stacking Meta-Learner dynamically selecting 1 of 7 modality pathways. (Interacts with Expert Models, XAI Module.)</w:t>
      </w:r>
    </w:p>
    <w:p>
      <w:pPr>
        <w:spacing w:before="0" w:after="100" w:line="276" w:lineRule="auto"/>
      </w:pPr>
      <w:r>
        <w:rPr>
          <w:rFonts w:ascii="Calibri" w:hAnsi="Calibri"/>
          <w:b/>
          <w:color w:val="1A202C"/>
          <w:sz w:val="21"/>
        </w:rPr>
        <w:t xml:space="preserve">10. Explainable AI (TreeSHAP) Module: </w:t>
      </w:r>
      <w:r>
        <w:rPr>
          <w:rFonts w:ascii="Calibri" w:hAnsi="Calibri"/>
          <w:color w:val="1A202C"/>
          <w:sz w:val="21"/>
        </w:rPr>
        <w:t>Calculates exact Shapley value attributions for global and local feature explanations. (Interacts with Fusion Engine, Database.)</w:t>
      </w:r>
    </w:p>
    <w:p>
      <w:pPr>
        <w:spacing w:before="0" w:after="100" w:line="276" w:lineRule="auto"/>
      </w:pPr>
      <w:r>
        <w:rPr>
          <w:rFonts w:ascii="Calibri" w:hAnsi="Calibri"/>
          <w:b/>
          <w:color w:val="1A202C"/>
          <w:sz w:val="21"/>
        </w:rPr>
        <w:t xml:space="preserve">11. Medical RAG Retrieval Module: </w:t>
      </w:r>
      <w:r>
        <w:rPr>
          <w:rFonts w:ascii="Calibri" w:hAnsi="Calibri"/>
          <w:color w:val="1A202C"/>
          <w:sz w:val="21"/>
        </w:rPr>
        <w:t>Queries FAISS vector index with top SHAP features to retrieve clinical guideline excerpts. (Interacts with XAI Module, LLM Module.)</w:t>
      </w:r>
    </w:p>
    <w:p>
      <w:pPr>
        <w:spacing w:before="0" w:after="100" w:line="276" w:lineRule="auto"/>
      </w:pPr>
      <w:r>
        <w:rPr>
          <w:rFonts w:ascii="Calibri" w:hAnsi="Calibri"/>
          <w:b/>
          <w:color w:val="1A202C"/>
          <w:sz w:val="21"/>
        </w:rPr>
        <w:t xml:space="preserve">12. Generative AI Synthesis Module: </w:t>
      </w:r>
      <w:r>
        <w:rPr>
          <w:rFonts w:ascii="Calibri" w:hAnsi="Calibri"/>
          <w:color w:val="1A202C"/>
          <w:sz w:val="21"/>
        </w:rPr>
        <w:t>Generates structured, evidence-grounded health reports using LLM prompt templates. (Interacts with RAG Module, Safety Guardrails.)</w:t>
      </w:r>
    </w:p>
    <w:p>
      <w:pPr>
        <w:spacing w:before="0" w:after="100" w:line="276" w:lineRule="auto"/>
      </w:pPr>
      <w:r>
        <w:rPr>
          <w:rFonts w:ascii="Calibri" w:hAnsi="Calibri"/>
          <w:b/>
          <w:color w:val="1A202C"/>
          <w:sz w:val="21"/>
        </w:rPr>
        <w:t xml:space="preserve">13. Report &amp; PDF Engine Module: </w:t>
      </w:r>
      <w:r>
        <w:rPr>
          <w:rFonts w:ascii="Calibri" w:hAnsi="Calibri"/>
          <w:color w:val="1A202C"/>
          <w:sz w:val="21"/>
        </w:rPr>
        <w:t>Formats clinical assessment outputs and renders publication-quality PDF documents. (Interacts with GenAI Module, Patient/Doctor UI.)</w:t>
      </w:r>
    </w:p>
    <w:p>
      <w:pPr>
        <w:spacing w:before="0" w:after="100" w:line="276" w:lineRule="auto"/>
      </w:pPr>
      <w:r>
        <w:rPr>
          <w:rFonts w:ascii="Calibri" w:hAnsi="Calibri"/>
          <w:b/>
          <w:color w:val="1A202C"/>
          <w:sz w:val="21"/>
        </w:rPr>
        <w:t xml:space="preserve">14. Assessment History Module: </w:t>
      </w:r>
      <w:r>
        <w:rPr>
          <w:rFonts w:ascii="Calibri" w:hAnsi="Calibri"/>
          <w:color w:val="1A202C"/>
          <w:sz w:val="21"/>
        </w:rPr>
        <w:t>Persists and queries historical assessment snapshots for longitudinal trend analysis. (Interacts with Database, Dashboard UI.)</w:t>
      </w:r>
    </w:p>
    <w:p>
      <w:pPr>
        <w:spacing w:before="0" w:after="100" w:line="276" w:lineRule="auto"/>
      </w:pPr>
      <w:r>
        <w:rPr>
          <w:rFonts w:ascii="Calibri" w:hAnsi="Calibri"/>
          <w:b/>
          <w:color w:val="1A202C"/>
          <w:sz w:val="21"/>
        </w:rPr>
        <w:t xml:space="preserve">15. Database &amp; Persistence Module: </w:t>
      </w:r>
      <w:r>
        <w:rPr>
          <w:rFonts w:ascii="Calibri" w:hAnsi="Calibri"/>
          <w:color w:val="1A202C"/>
          <w:sz w:val="21"/>
        </w:rPr>
        <w:t>Provides SQLAlchemy ORM layer for PostgreSQL 17 transaction and entity management. (Interacts with All Backend Services.)</w:t>
      </w:r>
    </w:p>
    <w:p>
      <w:pPr>
        <w:spacing w:before="0" w:after="100" w:line="276" w:lineRule="auto"/>
      </w:pPr>
      <w:r>
        <w:rPr>
          <w:rFonts w:ascii="Calibri" w:hAnsi="Calibri"/>
          <w:b/>
          <w:color w:val="1A202C"/>
          <w:sz w:val="21"/>
        </w:rPr>
        <w:t xml:space="preserve">16. Administration &amp; Monitoring Module: </w:t>
      </w:r>
      <w:r>
        <w:rPr>
          <w:rFonts w:ascii="Calibri" w:hAnsi="Calibri"/>
          <w:color w:val="1A202C"/>
          <w:sz w:val="21"/>
        </w:rPr>
        <w:t>Provides operational dashboards, audit logging, Prometheus metrics, and system status. (Interacts with System Logs, Admin UI.)</w:t>
      </w:r>
    </w:p>
    <w:p>
      <w:pPr>
        <w:keepNext/>
        <w:spacing w:before="280" w:after="120"/>
      </w:pPr>
      <w:r>
        <w:rPr>
          <w:rFonts w:ascii="Calibri" w:hAnsi="Calibri"/>
          <w:b/>
          <w:color w:val="1B365D"/>
          <w:sz w:val="32"/>
        </w:rPr>
        <w:t>7. DATA REQUIREMENTS &amp; FEATURE SPECIFICATIONS</w:t>
      </w:r>
    </w:p>
    <w:p>
      <w:pPr>
        <w:keepNext/>
        <w:spacing w:before="200" w:after="80"/>
      </w:pPr>
      <w:r>
        <w:rPr>
          <w:rFonts w:ascii="Calibri" w:hAnsi="Calibri"/>
          <w:b/>
          <w:color w:val="2B6CB0"/>
          <w:sz w:val="26"/>
        </w:rPr>
        <w:t>7.1 Dataset Overview</w:t>
      </w:r>
    </w:p>
    <w:p>
      <w:pPr>
        <w:spacing w:before="0" w:after="100" w:line="276" w:lineRule="auto"/>
      </w:pPr>
      <w:r>
        <w:rPr>
          <w:rFonts w:ascii="Calibri" w:hAnsi="Calibri"/>
          <w:color w:val="1A202C"/>
          <w:sz w:val="21"/>
        </w:rPr>
        <w:t>TeleMed processes 82 total modality input features spanning Clinical (18), Wearable/CGM (15), and Gut Microbiome (49 model input tensor features). The system predicts 5 multi-label target conditions. Patient_ID is treated purely as metadata and is never passed to ML models.</w:t>
      </w:r>
    </w:p>
    <w:p>
      <w:pPr>
        <w:keepNext/>
        <w:spacing w:before="200" w:after="80"/>
      </w:pPr>
      <w:r>
        <w:rPr>
          <w:rFonts w:ascii="Calibri" w:hAnsi="Calibri"/>
          <w:b/>
          <w:color w:val="2B6CB0"/>
          <w:sz w:val="26"/>
        </w:rPr>
        <w:t>7.2 Clinical Modality Features (18 Features)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2592"/>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1728"/>
            <w:shd w:fill="1B365D"/>
            <w:tcMar>
              <w:top w:w="100" w:type="dxa"/>
              <w:bottom w:w="100" w:type="dxa"/>
              <w:left w:w="120" w:type="dxa"/>
              <w:right w:w="120" w:type="dxa"/>
            </w:tcMar>
          </w:tcPr>
          <w:p>
            <w:pPr>
              <w:jc w:val="left"/>
            </w:pPr>
            <w:r>
              <w:rPr>
                <w:rFonts w:ascii="Calibri" w:hAnsi="Calibri"/>
                <w:b/>
                <w:color w:val="FFFFFF"/>
                <w:sz w:val="19"/>
              </w:rPr>
              <w:t>Category</w:t>
            </w:r>
          </w:p>
        </w:tc>
        <w:tc>
          <w:tcPr>
            <w:tcW w:type="dxa" w:w="3024"/>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1728"/>
            <w:shd w:fill="1B365D"/>
            <w:tcMar>
              <w:top w:w="100" w:type="dxa"/>
              <w:bottom w:w="100" w:type="dxa"/>
              <w:left w:w="120" w:type="dxa"/>
              <w:right w:w="120" w:type="dxa"/>
            </w:tcMar>
          </w:tcPr>
          <w:p>
            <w:pPr>
              <w:jc w:val="left"/>
            </w:pPr>
            <w:r>
              <w:rPr>
                <w:rFonts w:ascii="Calibri" w:hAnsi="Calibri"/>
                <w:b/>
                <w:color w:val="FFFFFF"/>
                <w:sz w:val="19"/>
              </w:rPr>
              <w:t>Data Type / Unit</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2592"/>
            <w:shd w:fill="FFFFFF"/>
            <w:tcMar>
              <w:top w:w="80" w:type="dxa"/>
              <w:bottom w:w="80" w:type="dxa"/>
              <w:left w:w="120" w:type="dxa"/>
              <w:right w:w="120" w:type="dxa"/>
            </w:tcMar>
          </w:tcPr>
          <w:p>
            <w:r>
              <w:rPr>
                <w:rFonts w:ascii="Calibri" w:hAnsi="Calibri"/>
                <w:color w:val="1A202C"/>
                <w:sz w:val="18"/>
              </w:rPr>
              <w:t>Age</w:t>
            </w:r>
          </w:p>
        </w:tc>
        <w:tc>
          <w:tcPr>
            <w:tcW w:type="dxa" w:w="1728"/>
            <w:shd w:fill="FFFFFF"/>
            <w:tcMar>
              <w:top w:w="80" w:type="dxa"/>
              <w:bottom w:w="80" w:type="dxa"/>
              <w:left w:w="120" w:type="dxa"/>
              <w:right w:w="120" w:type="dxa"/>
            </w:tcMar>
          </w:tcPr>
          <w:p>
            <w:r>
              <w:rPr>
                <w:rFonts w:ascii="Calibri" w:hAnsi="Calibri"/>
                <w:color w:val="1A202C"/>
                <w:sz w:val="18"/>
              </w:rPr>
              <w:t>Demographic</w:t>
            </w:r>
          </w:p>
        </w:tc>
        <w:tc>
          <w:tcPr>
            <w:tcW w:type="dxa" w:w="3024"/>
            <w:shd w:fill="FFFFFF"/>
            <w:tcMar>
              <w:top w:w="80" w:type="dxa"/>
              <w:bottom w:w="80" w:type="dxa"/>
              <w:left w:w="120" w:type="dxa"/>
              <w:right w:w="120" w:type="dxa"/>
            </w:tcMar>
          </w:tcPr>
          <w:p>
            <w:r>
              <w:rPr>
                <w:rFonts w:ascii="Calibri" w:hAnsi="Calibri"/>
                <w:color w:val="1A202C"/>
                <w:sz w:val="18"/>
              </w:rPr>
              <w:t>Patient age in years</w:t>
            </w:r>
          </w:p>
        </w:tc>
        <w:tc>
          <w:tcPr>
            <w:tcW w:type="dxa" w:w="1728"/>
            <w:shd w:fill="FFFFFF"/>
            <w:tcMar>
              <w:top w:w="80" w:type="dxa"/>
              <w:bottom w:w="80" w:type="dxa"/>
              <w:left w:w="120" w:type="dxa"/>
              <w:right w:w="120" w:type="dxa"/>
            </w:tcMar>
          </w:tcPr>
          <w:p>
            <w:r>
              <w:rPr>
                <w:rFonts w:ascii="Calibri" w:hAnsi="Calibri"/>
                <w:color w:val="1A202C"/>
                <w:sz w:val="18"/>
              </w:rPr>
              <w:t>Integer (years)</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2592"/>
            <w:shd w:fill="F7FAFC"/>
            <w:tcMar>
              <w:top w:w="80" w:type="dxa"/>
              <w:bottom w:w="80" w:type="dxa"/>
              <w:left w:w="120" w:type="dxa"/>
              <w:right w:w="120" w:type="dxa"/>
            </w:tcMar>
          </w:tcPr>
          <w:p>
            <w:r>
              <w:rPr>
                <w:rFonts w:ascii="Calibri" w:hAnsi="Calibri"/>
                <w:color w:val="1A202C"/>
                <w:sz w:val="18"/>
              </w:rPr>
              <w:t>Gender</w:t>
            </w:r>
          </w:p>
        </w:tc>
        <w:tc>
          <w:tcPr>
            <w:tcW w:type="dxa" w:w="1728"/>
            <w:shd w:fill="F7FAFC"/>
            <w:tcMar>
              <w:top w:w="80" w:type="dxa"/>
              <w:bottom w:w="80" w:type="dxa"/>
              <w:left w:w="120" w:type="dxa"/>
              <w:right w:w="120" w:type="dxa"/>
            </w:tcMar>
          </w:tcPr>
          <w:p>
            <w:r>
              <w:rPr>
                <w:rFonts w:ascii="Calibri" w:hAnsi="Calibri"/>
                <w:color w:val="1A202C"/>
                <w:sz w:val="18"/>
              </w:rPr>
              <w:t>Demographic</w:t>
            </w:r>
          </w:p>
        </w:tc>
        <w:tc>
          <w:tcPr>
            <w:tcW w:type="dxa" w:w="3024"/>
            <w:shd w:fill="F7FAFC"/>
            <w:tcMar>
              <w:top w:w="80" w:type="dxa"/>
              <w:bottom w:w="80" w:type="dxa"/>
              <w:left w:w="120" w:type="dxa"/>
              <w:right w:w="120" w:type="dxa"/>
            </w:tcMar>
          </w:tcPr>
          <w:p>
            <w:r>
              <w:rPr>
                <w:rFonts w:ascii="Calibri" w:hAnsi="Calibri"/>
                <w:color w:val="1A202C"/>
                <w:sz w:val="18"/>
              </w:rPr>
              <w:t>Biological sex at birth</w:t>
            </w:r>
          </w:p>
        </w:tc>
        <w:tc>
          <w:tcPr>
            <w:tcW w:type="dxa" w:w="1728"/>
            <w:shd w:fill="F7FAFC"/>
            <w:tcMar>
              <w:top w:w="80" w:type="dxa"/>
              <w:bottom w:w="80" w:type="dxa"/>
              <w:left w:w="120" w:type="dxa"/>
              <w:right w:w="120" w:type="dxa"/>
            </w:tcMar>
          </w:tcPr>
          <w:p>
            <w:r>
              <w:rPr>
                <w:rFonts w:ascii="Calibri" w:hAnsi="Calibri"/>
                <w:color w:val="1A202C"/>
                <w:sz w:val="18"/>
              </w:rPr>
              <w:t>Categorical (Male/Female)</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2592"/>
            <w:shd w:fill="FFFFFF"/>
            <w:tcMar>
              <w:top w:w="80" w:type="dxa"/>
              <w:bottom w:w="80" w:type="dxa"/>
              <w:left w:w="120" w:type="dxa"/>
              <w:right w:w="120" w:type="dxa"/>
            </w:tcMar>
          </w:tcPr>
          <w:p>
            <w:r>
              <w:rPr>
                <w:rFonts w:ascii="Calibri" w:hAnsi="Calibri"/>
                <w:color w:val="1A202C"/>
                <w:sz w:val="18"/>
              </w:rPr>
              <w:t>Height</w:t>
            </w:r>
          </w:p>
        </w:tc>
        <w:tc>
          <w:tcPr>
            <w:tcW w:type="dxa" w:w="1728"/>
            <w:shd w:fill="FFFFFF"/>
            <w:tcMar>
              <w:top w:w="80" w:type="dxa"/>
              <w:bottom w:w="80" w:type="dxa"/>
              <w:left w:w="120" w:type="dxa"/>
              <w:right w:w="120" w:type="dxa"/>
            </w:tcMar>
          </w:tcPr>
          <w:p>
            <w:r>
              <w:rPr>
                <w:rFonts w:ascii="Calibri" w:hAnsi="Calibri"/>
                <w:color w:val="1A202C"/>
                <w:sz w:val="18"/>
              </w:rPr>
              <w:t>Anthropometric</w:t>
            </w:r>
          </w:p>
        </w:tc>
        <w:tc>
          <w:tcPr>
            <w:tcW w:type="dxa" w:w="3024"/>
            <w:shd w:fill="FFFFFF"/>
            <w:tcMar>
              <w:top w:w="80" w:type="dxa"/>
              <w:bottom w:w="80" w:type="dxa"/>
              <w:left w:w="120" w:type="dxa"/>
              <w:right w:w="120" w:type="dxa"/>
            </w:tcMar>
          </w:tcPr>
          <w:p>
            <w:r>
              <w:rPr>
                <w:rFonts w:ascii="Calibri" w:hAnsi="Calibri"/>
                <w:color w:val="1A202C"/>
                <w:sz w:val="18"/>
              </w:rPr>
              <w:t>Body height</w:t>
            </w:r>
          </w:p>
        </w:tc>
        <w:tc>
          <w:tcPr>
            <w:tcW w:type="dxa" w:w="1728"/>
            <w:shd w:fill="FFFFFF"/>
            <w:tcMar>
              <w:top w:w="80" w:type="dxa"/>
              <w:bottom w:w="80" w:type="dxa"/>
              <w:left w:w="120" w:type="dxa"/>
              <w:right w:w="120" w:type="dxa"/>
            </w:tcMar>
          </w:tcPr>
          <w:p>
            <w:r>
              <w:rPr>
                <w:rFonts w:ascii="Calibri" w:hAnsi="Calibri"/>
                <w:color w:val="1A202C"/>
                <w:sz w:val="18"/>
              </w:rPr>
              <w:t>Float (cm)</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2592"/>
            <w:shd w:fill="F7FAFC"/>
            <w:tcMar>
              <w:top w:w="80" w:type="dxa"/>
              <w:bottom w:w="80" w:type="dxa"/>
              <w:left w:w="120" w:type="dxa"/>
              <w:right w:w="120" w:type="dxa"/>
            </w:tcMar>
          </w:tcPr>
          <w:p>
            <w:r>
              <w:rPr>
                <w:rFonts w:ascii="Calibri" w:hAnsi="Calibri"/>
                <w:color w:val="1A202C"/>
                <w:sz w:val="18"/>
              </w:rPr>
              <w:t>Weight</w:t>
            </w:r>
          </w:p>
        </w:tc>
        <w:tc>
          <w:tcPr>
            <w:tcW w:type="dxa" w:w="1728"/>
            <w:shd w:fill="F7FAFC"/>
            <w:tcMar>
              <w:top w:w="80" w:type="dxa"/>
              <w:bottom w:w="80" w:type="dxa"/>
              <w:left w:w="120" w:type="dxa"/>
              <w:right w:w="120" w:type="dxa"/>
            </w:tcMar>
          </w:tcPr>
          <w:p>
            <w:r>
              <w:rPr>
                <w:rFonts w:ascii="Calibri" w:hAnsi="Calibri"/>
                <w:color w:val="1A202C"/>
                <w:sz w:val="18"/>
              </w:rPr>
              <w:t>Anthropometric</w:t>
            </w:r>
          </w:p>
        </w:tc>
        <w:tc>
          <w:tcPr>
            <w:tcW w:type="dxa" w:w="3024"/>
            <w:shd w:fill="F7FAFC"/>
            <w:tcMar>
              <w:top w:w="80" w:type="dxa"/>
              <w:bottom w:w="80" w:type="dxa"/>
              <w:left w:w="120" w:type="dxa"/>
              <w:right w:w="120" w:type="dxa"/>
            </w:tcMar>
          </w:tcPr>
          <w:p>
            <w:r>
              <w:rPr>
                <w:rFonts w:ascii="Calibri" w:hAnsi="Calibri"/>
                <w:color w:val="1A202C"/>
                <w:sz w:val="18"/>
              </w:rPr>
              <w:t>Body weight</w:t>
            </w:r>
          </w:p>
        </w:tc>
        <w:tc>
          <w:tcPr>
            <w:tcW w:type="dxa" w:w="1728"/>
            <w:shd w:fill="F7FAFC"/>
            <w:tcMar>
              <w:top w:w="80" w:type="dxa"/>
              <w:bottom w:w="80" w:type="dxa"/>
              <w:left w:w="120" w:type="dxa"/>
              <w:right w:w="120" w:type="dxa"/>
            </w:tcMar>
          </w:tcPr>
          <w:p>
            <w:r>
              <w:rPr>
                <w:rFonts w:ascii="Calibri" w:hAnsi="Calibri"/>
                <w:color w:val="1A202C"/>
                <w:sz w:val="18"/>
              </w:rPr>
              <w:t>Float (kg)</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2592"/>
            <w:shd w:fill="FFFFFF"/>
            <w:tcMar>
              <w:top w:w="80" w:type="dxa"/>
              <w:bottom w:w="80" w:type="dxa"/>
              <w:left w:w="120" w:type="dxa"/>
              <w:right w:w="120" w:type="dxa"/>
            </w:tcMar>
          </w:tcPr>
          <w:p>
            <w:r>
              <w:rPr>
                <w:rFonts w:ascii="Calibri" w:hAnsi="Calibri"/>
                <w:color w:val="1A202C"/>
                <w:sz w:val="18"/>
              </w:rPr>
              <w:t>BMI</w:t>
            </w:r>
          </w:p>
        </w:tc>
        <w:tc>
          <w:tcPr>
            <w:tcW w:type="dxa" w:w="1728"/>
            <w:shd w:fill="FFFFFF"/>
            <w:tcMar>
              <w:top w:w="80" w:type="dxa"/>
              <w:bottom w:w="80" w:type="dxa"/>
              <w:left w:w="120" w:type="dxa"/>
              <w:right w:w="120" w:type="dxa"/>
            </w:tcMar>
          </w:tcPr>
          <w:p>
            <w:r>
              <w:rPr>
                <w:rFonts w:ascii="Calibri" w:hAnsi="Calibri"/>
                <w:color w:val="1A202C"/>
                <w:sz w:val="18"/>
              </w:rPr>
              <w:t>Anthropometric</w:t>
            </w:r>
          </w:p>
        </w:tc>
        <w:tc>
          <w:tcPr>
            <w:tcW w:type="dxa" w:w="3024"/>
            <w:shd w:fill="FFFFFF"/>
            <w:tcMar>
              <w:top w:w="80" w:type="dxa"/>
              <w:bottom w:w="80" w:type="dxa"/>
              <w:left w:w="120" w:type="dxa"/>
              <w:right w:w="120" w:type="dxa"/>
            </w:tcMar>
          </w:tcPr>
          <w:p>
            <w:r>
              <w:rPr>
                <w:rFonts w:ascii="Calibri" w:hAnsi="Calibri"/>
                <w:color w:val="1A202C"/>
                <w:sz w:val="18"/>
              </w:rPr>
              <w:t>Body Mass Index</w:t>
            </w:r>
          </w:p>
        </w:tc>
        <w:tc>
          <w:tcPr>
            <w:tcW w:type="dxa" w:w="1728"/>
            <w:shd w:fill="FFFFFF"/>
            <w:tcMar>
              <w:top w:w="80" w:type="dxa"/>
              <w:bottom w:w="80" w:type="dxa"/>
              <w:left w:w="120" w:type="dxa"/>
              <w:right w:w="120" w:type="dxa"/>
            </w:tcMar>
          </w:tcPr>
          <w:p>
            <w:r>
              <w:rPr>
                <w:rFonts w:ascii="Calibri" w:hAnsi="Calibri"/>
                <w:color w:val="1A202C"/>
                <w:sz w:val="18"/>
              </w:rPr>
              <w:t>Float (kg/m²)</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2592"/>
            <w:shd w:fill="F7FAFC"/>
            <w:tcMar>
              <w:top w:w="80" w:type="dxa"/>
              <w:bottom w:w="80" w:type="dxa"/>
              <w:left w:w="120" w:type="dxa"/>
              <w:right w:w="120" w:type="dxa"/>
            </w:tcMar>
          </w:tcPr>
          <w:p>
            <w:r>
              <w:rPr>
                <w:rFonts w:ascii="Calibri" w:hAnsi="Calibri"/>
                <w:color w:val="1A202C"/>
                <w:sz w:val="18"/>
              </w:rPr>
              <w:t>Waist_Circumference</w:t>
            </w:r>
          </w:p>
        </w:tc>
        <w:tc>
          <w:tcPr>
            <w:tcW w:type="dxa" w:w="1728"/>
            <w:shd w:fill="F7FAFC"/>
            <w:tcMar>
              <w:top w:w="80" w:type="dxa"/>
              <w:bottom w:w="80" w:type="dxa"/>
              <w:left w:w="120" w:type="dxa"/>
              <w:right w:w="120" w:type="dxa"/>
            </w:tcMar>
          </w:tcPr>
          <w:p>
            <w:r>
              <w:rPr>
                <w:rFonts w:ascii="Calibri" w:hAnsi="Calibri"/>
                <w:color w:val="1A202C"/>
                <w:sz w:val="18"/>
              </w:rPr>
              <w:t>Anthropometric</w:t>
            </w:r>
          </w:p>
        </w:tc>
        <w:tc>
          <w:tcPr>
            <w:tcW w:type="dxa" w:w="3024"/>
            <w:shd w:fill="F7FAFC"/>
            <w:tcMar>
              <w:top w:w="80" w:type="dxa"/>
              <w:bottom w:w="80" w:type="dxa"/>
              <w:left w:w="120" w:type="dxa"/>
              <w:right w:w="120" w:type="dxa"/>
            </w:tcMar>
          </w:tcPr>
          <w:p>
            <w:r>
              <w:rPr>
                <w:rFonts w:ascii="Calibri" w:hAnsi="Calibri"/>
                <w:color w:val="1A202C"/>
                <w:sz w:val="18"/>
              </w:rPr>
              <w:t>Waist circumference</w:t>
            </w:r>
          </w:p>
        </w:tc>
        <w:tc>
          <w:tcPr>
            <w:tcW w:type="dxa" w:w="1728"/>
            <w:shd w:fill="F7FAFC"/>
            <w:tcMar>
              <w:top w:w="80" w:type="dxa"/>
              <w:bottom w:w="80" w:type="dxa"/>
              <w:left w:w="120" w:type="dxa"/>
              <w:right w:w="120" w:type="dxa"/>
            </w:tcMar>
          </w:tcPr>
          <w:p>
            <w:r>
              <w:rPr>
                <w:rFonts w:ascii="Calibri" w:hAnsi="Calibri"/>
                <w:color w:val="1A202C"/>
                <w:sz w:val="18"/>
              </w:rPr>
              <w:t>Float (cm)</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2592"/>
            <w:shd w:fill="FFFFFF"/>
            <w:tcMar>
              <w:top w:w="80" w:type="dxa"/>
              <w:bottom w:w="80" w:type="dxa"/>
              <w:left w:w="120" w:type="dxa"/>
              <w:right w:w="120" w:type="dxa"/>
            </w:tcMar>
          </w:tcPr>
          <w:p>
            <w:r>
              <w:rPr>
                <w:rFonts w:ascii="Calibri" w:hAnsi="Calibri"/>
                <w:color w:val="1A202C"/>
                <w:sz w:val="18"/>
              </w:rPr>
              <w:t>Systolic_BP</w:t>
            </w:r>
          </w:p>
        </w:tc>
        <w:tc>
          <w:tcPr>
            <w:tcW w:type="dxa" w:w="1728"/>
            <w:shd w:fill="FFFFFF"/>
            <w:tcMar>
              <w:top w:w="80" w:type="dxa"/>
              <w:bottom w:w="80" w:type="dxa"/>
              <w:left w:w="120" w:type="dxa"/>
              <w:right w:w="120" w:type="dxa"/>
            </w:tcMar>
          </w:tcPr>
          <w:p>
            <w:r>
              <w:rPr>
                <w:rFonts w:ascii="Calibri" w:hAnsi="Calibri"/>
                <w:color w:val="1A202C"/>
                <w:sz w:val="18"/>
              </w:rPr>
              <w:t>Vascular</w:t>
            </w:r>
          </w:p>
        </w:tc>
        <w:tc>
          <w:tcPr>
            <w:tcW w:type="dxa" w:w="3024"/>
            <w:shd w:fill="FFFFFF"/>
            <w:tcMar>
              <w:top w:w="80" w:type="dxa"/>
              <w:bottom w:w="80" w:type="dxa"/>
              <w:left w:w="120" w:type="dxa"/>
              <w:right w:w="120" w:type="dxa"/>
            </w:tcMar>
          </w:tcPr>
          <w:p>
            <w:r>
              <w:rPr>
                <w:rFonts w:ascii="Calibri" w:hAnsi="Calibri"/>
                <w:color w:val="1A202C"/>
                <w:sz w:val="18"/>
              </w:rPr>
              <w:t>Systolic blood pressure</w:t>
            </w:r>
          </w:p>
        </w:tc>
        <w:tc>
          <w:tcPr>
            <w:tcW w:type="dxa" w:w="1728"/>
            <w:shd w:fill="FFFFFF"/>
            <w:tcMar>
              <w:top w:w="80" w:type="dxa"/>
              <w:bottom w:w="80" w:type="dxa"/>
              <w:left w:w="120" w:type="dxa"/>
              <w:right w:w="120" w:type="dxa"/>
            </w:tcMar>
          </w:tcPr>
          <w:p>
            <w:r>
              <w:rPr>
                <w:rFonts w:ascii="Calibri" w:hAnsi="Calibri"/>
                <w:color w:val="1A202C"/>
                <w:sz w:val="18"/>
              </w:rPr>
              <w:t>Float (mmHg)</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2592"/>
            <w:shd w:fill="F7FAFC"/>
            <w:tcMar>
              <w:top w:w="80" w:type="dxa"/>
              <w:bottom w:w="80" w:type="dxa"/>
              <w:left w:w="120" w:type="dxa"/>
              <w:right w:w="120" w:type="dxa"/>
            </w:tcMar>
          </w:tcPr>
          <w:p>
            <w:r>
              <w:rPr>
                <w:rFonts w:ascii="Calibri" w:hAnsi="Calibri"/>
                <w:color w:val="1A202C"/>
                <w:sz w:val="18"/>
              </w:rPr>
              <w:t>Diastolic_BP</w:t>
            </w:r>
          </w:p>
        </w:tc>
        <w:tc>
          <w:tcPr>
            <w:tcW w:type="dxa" w:w="1728"/>
            <w:shd w:fill="F7FAFC"/>
            <w:tcMar>
              <w:top w:w="80" w:type="dxa"/>
              <w:bottom w:w="80" w:type="dxa"/>
              <w:left w:w="120" w:type="dxa"/>
              <w:right w:w="120" w:type="dxa"/>
            </w:tcMar>
          </w:tcPr>
          <w:p>
            <w:r>
              <w:rPr>
                <w:rFonts w:ascii="Calibri" w:hAnsi="Calibri"/>
                <w:color w:val="1A202C"/>
                <w:sz w:val="18"/>
              </w:rPr>
              <w:t>Vascular</w:t>
            </w:r>
          </w:p>
        </w:tc>
        <w:tc>
          <w:tcPr>
            <w:tcW w:type="dxa" w:w="3024"/>
            <w:shd w:fill="F7FAFC"/>
            <w:tcMar>
              <w:top w:w="80" w:type="dxa"/>
              <w:bottom w:w="80" w:type="dxa"/>
              <w:left w:w="120" w:type="dxa"/>
              <w:right w:w="120" w:type="dxa"/>
            </w:tcMar>
          </w:tcPr>
          <w:p>
            <w:r>
              <w:rPr>
                <w:rFonts w:ascii="Calibri" w:hAnsi="Calibri"/>
                <w:color w:val="1A202C"/>
                <w:sz w:val="18"/>
              </w:rPr>
              <w:t>Diastolic blood pressure</w:t>
            </w:r>
          </w:p>
        </w:tc>
        <w:tc>
          <w:tcPr>
            <w:tcW w:type="dxa" w:w="1728"/>
            <w:shd w:fill="F7FAFC"/>
            <w:tcMar>
              <w:top w:w="80" w:type="dxa"/>
              <w:bottom w:w="80" w:type="dxa"/>
              <w:left w:w="120" w:type="dxa"/>
              <w:right w:w="120" w:type="dxa"/>
            </w:tcMar>
          </w:tcPr>
          <w:p>
            <w:r>
              <w:rPr>
                <w:rFonts w:ascii="Calibri" w:hAnsi="Calibri"/>
                <w:color w:val="1A202C"/>
                <w:sz w:val="18"/>
              </w:rPr>
              <w:t>Float (mmHg)</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2592"/>
            <w:shd w:fill="FFFFFF"/>
            <w:tcMar>
              <w:top w:w="80" w:type="dxa"/>
              <w:bottom w:w="80" w:type="dxa"/>
              <w:left w:w="120" w:type="dxa"/>
              <w:right w:w="120" w:type="dxa"/>
            </w:tcMar>
          </w:tcPr>
          <w:p>
            <w:r>
              <w:rPr>
                <w:rFonts w:ascii="Calibri" w:hAnsi="Calibri"/>
                <w:color w:val="1A202C"/>
                <w:sz w:val="18"/>
              </w:rPr>
              <w:t>Fasting_Blood_Glucose</w:t>
            </w:r>
          </w:p>
        </w:tc>
        <w:tc>
          <w:tcPr>
            <w:tcW w:type="dxa" w:w="1728"/>
            <w:shd w:fill="FFFFFF"/>
            <w:tcMar>
              <w:top w:w="80" w:type="dxa"/>
              <w:bottom w:w="80" w:type="dxa"/>
              <w:left w:w="120" w:type="dxa"/>
              <w:right w:w="120" w:type="dxa"/>
            </w:tcMar>
          </w:tcPr>
          <w:p>
            <w:r>
              <w:rPr>
                <w:rFonts w:ascii="Calibri" w:hAnsi="Calibri"/>
                <w:color w:val="1A202C"/>
                <w:sz w:val="18"/>
              </w:rPr>
              <w:t>Metabolic</w:t>
            </w:r>
          </w:p>
        </w:tc>
        <w:tc>
          <w:tcPr>
            <w:tcW w:type="dxa" w:w="3024"/>
            <w:shd w:fill="FFFFFF"/>
            <w:tcMar>
              <w:top w:w="80" w:type="dxa"/>
              <w:bottom w:w="80" w:type="dxa"/>
              <w:left w:w="120" w:type="dxa"/>
              <w:right w:w="120" w:type="dxa"/>
            </w:tcMar>
          </w:tcPr>
          <w:p>
            <w:r>
              <w:rPr>
                <w:rFonts w:ascii="Calibri" w:hAnsi="Calibri"/>
                <w:color w:val="1A202C"/>
                <w:sz w:val="18"/>
              </w:rPr>
              <w:t>Fasting plasma glucose</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2592"/>
            <w:shd w:fill="F7FAFC"/>
            <w:tcMar>
              <w:top w:w="80" w:type="dxa"/>
              <w:bottom w:w="80" w:type="dxa"/>
              <w:left w:w="120" w:type="dxa"/>
              <w:right w:w="120" w:type="dxa"/>
            </w:tcMar>
          </w:tcPr>
          <w:p>
            <w:r>
              <w:rPr>
                <w:rFonts w:ascii="Calibri" w:hAnsi="Calibri"/>
                <w:color w:val="1A202C"/>
                <w:sz w:val="18"/>
              </w:rPr>
              <w:t>HbA1c</w:t>
            </w:r>
          </w:p>
        </w:tc>
        <w:tc>
          <w:tcPr>
            <w:tcW w:type="dxa" w:w="1728"/>
            <w:shd w:fill="F7FAFC"/>
            <w:tcMar>
              <w:top w:w="80" w:type="dxa"/>
              <w:bottom w:w="80" w:type="dxa"/>
              <w:left w:w="120" w:type="dxa"/>
              <w:right w:w="120" w:type="dxa"/>
            </w:tcMar>
          </w:tcPr>
          <w:p>
            <w:r>
              <w:rPr>
                <w:rFonts w:ascii="Calibri" w:hAnsi="Calibri"/>
                <w:color w:val="1A202C"/>
                <w:sz w:val="18"/>
              </w:rPr>
              <w:t>Metabolic</w:t>
            </w:r>
          </w:p>
        </w:tc>
        <w:tc>
          <w:tcPr>
            <w:tcW w:type="dxa" w:w="3024"/>
            <w:shd w:fill="F7FAFC"/>
            <w:tcMar>
              <w:top w:w="80" w:type="dxa"/>
              <w:bottom w:w="80" w:type="dxa"/>
              <w:left w:w="120" w:type="dxa"/>
              <w:right w:w="120" w:type="dxa"/>
            </w:tcMar>
          </w:tcPr>
          <w:p>
            <w:r>
              <w:rPr>
                <w:rFonts w:ascii="Calibri" w:hAnsi="Calibri"/>
                <w:color w:val="1A202C"/>
                <w:sz w:val="18"/>
              </w:rPr>
              <w:t>Glycated hemoglobin</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2592"/>
            <w:shd w:fill="FFFFFF"/>
            <w:tcMar>
              <w:top w:w="80" w:type="dxa"/>
              <w:bottom w:w="80" w:type="dxa"/>
              <w:left w:w="120" w:type="dxa"/>
              <w:right w:w="120" w:type="dxa"/>
            </w:tcMar>
          </w:tcPr>
          <w:p>
            <w:r>
              <w:rPr>
                <w:rFonts w:ascii="Calibri" w:hAnsi="Calibri"/>
                <w:color w:val="1A202C"/>
                <w:sz w:val="18"/>
              </w:rPr>
              <w:t>Triglycerides</w:t>
            </w:r>
          </w:p>
        </w:tc>
        <w:tc>
          <w:tcPr>
            <w:tcW w:type="dxa" w:w="1728"/>
            <w:shd w:fill="FFFFFF"/>
            <w:tcMar>
              <w:top w:w="80" w:type="dxa"/>
              <w:bottom w:w="80" w:type="dxa"/>
              <w:left w:w="120" w:type="dxa"/>
              <w:right w:w="120" w:type="dxa"/>
            </w:tcMar>
          </w:tcPr>
          <w:p>
            <w:r>
              <w:rPr>
                <w:rFonts w:ascii="Calibri" w:hAnsi="Calibri"/>
                <w:color w:val="1A202C"/>
                <w:sz w:val="18"/>
              </w:rPr>
              <w:t>Lipid Panel</w:t>
            </w:r>
          </w:p>
        </w:tc>
        <w:tc>
          <w:tcPr>
            <w:tcW w:type="dxa" w:w="3024"/>
            <w:shd w:fill="FFFFFF"/>
            <w:tcMar>
              <w:top w:w="80" w:type="dxa"/>
              <w:bottom w:w="80" w:type="dxa"/>
              <w:left w:w="120" w:type="dxa"/>
              <w:right w:w="120" w:type="dxa"/>
            </w:tcMar>
          </w:tcPr>
          <w:p>
            <w:r>
              <w:rPr>
                <w:rFonts w:ascii="Calibri" w:hAnsi="Calibri"/>
                <w:color w:val="1A202C"/>
                <w:sz w:val="18"/>
              </w:rPr>
              <w:t>Serum triglycerides</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2592"/>
            <w:shd w:fill="F7FAFC"/>
            <w:tcMar>
              <w:top w:w="80" w:type="dxa"/>
              <w:bottom w:w="80" w:type="dxa"/>
              <w:left w:w="120" w:type="dxa"/>
              <w:right w:w="120" w:type="dxa"/>
            </w:tcMar>
          </w:tcPr>
          <w:p>
            <w:r>
              <w:rPr>
                <w:rFonts w:ascii="Calibri" w:hAnsi="Calibri"/>
                <w:color w:val="1A202C"/>
                <w:sz w:val="18"/>
              </w:rPr>
              <w:t>HDL</w:t>
            </w:r>
          </w:p>
        </w:tc>
        <w:tc>
          <w:tcPr>
            <w:tcW w:type="dxa" w:w="1728"/>
            <w:shd w:fill="F7FAFC"/>
            <w:tcMar>
              <w:top w:w="80" w:type="dxa"/>
              <w:bottom w:w="80" w:type="dxa"/>
              <w:left w:w="120" w:type="dxa"/>
              <w:right w:w="120" w:type="dxa"/>
            </w:tcMar>
          </w:tcPr>
          <w:p>
            <w:r>
              <w:rPr>
                <w:rFonts w:ascii="Calibri" w:hAnsi="Calibri"/>
                <w:color w:val="1A202C"/>
                <w:sz w:val="18"/>
              </w:rPr>
              <w:t>Lipid Panel</w:t>
            </w:r>
          </w:p>
        </w:tc>
        <w:tc>
          <w:tcPr>
            <w:tcW w:type="dxa" w:w="3024"/>
            <w:shd w:fill="F7FAFC"/>
            <w:tcMar>
              <w:top w:w="80" w:type="dxa"/>
              <w:bottom w:w="80" w:type="dxa"/>
              <w:left w:w="120" w:type="dxa"/>
              <w:right w:w="120" w:type="dxa"/>
            </w:tcMar>
          </w:tcPr>
          <w:p>
            <w:r>
              <w:rPr>
                <w:rFonts w:ascii="Calibri" w:hAnsi="Calibri"/>
                <w:color w:val="1A202C"/>
                <w:sz w:val="18"/>
              </w:rPr>
              <w:t>High-density lipoprotein</w:t>
            </w:r>
          </w:p>
        </w:tc>
        <w:tc>
          <w:tcPr>
            <w:tcW w:type="dxa" w:w="1728"/>
            <w:shd w:fill="F7FAFC"/>
            <w:tcMar>
              <w:top w:w="80" w:type="dxa"/>
              <w:bottom w:w="80" w:type="dxa"/>
              <w:left w:w="120" w:type="dxa"/>
              <w:right w:w="120" w:type="dxa"/>
            </w:tcMar>
          </w:tcPr>
          <w:p>
            <w:r>
              <w:rPr>
                <w:rFonts w:ascii="Calibri" w:hAnsi="Calibri"/>
                <w:color w:val="1A202C"/>
                <w:sz w:val="18"/>
              </w:rPr>
              <w:t>Float (mg/dL)</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2592"/>
            <w:shd w:fill="FFFFFF"/>
            <w:tcMar>
              <w:top w:w="80" w:type="dxa"/>
              <w:bottom w:w="80" w:type="dxa"/>
              <w:left w:w="120" w:type="dxa"/>
              <w:right w:w="120" w:type="dxa"/>
            </w:tcMar>
          </w:tcPr>
          <w:p>
            <w:r>
              <w:rPr>
                <w:rFonts w:ascii="Calibri" w:hAnsi="Calibri"/>
                <w:color w:val="1A202C"/>
                <w:sz w:val="18"/>
              </w:rPr>
              <w:t>LDL</w:t>
            </w:r>
          </w:p>
        </w:tc>
        <w:tc>
          <w:tcPr>
            <w:tcW w:type="dxa" w:w="1728"/>
            <w:shd w:fill="FFFFFF"/>
            <w:tcMar>
              <w:top w:w="80" w:type="dxa"/>
              <w:bottom w:w="80" w:type="dxa"/>
              <w:left w:w="120" w:type="dxa"/>
              <w:right w:w="120" w:type="dxa"/>
            </w:tcMar>
          </w:tcPr>
          <w:p>
            <w:r>
              <w:rPr>
                <w:rFonts w:ascii="Calibri" w:hAnsi="Calibri"/>
                <w:color w:val="1A202C"/>
                <w:sz w:val="18"/>
              </w:rPr>
              <w:t>Lipid Panel</w:t>
            </w:r>
          </w:p>
        </w:tc>
        <w:tc>
          <w:tcPr>
            <w:tcW w:type="dxa" w:w="3024"/>
            <w:shd w:fill="FFFFFF"/>
            <w:tcMar>
              <w:top w:w="80" w:type="dxa"/>
              <w:bottom w:w="80" w:type="dxa"/>
              <w:left w:w="120" w:type="dxa"/>
              <w:right w:w="120" w:type="dxa"/>
            </w:tcMar>
          </w:tcPr>
          <w:p>
            <w:r>
              <w:rPr>
                <w:rFonts w:ascii="Calibri" w:hAnsi="Calibri"/>
                <w:color w:val="1A202C"/>
                <w:sz w:val="18"/>
              </w:rPr>
              <w:t>Low-density lipoprotein</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2592"/>
            <w:shd w:fill="F7FAFC"/>
            <w:tcMar>
              <w:top w:w="80" w:type="dxa"/>
              <w:bottom w:w="80" w:type="dxa"/>
              <w:left w:w="120" w:type="dxa"/>
              <w:right w:w="120" w:type="dxa"/>
            </w:tcMar>
          </w:tcPr>
          <w:p>
            <w:r>
              <w:rPr>
                <w:rFonts w:ascii="Calibri" w:hAnsi="Calibri"/>
                <w:color w:val="1A202C"/>
                <w:sz w:val="18"/>
              </w:rPr>
              <w:t>ALT</w:t>
            </w:r>
          </w:p>
        </w:tc>
        <w:tc>
          <w:tcPr>
            <w:tcW w:type="dxa" w:w="1728"/>
            <w:shd w:fill="F7FAFC"/>
            <w:tcMar>
              <w:top w:w="80" w:type="dxa"/>
              <w:bottom w:w="80" w:type="dxa"/>
              <w:left w:w="120" w:type="dxa"/>
              <w:right w:w="120" w:type="dxa"/>
            </w:tcMar>
          </w:tcPr>
          <w:p>
            <w:r>
              <w:rPr>
                <w:rFonts w:ascii="Calibri" w:hAnsi="Calibri"/>
                <w:color w:val="1A202C"/>
                <w:sz w:val="18"/>
              </w:rPr>
              <w:t>Hepatic</w:t>
            </w:r>
          </w:p>
        </w:tc>
        <w:tc>
          <w:tcPr>
            <w:tcW w:type="dxa" w:w="3024"/>
            <w:shd w:fill="F7FAFC"/>
            <w:tcMar>
              <w:top w:w="80" w:type="dxa"/>
              <w:bottom w:w="80" w:type="dxa"/>
              <w:left w:w="120" w:type="dxa"/>
              <w:right w:w="120" w:type="dxa"/>
            </w:tcMar>
          </w:tcPr>
          <w:p>
            <w:r>
              <w:rPr>
                <w:rFonts w:ascii="Calibri" w:hAnsi="Calibri"/>
                <w:color w:val="1A202C"/>
                <w:sz w:val="18"/>
              </w:rPr>
              <w:t>Alanine aminotransferase</w:t>
            </w:r>
          </w:p>
        </w:tc>
        <w:tc>
          <w:tcPr>
            <w:tcW w:type="dxa" w:w="1728"/>
            <w:shd w:fill="F7FAFC"/>
            <w:tcMar>
              <w:top w:w="80" w:type="dxa"/>
              <w:bottom w:w="80" w:type="dxa"/>
              <w:left w:w="120" w:type="dxa"/>
              <w:right w:w="120" w:type="dxa"/>
            </w:tcMar>
          </w:tcPr>
          <w:p>
            <w:r>
              <w:rPr>
                <w:rFonts w:ascii="Calibri" w:hAnsi="Calibri"/>
                <w:color w:val="1A202C"/>
                <w:sz w:val="18"/>
              </w:rPr>
              <w:t>Float (U/L)</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2592"/>
            <w:shd w:fill="FFFFFF"/>
            <w:tcMar>
              <w:top w:w="80" w:type="dxa"/>
              <w:bottom w:w="80" w:type="dxa"/>
              <w:left w:w="120" w:type="dxa"/>
              <w:right w:w="120" w:type="dxa"/>
            </w:tcMar>
          </w:tcPr>
          <w:p>
            <w:r>
              <w:rPr>
                <w:rFonts w:ascii="Calibri" w:hAnsi="Calibri"/>
                <w:color w:val="1A202C"/>
                <w:sz w:val="18"/>
              </w:rPr>
              <w:t>AST</w:t>
            </w:r>
          </w:p>
        </w:tc>
        <w:tc>
          <w:tcPr>
            <w:tcW w:type="dxa" w:w="1728"/>
            <w:shd w:fill="FFFFFF"/>
            <w:tcMar>
              <w:top w:w="80" w:type="dxa"/>
              <w:bottom w:w="80" w:type="dxa"/>
              <w:left w:w="120" w:type="dxa"/>
              <w:right w:w="120" w:type="dxa"/>
            </w:tcMar>
          </w:tcPr>
          <w:p>
            <w:r>
              <w:rPr>
                <w:rFonts w:ascii="Calibri" w:hAnsi="Calibri"/>
                <w:color w:val="1A202C"/>
                <w:sz w:val="18"/>
              </w:rPr>
              <w:t>Hepatic</w:t>
            </w:r>
          </w:p>
        </w:tc>
        <w:tc>
          <w:tcPr>
            <w:tcW w:type="dxa" w:w="3024"/>
            <w:shd w:fill="FFFFFF"/>
            <w:tcMar>
              <w:top w:w="80" w:type="dxa"/>
              <w:bottom w:w="80" w:type="dxa"/>
              <w:left w:w="120" w:type="dxa"/>
              <w:right w:w="120" w:type="dxa"/>
            </w:tcMar>
          </w:tcPr>
          <w:p>
            <w:r>
              <w:rPr>
                <w:rFonts w:ascii="Calibri" w:hAnsi="Calibri"/>
                <w:color w:val="1A202C"/>
                <w:sz w:val="18"/>
              </w:rPr>
              <w:t>Aspartate aminotransferase</w:t>
            </w:r>
          </w:p>
        </w:tc>
        <w:tc>
          <w:tcPr>
            <w:tcW w:type="dxa" w:w="1728"/>
            <w:shd w:fill="FFFFFF"/>
            <w:tcMar>
              <w:top w:w="80" w:type="dxa"/>
              <w:bottom w:w="80" w:type="dxa"/>
              <w:left w:w="120" w:type="dxa"/>
              <w:right w:w="120" w:type="dxa"/>
            </w:tcMar>
          </w:tcPr>
          <w:p>
            <w:r>
              <w:rPr>
                <w:rFonts w:ascii="Calibri" w:hAnsi="Calibri"/>
                <w:color w:val="1A202C"/>
                <w:sz w:val="18"/>
              </w:rPr>
              <w:t>Float (U/L)</w:t>
            </w:r>
          </w:p>
        </w:tc>
      </w:tr>
      <w:tr>
        <w:tc>
          <w:tcPr>
            <w:tcW w:type="dxa" w:w="576"/>
            <w:shd w:fill="F7FAFC"/>
            <w:tcMar>
              <w:top w:w="80" w:type="dxa"/>
              <w:bottom w:w="80" w:type="dxa"/>
              <w:left w:w="120" w:type="dxa"/>
              <w:right w:w="120" w:type="dxa"/>
            </w:tcMar>
          </w:tcPr>
          <w:p>
            <w:r>
              <w:rPr>
                <w:rFonts w:ascii="Calibri" w:hAnsi="Calibri"/>
                <w:color w:val="1A202C"/>
                <w:sz w:val="18"/>
              </w:rPr>
              <w:t>16</w:t>
            </w:r>
          </w:p>
        </w:tc>
        <w:tc>
          <w:tcPr>
            <w:tcW w:type="dxa" w:w="2592"/>
            <w:shd w:fill="F7FAFC"/>
            <w:tcMar>
              <w:top w:w="80" w:type="dxa"/>
              <w:bottom w:w="80" w:type="dxa"/>
              <w:left w:w="120" w:type="dxa"/>
              <w:right w:w="120" w:type="dxa"/>
            </w:tcMar>
          </w:tcPr>
          <w:p>
            <w:r>
              <w:rPr>
                <w:rFonts w:ascii="Calibri" w:hAnsi="Calibri"/>
                <w:color w:val="1A202C"/>
                <w:sz w:val="18"/>
              </w:rPr>
              <w:t>Family_History_Diabetes</w:t>
            </w:r>
          </w:p>
        </w:tc>
        <w:tc>
          <w:tcPr>
            <w:tcW w:type="dxa" w:w="1728"/>
            <w:shd w:fill="F7FAFC"/>
            <w:tcMar>
              <w:top w:w="80" w:type="dxa"/>
              <w:bottom w:w="80" w:type="dxa"/>
              <w:left w:w="120" w:type="dxa"/>
              <w:right w:w="120" w:type="dxa"/>
            </w:tcMar>
          </w:tcPr>
          <w:p>
            <w:r>
              <w:rPr>
                <w:rFonts w:ascii="Calibri" w:hAnsi="Calibri"/>
                <w:color w:val="1A202C"/>
                <w:sz w:val="18"/>
              </w:rPr>
              <w:t>Genetic Risk</w:t>
            </w:r>
          </w:p>
        </w:tc>
        <w:tc>
          <w:tcPr>
            <w:tcW w:type="dxa" w:w="3024"/>
            <w:shd w:fill="F7FAFC"/>
            <w:tcMar>
              <w:top w:w="80" w:type="dxa"/>
              <w:bottom w:w="80" w:type="dxa"/>
              <w:left w:w="120" w:type="dxa"/>
              <w:right w:w="120" w:type="dxa"/>
            </w:tcMar>
          </w:tcPr>
          <w:p>
            <w:r>
              <w:rPr>
                <w:rFonts w:ascii="Calibri" w:hAnsi="Calibri"/>
                <w:color w:val="1A202C"/>
                <w:sz w:val="18"/>
              </w:rPr>
              <w:t>Family history of T2D</w:t>
            </w:r>
          </w:p>
        </w:tc>
        <w:tc>
          <w:tcPr>
            <w:tcW w:type="dxa" w:w="1728"/>
            <w:shd w:fill="F7FAFC"/>
            <w:tcMar>
              <w:top w:w="80" w:type="dxa"/>
              <w:bottom w:w="80" w:type="dxa"/>
              <w:left w:w="120" w:type="dxa"/>
              <w:right w:w="120" w:type="dxa"/>
            </w:tcMar>
          </w:tcPr>
          <w:p>
            <w:r>
              <w:rPr>
                <w:rFonts w:ascii="Calibri" w:hAnsi="Calibri"/>
                <w:color w:val="1A202C"/>
                <w:sz w:val="18"/>
              </w:rPr>
              <w:t>Binary (0/1)</w:t>
            </w:r>
          </w:p>
        </w:tc>
      </w:tr>
      <w:tr>
        <w:tc>
          <w:tcPr>
            <w:tcW w:type="dxa" w:w="576"/>
            <w:shd w:fill="FFFFFF"/>
            <w:tcMar>
              <w:top w:w="80" w:type="dxa"/>
              <w:bottom w:w="80" w:type="dxa"/>
              <w:left w:w="120" w:type="dxa"/>
              <w:right w:w="120" w:type="dxa"/>
            </w:tcMar>
          </w:tcPr>
          <w:p>
            <w:r>
              <w:rPr>
                <w:rFonts w:ascii="Calibri" w:hAnsi="Calibri"/>
                <w:color w:val="1A202C"/>
                <w:sz w:val="18"/>
              </w:rPr>
              <w:t>17</w:t>
            </w:r>
          </w:p>
        </w:tc>
        <w:tc>
          <w:tcPr>
            <w:tcW w:type="dxa" w:w="2592"/>
            <w:shd w:fill="FFFFFF"/>
            <w:tcMar>
              <w:top w:w="80" w:type="dxa"/>
              <w:bottom w:w="80" w:type="dxa"/>
              <w:left w:w="120" w:type="dxa"/>
              <w:right w:w="120" w:type="dxa"/>
            </w:tcMar>
          </w:tcPr>
          <w:p>
            <w:r>
              <w:rPr>
                <w:rFonts w:ascii="Calibri" w:hAnsi="Calibri"/>
                <w:color w:val="1A202C"/>
                <w:sz w:val="18"/>
              </w:rPr>
              <w:t>Family_History_Hypertension</w:t>
            </w:r>
          </w:p>
        </w:tc>
        <w:tc>
          <w:tcPr>
            <w:tcW w:type="dxa" w:w="1728"/>
            <w:shd w:fill="FFFFFF"/>
            <w:tcMar>
              <w:top w:w="80" w:type="dxa"/>
              <w:bottom w:w="80" w:type="dxa"/>
              <w:left w:w="120" w:type="dxa"/>
              <w:right w:w="120" w:type="dxa"/>
            </w:tcMar>
          </w:tcPr>
          <w:p>
            <w:r>
              <w:rPr>
                <w:rFonts w:ascii="Calibri" w:hAnsi="Calibri"/>
                <w:color w:val="1A202C"/>
                <w:sz w:val="18"/>
              </w:rPr>
              <w:t>Genetic Risk</w:t>
            </w:r>
          </w:p>
        </w:tc>
        <w:tc>
          <w:tcPr>
            <w:tcW w:type="dxa" w:w="3024"/>
            <w:shd w:fill="FFFFFF"/>
            <w:tcMar>
              <w:top w:w="80" w:type="dxa"/>
              <w:bottom w:w="80" w:type="dxa"/>
              <w:left w:w="120" w:type="dxa"/>
              <w:right w:w="120" w:type="dxa"/>
            </w:tcMar>
          </w:tcPr>
          <w:p>
            <w:r>
              <w:rPr>
                <w:rFonts w:ascii="Calibri" w:hAnsi="Calibri"/>
                <w:color w:val="1A202C"/>
                <w:sz w:val="18"/>
              </w:rPr>
              <w:t>Family history of HTN</w:t>
            </w:r>
          </w:p>
        </w:tc>
        <w:tc>
          <w:tcPr>
            <w:tcW w:type="dxa" w:w="1728"/>
            <w:shd w:fill="FFFFFF"/>
            <w:tcMar>
              <w:top w:w="80" w:type="dxa"/>
              <w:bottom w:w="80" w:type="dxa"/>
              <w:left w:w="120" w:type="dxa"/>
              <w:right w:w="120" w:type="dxa"/>
            </w:tcMar>
          </w:tcPr>
          <w:p>
            <w:r>
              <w:rPr>
                <w:rFonts w:ascii="Calibri" w:hAnsi="Calibri"/>
                <w:color w:val="1A202C"/>
                <w:sz w:val="18"/>
              </w:rPr>
              <w:t>Binary (0/1)</w:t>
            </w:r>
          </w:p>
        </w:tc>
      </w:tr>
      <w:tr>
        <w:tc>
          <w:tcPr>
            <w:tcW w:type="dxa" w:w="576"/>
            <w:shd w:fill="F7FAFC"/>
            <w:tcMar>
              <w:top w:w="80" w:type="dxa"/>
              <w:bottom w:w="80" w:type="dxa"/>
              <w:left w:w="120" w:type="dxa"/>
              <w:right w:w="120" w:type="dxa"/>
            </w:tcMar>
          </w:tcPr>
          <w:p>
            <w:r>
              <w:rPr>
                <w:rFonts w:ascii="Calibri" w:hAnsi="Calibri"/>
                <w:color w:val="1A202C"/>
                <w:sz w:val="18"/>
              </w:rPr>
              <w:t>18</w:t>
            </w:r>
          </w:p>
        </w:tc>
        <w:tc>
          <w:tcPr>
            <w:tcW w:type="dxa" w:w="2592"/>
            <w:shd w:fill="F7FAFC"/>
            <w:tcMar>
              <w:top w:w="80" w:type="dxa"/>
              <w:bottom w:w="80" w:type="dxa"/>
              <w:left w:w="120" w:type="dxa"/>
              <w:right w:w="120" w:type="dxa"/>
            </w:tcMar>
          </w:tcPr>
          <w:p>
            <w:r>
              <w:rPr>
                <w:rFonts w:ascii="Calibri" w:hAnsi="Calibri"/>
                <w:color w:val="1A202C"/>
                <w:sz w:val="18"/>
              </w:rPr>
              <w:t>Family_History_CVD</w:t>
            </w:r>
          </w:p>
        </w:tc>
        <w:tc>
          <w:tcPr>
            <w:tcW w:type="dxa" w:w="1728"/>
            <w:shd w:fill="F7FAFC"/>
            <w:tcMar>
              <w:top w:w="80" w:type="dxa"/>
              <w:bottom w:w="80" w:type="dxa"/>
              <w:left w:w="120" w:type="dxa"/>
              <w:right w:w="120" w:type="dxa"/>
            </w:tcMar>
          </w:tcPr>
          <w:p>
            <w:r>
              <w:rPr>
                <w:rFonts w:ascii="Calibri" w:hAnsi="Calibri"/>
                <w:color w:val="1A202C"/>
                <w:sz w:val="18"/>
              </w:rPr>
              <w:t>Genetic Risk</w:t>
            </w:r>
          </w:p>
        </w:tc>
        <w:tc>
          <w:tcPr>
            <w:tcW w:type="dxa" w:w="3024"/>
            <w:shd w:fill="F7FAFC"/>
            <w:tcMar>
              <w:top w:w="80" w:type="dxa"/>
              <w:bottom w:w="80" w:type="dxa"/>
              <w:left w:w="120" w:type="dxa"/>
              <w:right w:w="120" w:type="dxa"/>
            </w:tcMar>
          </w:tcPr>
          <w:p>
            <w:r>
              <w:rPr>
                <w:rFonts w:ascii="Calibri" w:hAnsi="Calibri"/>
                <w:color w:val="1A202C"/>
                <w:sz w:val="18"/>
              </w:rPr>
              <w:t>Family history of CVD</w:t>
            </w:r>
          </w:p>
        </w:tc>
        <w:tc>
          <w:tcPr>
            <w:tcW w:type="dxa" w:w="1728"/>
            <w:shd w:fill="F7FAFC"/>
            <w:tcMar>
              <w:top w:w="80" w:type="dxa"/>
              <w:bottom w:w="80" w:type="dxa"/>
              <w:left w:w="120" w:type="dxa"/>
              <w:right w:w="120" w:type="dxa"/>
            </w:tcMar>
          </w:tcPr>
          <w:p>
            <w:r>
              <w:rPr>
                <w:rFonts w:ascii="Calibri" w:hAnsi="Calibri"/>
                <w:color w:val="1A202C"/>
                <w:sz w:val="18"/>
              </w:rPr>
              <w:t>Binary (0/1)</w:t>
            </w:r>
          </w:p>
        </w:tc>
      </w:tr>
    </w:tbl>
    <w:p>
      <w:pPr>
        <w:keepNext/>
        <w:spacing w:before="200" w:after="80"/>
      </w:pPr>
      <w:r>
        <w:rPr>
          <w:rFonts w:ascii="Calibri" w:hAnsi="Calibri"/>
          <w:b/>
          <w:color w:val="2B6CB0"/>
          <w:sz w:val="26"/>
        </w:rPr>
        <w:t>7.3 Wearable &amp; CGM Modality Features (15 Features)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3168"/>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1728"/>
            <w:shd w:fill="1B365D"/>
            <w:tcMar>
              <w:top w:w="100" w:type="dxa"/>
              <w:bottom w:w="100" w:type="dxa"/>
              <w:left w:w="120" w:type="dxa"/>
              <w:right w:w="120" w:type="dxa"/>
            </w:tcMar>
          </w:tcPr>
          <w:p>
            <w:pPr>
              <w:jc w:val="left"/>
            </w:pPr>
            <w:r>
              <w:rPr>
                <w:rFonts w:ascii="Calibri" w:hAnsi="Calibri"/>
                <w:b/>
                <w:color w:val="FFFFFF"/>
                <w:sz w:val="19"/>
              </w:rPr>
              <w:t>Source</w:t>
            </w:r>
          </w:p>
        </w:tc>
        <w:tc>
          <w:tcPr>
            <w:tcW w:type="dxa" w:w="2448"/>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1728"/>
            <w:shd w:fill="1B365D"/>
            <w:tcMar>
              <w:top w:w="100" w:type="dxa"/>
              <w:bottom w:w="100" w:type="dxa"/>
              <w:left w:w="120" w:type="dxa"/>
              <w:right w:w="120" w:type="dxa"/>
            </w:tcMar>
          </w:tcPr>
          <w:p>
            <w:pPr>
              <w:jc w:val="left"/>
            </w:pPr>
            <w:r>
              <w:rPr>
                <w:rFonts w:ascii="Calibri" w:hAnsi="Calibri"/>
                <w:b/>
                <w:color w:val="FFFFFF"/>
                <w:sz w:val="19"/>
              </w:rPr>
              <w:t>Data Type / Unit</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3168"/>
            <w:shd w:fill="FFFFFF"/>
            <w:tcMar>
              <w:top w:w="80" w:type="dxa"/>
              <w:bottom w:w="80" w:type="dxa"/>
              <w:left w:w="120" w:type="dxa"/>
              <w:right w:w="120" w:type="dxa"/>
            </w:tcMar>
          </w:tcPr>
          <w:p>
            <w:r>
              <w:rPr>
                <w:rFonts w:ascii="Calibri" w:hAnsi="Calibri"/>
                <w:color w:val="1A202C"/>
                <w:sz w:val="18"/>
              </w:rPr>
              <w:t>Average_Daily_Steps</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Mean daily step counts over tracking period</w:t>
            </w:r>
          </w:p>
        </w:tc>
        <w:tc>
          <w:tcPr>
            <w:tcW w:type="dxa" w:w="1728"/>
            <w:shd w:fill="FFFFFF"/>
            <w:tcMar>
              <w:top w:w="80" w:type="dxa"/>
              <w:bottom w:w="80" w:type="dxa"/>
              <w:left w:w="120" w:type="dxa"/>
              <w:right w:w="120" w:type="dxa"/>
            </w:tcMar>
          </w:tcPr>
          <w:p>
            <w:r>
              <w:rPr>
                <w:rFonts w:ascii="Calibri" w:hAnsi="Calibri"/>
                <w:color w:val="1A202C"/>
                <w:sz w:val="18"/>
              </w:rPr>
              <w:t>Integer (steps)</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3168"/>
            <w:shd w:fill="F7FAFC"/>
            <w:tcMar>
              <w:top w:w="80" w:type="dxa"/>
              <w:bottom w:w="80" w:type="dxa"/>
              <w:left w:w="120" w:type="dxa"/>
              <w:right w:w="120" w:type="dxa"/>
            </w:tcMar>
          </w:tcPr>
          <w:p>
            <w:r>
              <w:rPr>
                <w:rFonts w:ascii="Calibri" w:hAnsi="Calibri"/>
                <w:color w:val="1A202C"/>
                <w:sz w:val="18"/>
              </w:rPr>
              <w:t>Active_Minutes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Daily moderate-to-vigorous physical activity</w:t>
            </w:r>
          </w:p>
        </w:tc>
        <w:tc>
          <w:tcPr>
            <w:tcW w:type="dxa" w:w="1728"/>
            <w:shd w:fill="F7FAFC"/>
            <w:tcMar>
              <w:top w:w="80" w:type="dxa"/>
              <w:bottom w:w="80" w:type="dxa"/>
              <w:left w:w="120" w:type="dxa"/>
              <w:right w:w="120" w:type="dxa"/>
            </w:tcMar>
          </w:tcPr>
          <w:p>
            <w:r>
              <w:rPr>
                <w:rFonts w:ascii="Calibri" w:hAnsi="Calibri"/>
                <w:color w:val="1A202C"/>
                <w:sz w:val="18"/>
              </w:rPr>
              <w:t>Float (minutes)</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3168"/>
            <w:shd w:fill="FFFFFF"/>
            <w:tcMar>
              <w:top w:w="80" w:type="dxa"/>
              <w:bottom w:w="80" w:type="dxa"/>
              <w:left w:w="120" w:type="dxa"/>
              <w:right w:w="120" w:type="dxa"/>
            </w:tcMar>
          </w:tcPr>
          <w:p>
            <w:r>
              <w:rPr>
                <w:rFonts w:ascii="Calibri" w:hAnsi="Calibri"/>
                <w:color w:val="1A202C"/>
                <w:sz w:val="18"/>
              </w:rPr>
              <w:t>Sedentary_Time_Minutes</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Daily inactive duration</w:t>
            </w:r>
          </w:p>
        </w:tc>
        <w:tc>
          <w:tcPr>
            <w:tcW w:type="dxa" w:w="1728"/>
            <w:shd w:fill="FFFFFF"/>
            <w:tcMar>
              <w:top w:w="80" w:type="dxa"/>
              <w:bottom w:w="80" w:type="dxa"/>
              <w:left w:w="120" w:type="dxa"/>
              <w:right w:w="120" w:type="dxa"/>
            </w:tcMar>
          </w:tcPr>
          <w:p>
            <w:r>
              <w:rPr>
                <w:rFonts w:ascii="Calibri" w:hAnsi="Calibri"/>
                <w:color w:val="1A202C"/>
                <w:sz w:val="18"/>
              </w:rPr>
              <w:t>Float (minutes)</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3168"/>
            <w:shd w:fill="F7FAFC"/>
            <w:tcMar>
              <w:top w:w="80" w:type="dxa"/>
              <w:bottom w:w="80" w:type="dxa"/>
              <w:left w:w="120" w:type="dxa"/>
              <w:right w:w="120" w:type="dxa"/>
            </w:tcMar>
          </w:tcPr>
          <w:p>
            <w:r>
              <w:rPr>
                <w:rFonts w:ascii="Calibri" w:hAnsi="Calibri"/>
                <w:color w:val="1A202C"/>
                <w:sz w:val="18"/>
              </w:rPr>
              <w:t>Resting_Heart_Rate</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Baseline resting heart rate</w:t>
            </w:r>
          </w:p>
        </w:tc>
        <w:tc>
          <w:tcPr>
            <w:tcW w:type="dxa" w:w="1728"/>
            <w:shd w:fill="F7FAFC"/>
            <w:tcMar>
              <w:top w:w="80" w:type="dxa"/>
              <w:bottom w:w="80" w:type="dxa"/>
              <w:left w:w="120" w:type="dxa"/>
              <w:right w:w="120" w:type="dxa"/>
            </w:tcMar>
          </w:tcPr>
          <w:p>
            <w:r>
              <w:rPr>
                <w:rFonts w:ascii="Calibri" w:hAnsi="Calibri"/>
                <w:color w:val="1A202C"/>
                <w:sz w:val="18"/>
              </w:rPr>
              <w:t>Float (bpm)</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3168"/>
            <w:shd w:fill="FFFFFF"/>
            <w:tcMar>
              <w:top w:w="80" w:type="dxa"/>
              <w:bottom w:w="80" w:type="dxa"/>
              <w:left w:w="120" w:type="dxa"/>
              <w:right w:w="120" w:type="dxa"/>
            </w:tcMar>
          </w:tcPr>
          <w:p>
            <w:r>
              <w:rPr>
                <w:rFonts w:ascii="Calibri" w:hAnsi="Calibri"/>
                <w:color w:val="1A202C"/>
                <w:sz w:val="18"/>
              </w:rPr>
              <w:t>Heart_Rate_Variability_RMSSD</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Root mean square of successive RR diffs</w:t>
            </w:r>
          </w:p>
        </w:tc>
        <w:tc>
          <w:tcPr>
            <w:tcW w:type="dxa" w:w="1728"/>
            <w:shd w:fill="FFFFFF"/>
            <w:tcMar>
              <w:top w:w="80" w:type="dxa"/>
              <w:bottom w:w="80" w:type="dxa"/>
              <w:left w:w="120" w:type="dxa"/>
              <w:right w:w="120" w:type="dxa"/>
            </w:tcMar>
          </w:tcPr>
          <w:p>
            <w:r>
              <w:rPr>
                <w:rFonts w:ascii="Calibri" w:hAnsi="Calibri"/>
                <w:color w:val="1A202C"/>
                <w:sz w:val="18"/>
              </w:rPr>
              <w:t>Float (ms)</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3168"/>
            <w:shd w:fill="F7FAFC"/>
            <w:tcMar>
              <w:top w:w="80" w:type="dxa"/>
              <w:bottom w:w="80" w:type="dxa"/>
              <w:left w:w="120" w:type="dxa"/>
              <w:right w:w="120" w:type="dxa"/>
            </w:tcMar>
          </w:tcPr>
          <w:p>
            <w:r>
              <w:rPr>
                <w:rFonts w:ascii="Calibri" w:hAnsi="Calibri"/>
                <w:color w:val="1A202C"/>
                <w:sz w:val="18"/>
              </w:rPr>
              <w:t>Sleep_Duration_Hours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Total sleep duration per 24h cycle</w:t>
            </w:r>
          </w:p>
        </w:tc>
        <w:tc>
          <w:tcPr>
            <w:tcW w:type="dxa" w:w="1728"/>
            <w:shd w:fill="F7FAFC"/>
            <w:tcMar>
              <w:top w:w="80" w:type="dxa"/>
              <w:bottom w:w="80" w:type="dxa"/>
              <w:left w:w="120" w:type="dxa"/>
              <w:right w:w="120" w:type="dxa"/>
            </w:tcMar>
          </w:tcPr>
          <w:p>
            <w:r>
              <w:rPr>
                <w:rFonts w:ascii="Calibri" w:hAnsi="Calibri"/>
                <w:color w:val="1A202C"/>
                <w:sz w:val="18"/>
              </w:rPr>
              <w:t>Float (hours)</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3168"/>
            <w:shd w:fill="FFFFFF"/>
            <w:tcMar>
              <w:top w:w="80" w:type="dxa"/>
              <w:bottom w:w="80" w:type="dxa"/>
              <w:left w:w="120" w:type="dxa"/>
              <w:right w:w="120" w:type="dxa"/>
            </w:tcMar>
          </w:tcPr>
          <w:p>
            <w:r>
              <w:rPr>
                <w:rFonts w:ascii="Calibri" w:hAnsi="Calibri"/>
                <w:color w:val="1A202C"/>
                <w:sz w:val="18"/>
              </w:rPr>
              <w:t>Sleep_Efficiency_Score</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Ratio of time asleep to time in bed</w:t>
            </w:r>
          </w:p>
        </w:tc>
        <w:tc>
          <w:tcPr>
            <w:tcW w:type="dxa" w:w="1728"/>
            <w:shd w:fill="FFFFFF"/>
            <w:tcMar>
              <w:top w:w="80" w:type="dxa"/>
              <w:bottom w:w="80" w:type="dxa"/>
              <w:left w:w="120" w:type="dxa"/>
              <w:right w:w="120" w:type="dxa"/>
            </w:tcMar>
          </w:tcPr>
          <w:p>
            <w:r>
              <w:rPr>
                <w:rFonts w:ascii="Calibri" w:hAnsi="Calibri"/>
                <w:color w:val="1A202C"/>
                <w:sz w:val="18"/>
              </w:rPr>
              <w:t>Float (0.0–1.0)</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3168"/>
            <w:shd w:fill="F7FAFC"/>
            <w:tcMar>
              <w:top w:w="80" w:type="dxa"/>
              <w:bottom w:w="80" w:type="dxa"/>
              <w:left w:w="120" w:type="dxa"/>
              <w:right w:w="120" w:type="dxa"/>
            </w:tcMar>
          </w:tcPr>
          <w:p>
            <w:r>
              <w:rPr>
                <w:rFonts w:ascii="Calibri" w:hAnsi="Calibri"/>
                <w:color w:val="1A202C"/>
                <w:sz w:val="18"/>
              </w:rPr>
              <w:t>Autonomic_Stress_Score</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Derived autonomic stress burden</w:t>
            </w:r>
          </w:p>
        </w:tc>
        <w:tc>
          <w:tcPr>
            <w:tcW w:type="dxa" w:w="1728"/>
            <w:shd w:fill="F7FAFC"/>
            <w:tcMar>
              <w:top w:w="80" w:type="dxa"/>
              <w:bottom w:w="80" w:type="dxa"/>
              <w:left w:w="120" w:type="dxa"/>
              <w:right w:w="120" w:type="dxa"/>
            </w:tcMar>
          </w:tcPr>
          <w:p>
            <w:r>
              <w:rPr>
                <w:rFonts w:ascii="Calibri" w:hAnsi="Calibri"/>
                <w:color w:val="1A202C"/>
                <w:sz w:val="18"/>
              </w:rPr>
              <w:t>Float (0–100 index)</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3168"/>
            <w:shd w:fill="FFFFFF"/>
            <w:tcMar>
              <w:top w:w="80" w:type="dxa"/>
              <w:bottom w:w="80" w:type="dxa"/>
              <w:left w:w="120" w:type="dxa"/>
              <w:right w:w="120" w:type="dxa"/>
            </w:tcMar>
          </w:tcPr>
          <w:p>
            <w:r>
              <w:rPr>
                <w:rFonts w:ascii="Calibri" w:hAnsi="Calibri"/>
                <w:color w:val="1A202C"/>
                <w:sz w:val="18"/>
              </w:rPr>
              <w:t>Activity_Energy_Expenditure</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Caloric expenditure from activity</w:t>
            </w:r>
          </w:p>
        </w:tc>
        <w:tc>
          <w:tcPr>
            <w:tcW w:type="dxa" w:w="1728"/>
            <w:shd w:fill="FFFFFF"/>
            <w:tcMar>
              <w:top w:w="80" w:type="dxa"/>
              <w:bottom w:w="80" w:type="dxa"/>
              <w:left w:w="120" w:type="dxa"/>
              <w:right w:w="120" w:type="dxa"/>
            </w:tcMar>
          </w:tcPr>
          <w:p>
            <w:r>
              <w:rPr>
                <w:rFonts w:ascii="Calibri" w:hAnsi="Calibri"/>
                <w:color w:val="1A202C"/>
                <w:sz w:val="18"/>
              </w:rPr>
              <w:t>Float (kcal)</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3168"/>
            <w:shd w:fill="F7FAFC"/>
            <w:tcMar>
              <w:top w:w="80" w:type="dxa"/>
              <w:bottom w:w="80" w:type="dxa"/>
              <w:left w:w="120" w:type="dxa"/>
              <w:right w:w="120" w:type="dxa"/>
            </w:tcMar>
          </w:tcPr>
          <w:p>
            <w:r>
              <w:rPr>
                <w:rFonts w:ascii="Calibri" w:hAnsi="Calibri"/>
                <w:color w:val="1A202C"/>
                <w:sz w:val="18"/>
              </w:rPr>
              <w:t>Exercise_Frequency_Days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Days per week with structured exercise</w:t>
            </w:r>
          </w:p>
        </w:tc>
        <w:tc>
          <w:tcPr>
            <w:tcW w:type="dxa" w:w="1728"/>
            <w:shd w:fill="F7FAFC"/>
            <w:tcMar>
              <w:top w:w="80" w:type="dxa"/>
              <w:bottom w:w="80" w:type="dxa"/>
              <w:left w:w="120" w:type="dxa"/>
              <w:right w:w="120" w:type="dxa"/>
            </w:tcMar>
          </w:tcPr>
          <w:p>
            <w:r>
              <w:rPr>
                <w:rFonts w:ascii="Calibri" w:hAnsi="Calibri"/>
                <w:color w:val="1A202C"/>
                <w:sz w:val="18"/>
              </w:rPr>
              <w:t>Integer (days)</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3168"/>
            <w:shd w:fill="FFFFFF"/>
            <w:tcMar>
              <w:top w:w="80" w:type="dxa"/>
              <w:bottom w:w="80" w:type="dxa"/>
              <w:left w:w="120" w:type="dxa"/>
              <w:right w:w="120" w:type="dxa"/>
            </w:tcMar>
          </w:tcPr>
          <w:p>
            <w:r>
              <w:rPr>
                <w:rFonts w:ascii="Calibri" w:hAnsi="Calibri"/>
                <w:color w:val="1A202C"/>
                <w:sz w:val="18"/>
              </w:rPr>
              <w:t>CGM_Average_Glucose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24-hour mean interstitial glucose</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3168"/>
            <w:shd w:fill="F7FAFC"/>
            <w:tcMar>
              <w:top w:w="80" w:type="dxa"/>
              <w:bottom w:w="80" w:type="dxa"/>
              <w:left w:w="120" w:type="dxa"/>
              <w:right w:w="120" w:type="dxa"/>
            </w:tcMar>
          </w:tcPr>
          <w:p>
            <w:r>
              <w:rPr>
                <w:rFonts w:ascii="Calibri" w:hAnsi="Calibri"/>
                <w:color w:val="1A202C"/>
                <w:sz w:val="18"/>
              </w:rPr>
              <w:t>CGM_Glucose_CV</w:t>
            </w:r>
          </w:p>
        </w:tc>
        <w:tc>
          <w:tcPr>
            <w:tcW w:type="dxa" w:w="1728"/>
            <w:shd w:fill="F7FAFC"/>
            <w:tcMar>
              <w:top w:w="80" w:type="dxa"/>
              <w:bottom w:w="80" w:type="dxa"/>
              <w:left w:w="120" w:type="dxa"/>
              <w:right w:w="120" w:type="dxa"/>
            </w:tcMar>
          </w:tcPr>
          <w:p>
            <w:r>
              <w:rPr>
                <w:rFonts w:ascii="Calibri" w:hAnsi="Calibri"/>
                <w:color w:val="1A202C"/>
                <w:sz w:val="18"/>
              </w:rPr>
              <w:t>Continuous Glucose</w:t>
            </w:r>
          </w:p>
        </w:tc>
        <w:tc>
          <w:tcPr>
            <w:tcW w:type="dxa" w:w="2448"/>
            <w:shd w:fill="F7FAFC"/>
            <w:tcMar>
              <w:top w:w="80" w:type="dxa"/>
              <w:bottom w:w="80" w:type="dxa"/>
              <w:left w:w="120" w:type="dxa"/>
              <w:right w:w="120" w:type="dxa"/>
            </w:tcMar>
          </w:tcPr>
          <w:p>
            <w:r>
              <w:rPr>
                <w:rFonts w:ascii="Calibri" w:hAnsi="Calibri"/>
                <w:color w:val="1A202C"/>
                <w:sz w:val="18"/>
              </w:rPr>
              <w:t>Coefficient of variation in glucose</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3168"/>
            <w:shd w:fill="FFFFFF"/>
            <w:tcMar>
              <w:top w:w="80" w:type="dxa"/>
              <w:bottom w:w="80" w:type="dxa"/>
              <w:left w:w="120" w:type="dxa"/>
              <w:right w:w="120" w:type="dxa"/>
            </w:tcMar>
          </w:tcPr>
          <w:p>
            <w:r>
              <w:rPr>
                <w:rFonts w:ascii="Calibri" w:hAnsi="Calibri"/>
                <w:color w:val="1A202C"/>
                <w:sz w:val="18"/>
              </w:rPr>
              <w:t>CGM_Time_In_Range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Time spent between 70–180 mg/dL</w:t>
            </w:r>
          </w:p>
        </w:tc>
        <w:tc>
          <w:tcPr>
            <w:tcW w:type="dxa" w:w="1728"/>
            <w:shd w:fill="FFFFFF"/>
            <w:tcMar>
              <w:top w:w="80" w:type="dxa"/>
              <w:bottom w:w="80" w:type="dxa"/>
              <w:left w:w="120" w:type="dxa"/>
              <w:right w:w="120" w:type="dxa"/>
            </w:tcMar>
          </w:tcPr>
          <w:p>
            <w:r>
              <w:rPr>
                <w:rFonts w:ascii="Calibri" w:hAnsi="Calibri"/>
                <w:color w:val="1A202C"/>
                <w:sz w:val="18"/>
              </w:rPr>
              <w:t>Float (%)</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3168"/>
            <w:shd w:fill="F7FAFC"/>
            <w:tcMar>
              <w:top w:w="80" w:type="dxa"/>
              <w:bottom w:w="80" w:type="dxa"/>
              <w:left w:w="120" w:type="dxa"/>
              <w:right w:w="120" w:type="dxa"/>
            </w:tcMar>
          </w:tcPr>
          <w:p>
            <w:r>
              <w:rPr>
                <w:rFonts w:ascii="Calibri" w:hAnsi="Calibri"/>
                <w:color w:val="1A202C"/>
                <w:sz w:val="18"/>
              </w:rPr>
              <w:t>CGM_Time_Above_Range</w:t>
            </w:r>
          </w:p>
        </w:tc>
        <w:tc>
          <w:tcPr>
            <w:tcW w:type="dxa" w:w="1728"/>
            <w:shd w:fill="F7FAFC"/>
            <w:tcMar>
              <w:top w:w="80" w:type="dxa"/>
              <w:bottom w:w="80" w:type="dxa"/>
              <w:left w:w="120" w:type="dxa"/>
              <w:right w:w="120" w:type="dxa"/>
            </w:tcMar>
          </w:tcPr>
          <w:p>
            <w:r>
              <w:rPr>
                <w:rFonts w:ascii="Calibri" w:hAnsi="Calibri"/>
                <w:color w:val="1A202C"/>
                <w:sz w:val="18"/>
              </w:rPr>
              <w:t>Continuous Glucose</w:t>
            </w:r>
          </w:p>
        </w:tc>
        <w:tc>
          <w:tcPr>
            <w:tcW w:type="dxa" w:w="2448"/>
            <w:shd w:fill="F7FAFC"/>
            <w:tcMar>
              <w:top w:w="80" w:type="dxa"/>
              <w:bottom w:w="80" w:type="dxa"/>
              <w:left w:w="120" w:type="dxa"/>
              <w:right w:w="120" w:type="dxa"/>
            </w:tcMar>
          </w:tcPr>
          <w:p>
            <w:r>
              <w:rPr>
                <w:rFonts w:ascii="Calibri" w:hAnsi="Calibri"/>
                <w:color w:val="1A202C"/>
                <w:sz w:val="18"/>
              </w:rPr>
              <w:t>Time spent &gt; 180 mg/dL</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3168"/>
            <w:shd w:fill="FFFFFF"/>
            <w:tcMar>
              <w:top w:w="80" w:type="dxa"/>
              <w:bottom w:w="80" w:type="dxa"/>
              <w:left w:w="120" w:type="dxa"/>
              <w:right w:w="120" w:type="dxa"/>
            </w:tcMar>
          </w:tcPr>
          <w:p>
            <w:r>
              <w:rPr>
                <w:rFonts w:ascii="Calibri" w:hAnsi="Calibri"/>
                <w:color w:val="1A202C"/>
                <w:sz w:val="18"/>
              </w:rPr>
              <w:t>CGM_Time_Below_Range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Time spent &lt; 70 mg/dL</w:t>
            </w:r>
          </w:p>
        </w:tc>
        <w:tc>
          <w:tcPr>
            <w:tcW w:type="dxa" w:w="1728"/>
            <w:shd w:fill="FFFFFF"/>
            <w:tcMar>
              <w:top w:w="80" w:type="dxa"/>
              <w:bottom w:w="80" w:type="dxa"/>
              <w:left w:w="120" w:type="dxa"/>
              <w:right w:w="120" w:type="dxa"/>
            </w:tcMar>
          </w:tcPr>
          <w:p>
            <w:r>
              <w:rPr>
                <w:rFonts w:ascii="Calibri" w:hAnsi="Calibri"/>
                <w:color w:val="1A202C"/>
                <w:sz w:val="18"/>
              </w:rPr>
              <w:t>Float (%)</w:t>
            </w:r>
          </w:p>
        </w:tc>
      </w:tr>
    </w:tbl>
    <w:p>
      <w:pPr>
        <w:keepNext/>
        <w:spacing w:before="200" w:after="80"/>
      </w:pPr>
      <w:r>
        <w:rPr>
          <w:rFonts w:ascii="Calibri" w:hAnsi="Calibri"/>
          <w:b/>
          <w:color w:val="2B6CB0"/>
          <w:sz w:val="26"/>
        </w:rPr>
        <w:t>7.4 Gut Microbiome Modality Features (49 Model Tensor Inputs / 50 Quantities)</w:t>
      </w:r>
    </w:p>
    <w:p>
      <w:pPr>
        <w:spacing w:before="0" w:after="100" w:line="276" w:lineRule="auto"/>
      </w:pPr>
      <w:r>
        <w:rPr>
          <w:rFonts w:ascii="Calibri" w:hAnsi="Calibri"/>
          <w:color w:val="1A202C"/>
          <w:sz w:val="21"/>
        </w:rPr>
        <w:t>The Gut Microbiome Expert processes 40 bacterial taxa, 1 residual compositional component (Other_Taxa), and 9 derived ecological and functional indices. The model tensor input contains 49 features.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DATA SCHEMA CONSISTENCY NOTE</w:t>
              <w:br/>
            </w:r>
            <w:r>
              <w:rPr>
                <w:rFonts w:ascii="Calibri" w:hAnsi="Calibri"/>
                <w:i/>
                <w:color w:val="1A202C"/>
                <w:sz w:val="19"/>
              </w:rPr>
              <w:t>SCHEMA VERIFICATION NOTE: The biological dataset defines 40 named taxa, 1 Other_Taxa component, and 9 derived indices (totaling 50 biological quantities). In the ML tensor representation, the 49 model input features comprise the 40 taxa, Other_Taxa, and 8 primary ecological indices (with 1 collinear index reserved for downstream verification). All measurements represent relative abundances (summing to 100%) or normalized index metrics.</w:t>
            </w:r>
          </w:p>
        </w:tc>
      </w:tr>
    </w:tbl>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3168"/>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2016"/>
            <w:shd w:fill="1B365D"/>
            <w:tcMar>
              <w:top w:w="100" w:type="dxa"/>
              <w:bottom w:w="100" w:type="dxa"/>
              <w:left w:w="120" w:type="dxa"/>
              <w:right w:w="120" w:type="dxa"/>
            </w:tcMar>
          </w:tcPr>
          <w:p>
            <w:pPr>
              <w:jc w:val="left"/>
            </w:pPr>
            <w:r>
              <w:rPr>
                <w:rFonts w:ascii="Calibri" w:hAnsi="Calibri"/>
                <w:b/>
                <w:color w:val="FFFFFF"/>
                <w:sz w:val="19"/>
              </w:rPr>
              <w:t>Type / Category</w:t>
            </w:r>
          </w:p>
        </w:tc>
        <w:tc>
          <w:tcPr>
            <w:tcW w:type="dxa" w:w="3888"/>
            <w:shd w:fill="1B365D"/>
            <w:tcMar>
              <w:top w:w="100" w:type="dxa"/>
              <w:bottom w:w="100" w:type="dxa"/>
              <w:left w:w="120" w:type="dxa"/>
              <w:right w:w="120" w:type="dxa"/>
            </w:tcMar>
          </w:tcPr>
          <w:p>
            <w:pPr>
              <w:jc w:val="left"/>
            </w:pPr>
            <w:r>
              <w:rPr>
                <w:rFonts w:ascii="Calibri" w:hAnsi="Calibri"/>
                <w:b/>
                <w:color w:val="FFFFFF"/>
                <w:sz w:val="19"/>
              </w:rPr>
              <w:t>Biological &amp; Functional Description</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3168"/>
            <w:shd w:fill="FFFFFF"/>
            <w:tcMar>
              <w:top w:w="80" w:type="dxa"/>
              <w:bottom w:w="80" w:type="dxa"/>
              <w:left w:w="120" w:type="dxa"/>
              <w:right w:w="120" w:type="dxa"/>
            </w:tcMar>
          </w:tcPr>
          <w:p>
            <w:r>
              <w:rPr>
                <w:rFonts w:ascii="Calibri" w:hAnsi="Calibri"/>
                <w:color w:val="1A202C"/>
                <w:sz w:val="18"/>
              </w:rPr>
              <w:t>Akkermansia_muciniphila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Mucin-degrading bacterium associated with gut barrier integrity &amp; insulin sensitivity.</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3168"/>
            <w:shd w:fill="F7FAFC"/>
            <w:tcMar>
              <w:top w:w="80" w:type="dxa"/>
              <w:bottom w:w="80" w:type="dxa"/>
              <w:left w:w="120" w:type="dxa"/>
              <w:right w:w="120" w:type="dxa"/>
            </w:tcMar>
          </w:tcPr>
          <w:p>
            <w:r>
              <w:rPr>
                <w:rFonts w:ascii="Calibri" w:hAnsi="Calibri"/>
                <w:color w:val="1A202C"/>
                <w:sz w:val="18"/>
              </w:rPr>
              <w:t>Faecalibacterium_prausnitzii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Major butyrate producer with potent anti-inflammatory properties.</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3168"/>
            <w:shd w:fill="FFFFFF"/>
            <w:tcMar>
              <w:top w:w="80" w:type="dxa"/>
              <w:bottom w:w="80" w:type="dxa"/>
              <w:left w:w="120" w:type="dxa"/>
              <w:right w:w="120" w:type="dxa"/>
            </w:tcMar>
          </w:tcPr>
          <w:p>
            <w:r>
              <w:rPr>
                <w:rFonts w:ascii="Calibri" w:hAnsi="Calibri"/>
                <w:color w:val="1A202C"/>
                <w:sz w:val="18"/>
              </w:rPr>
              <w:t>Roseburia_intestinalis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Short-chain fatty acid (SCFA) producer involved in metabolic regulation.</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3168"/>
            <w:shd w:fill="F7FAFC"/>
            <w:tcMar>
              <w:top w:w="80" w:type="dxa"/>
              <w:bottom w:w="80" w:type="dxa"/>
              <w:left w:w="120" w:type="dxa"/>
              <w:right w:w="120" w:type="dxa"/>
            </w:tcMar>
          </w:tcPr>
          <w:p>
            <w:r>
              <w:rPr>
                <w:rFonts w:ascii="Calibri" w:hAnsi="Calibri"/>
                <w:color w:val="1A202C"/>
                <w:sz w:val="18"/>
              </w:rPr>
              <w:t>Bifidobacterium_longum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Beneficial probiotic taxon supporting immune homeostasis.</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3168"/>
            <w:shd w:fill="FFFFFF"/>
            <w:tcMar>
              <w:top w:w="80" w:type="dxa"/>
              <w:bottom w:w="80" w:type="dxa"/>
              <w:left w:w="120" w:type="dxa"/>
              <w:right w:w="120" w:type="dxa"/>
            </w:tcMar>
          </w:tcPr>
          <w:p>
            <w:r>
              <w:rPr>
                <w:rFonts w:ascii="Calibri" w:hAnsi="Calibri"/>
                <w:color w:val="1A202C"/>
                <w:sz w:val="18"/>
              </w:rPr>
              <w:t>Bifidobacterium_adolescentis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carbohydrate fermentation and acetate production.</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3168"/>
            <w:shd w:fill="F7FAFC"/>
            <w:tcMar>
              <w:top w:w="80" w:type="dxa"/>
              <w:bottom w:w="80" w:type="dxa"/>
              <w:left w:w="120" w:type="dxa"/>
              <w:right w:w="120" w:type="dxa"/>
            </w:tcMar>
          </w:tcPr>
          <w:p>
            <w:r>
              <w:rPr>
                <w:rFonts w:ascii="Calibri" w:hAnsi="Calibri"/>
                <w:color w:val="1A202C"/>
                <w:sz w:val="18"/>
              </w:rPr>
              <w:t>Bacteroides_thetaiotaomicron</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Complex polysaccharide degrader and mucosal symbiont.</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3168"/>
            <w:shd w:fill="FFFFFF"/>
            <w:tcMar>
              <w:top w:w="80" w:type="dxa"/>
              <w:bottom w:w="80" w:type="dxa"/>
              <w:left w:w="120" w:type="dxa"/>
              <w:right w:w="120" w:type="dxa"/>
            </w:tcMar>
          </w:tcPr>
          <w:p>
            <w:r>
              <w:rPr>
                <w:rFonts w:ascii="Calibri" w:hAnsi="Calibri"/>
                <w:color w:val="1A202C"/>
                <w:sz w:val="18"/>
              </w:rPr>
              <w:t>Bacteroides_vulgatus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Prevalent gut commensal linked to lipid metabolism modulation.</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3168"/>
            <w:shd w:fill="F7FAFC"/>
            <w:tcMar>
              <w:top w:w="80" w:type="dxa"/>
              <w:bottom w:w="80" w:type="dxa"/>
              <w:left w:w="120" w:type="dxa"/>
              <w:right w:w="120" w:type="dxa"/>
            </w:tcMar>
          </w:tcPr>
          <w:p>
            <w:r>
              <w:rPr>
                <w:rFonts w:ascii="Calibri" w:hAnsi="Calibri"/>
                <w:color w:val="1A202C"/>
                <w:sz w:val="18"/>
              </w:rPr>
              <w:t>Bacteroides_fragilis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Immunomodulatory commensal involved in T-cell maturation.</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3168"/>
            <w:shd w:fill="FFFFFF"/>
            <w:tcMar>
              <w:top w:w="80" w:type="dxa"/>
              <w:bottom w:w="80" w:type="dxa"/>
              <w:left w:w="120" w:type="dxa"/>
              <w:right w:w="120" w:type="dxa"/>
            </w:tcMar>
          </w:tcPr>
          <w:p>
            <w:r>
              <w:rPr>
                <w:rFonts w:ascii="Calibri" w:hAnsi="Calibri"/>
                <w:color w:val="1A202C"/>
                <w:sz w:val="18"/>
              </w:rPr>
              <w:t>Bacteroides_uniformis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fiber digestion and reduced metabolic inflammation.</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3168"/>
            <w:shd w:fill="F7FAFC"/>
            <w:tcMar>
              <w:top w:w="80" w:type="dxa"/>
              <w:bottom w:w="80" w:type="dxa"/>
              <w:left w:w="120" w:type="dxa"/>
              <w:right w:w="120" w:type="dxa"/>
            </w:tcMar>
          </w:tcPr>
          <w:p>
            <w:r>
              <w:rPr>
                <w:rFonts w:ascii="Calibri" w:hAnsi="Calibri"/>
                <w:color w:val="1A202C"/>
                <w:sz w:val="18"/>
              </w:rPr>
              <w:t>Prevotella_copri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Fiber-fermenting taxon associated with dietary carbohydrate responsiveness.</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3168"/>
            <w:shd w:fill="FFFFFF"/>
            <w:tcMar>
              <w:top w:w="80" w:type="dxa"/>
              <w:bottom w:w="80" w:type="dxa"/>
              <w:left w:w="120" w:type="dxa"/>
              <w:right w:w="120" w:type="dxa"/>
            </w:tcMar>
          </w:tcPr>
          <w:p>
            <w:r>
              <w:rPr>
                <w:rFonts w:ascii="Calibri" w:hAnsi="Calibri"/>
                <w:color w:val="1A202C"/>
                <w:sz w:val="18"/>
              </w:rPr>
              <w:t>Ruminococcus_bromii</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Primary resistant-starch degrader producing fermentable substrates.</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3168"/>
            <w:shd w:fill="F7FAFC"/>
            <w:tcMar>
              <w:top w:w="80" w:type="dxa"/>
              <w:bottom w:w="80" w:type="dxa"/>
              <w:left w:w="120" w:type="dxa"/>
              <w:right w:w="120" w:type="dxa"/>
            </w:tcMar>
          </w:tcPr>
          <w:p>
            <w:r>
              <w:rPr>
                <w:rFonts w:ascii="Calibri" w:hAnsi="Calibri"/>
                <w:color w:val="1A202C"/>
                <w:sz w:val="18"/>
              </w:rPr>
              <w:t>Ruminococcus_gnavus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Inflammatory-associated taxon reported in metabolic dysbiosis.</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3168"/>
            <w:shd w:fill="FFFFFF"/>
            <w:tcMar>
              <w:top w:w="80" w:type="dxa"/>
              <w:bottom w:w="80" w:type="dxa"/>
              <w:left w:w="120" w:type="dxa"/>
              <w:right w:w="120" w:type="dxa"/>
            </w:tcMar>
          </w:tcPr>
          <w:p>
            <w:r>
              <w:rPr>
                <w:rFonts w:ascii="Calibri" w:hAnsi="Calibri"/>
                <w:color w:val="1A202C"/>
                <w:sz w:val="18"/>
              </w:rPr>
              <w:t>Blautia_wexlerae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Commensal associated with metabolic health and visceral fat regulation.</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3168"/>
            <w:shd w:fill="F7FAFC"/>
            <w:tcMar>
              <w:top w:w="80" w:type="dxa"/>
              <w:bottom w:w="80" w:type="dxa"/>
              <w:left w:w="120" w:type="dxa"/>
              <w:right w:w="120" w:type="dxa"/>
            </w:tcMar>
          </w:tcPr>
          <w:p>
            <w:r>
              <w:rPr>
                <w:rFonts w:ascii="Calibri" w:hAnsi="Calibri"/>
                <w:color w:val="1A202C"/>
                <w:sz w:val="18"/>
              </w:rPr>
              <w:t>Blautia_hansenii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Acetogenic taxon participating in SCFA cross-feeding networks.</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3168"/>
            <w:shd w:fill="FFFFFF"/>
            <w:tcMar>
              <w:top w:w="80" w:type="dxa"/>
              <w:bottom w:w="80" w:type="dxa"/>
              <w:left w:w="120" w:type="dxa"/>
              <w:right w:w="120" w:type="dxa"/>
            </w:tcMar>
          </w:tcPr>
          <w:p>
            <w:r>
              <w:rPr>
                <w:rFonts w:ascii="Calibri" w:hAnsi="Calibri"/>
                <w:color w:val="1A202C"/>
                <w:sz w:val="18"/>
              </w:rPr>
              <w:t>Collinsella_aerofaciens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Correlated with serum cholesterol metabolism and bile acid modification.</w:t>
            </w:r>
          </w:p>
        </w:tc>
      </w:tr>
      <w:tr>
        <w:tc>
          <w:tcPr>
            <w:tcW w:type="dxa" w:w="576"/>
            <w:shd w:fill="F7FAFC"/>
            <w:tcMar>
              <w:top w:w="80" w:type="dxa"/>
              <w:bottom w:w="80" w:type="dxa"/>
              <w:left w:w="120" w:type="dxa"/>
              <w:right w:w="120" w:type="dxa"/>
            </w:tcMar>
          </w:tcPr>
          <w:p>
            <w:r>
              <w:rPr>
                <w:rFonts w:ascii="Calibri" w:hAnsi="Calibri"/>
                <w:color w:val="1A202C"/>
                <w:sz w:val="18"/>
              </w:rPr>
              <w:t>16</w:t>
            </w:r>
          </w:p>
        </w:tc>
        <w:tc>
          <w:tcPr>
            <w:tcW w:type="dxa" w:w="3168"/>
            <w:shd w:fill="F7FAFC"/>
            <w:tcMar>
              <w:top w:w="80" w:type="dxa"/>
              <w:bottom w:w="80" w:type="dxa"/>
              <w:left w:w="120" w:type="dxa"/>
              <w:right w:w="120" w:type="dxa"/>
            </w:tcMar>
          </w:tcPr>
          <w:p>
            <w:r>
              <w:rPr>
                <w:rFonts w:ascii="Calibri" w:hAnsi="Calibri"/>
                <w:color w:val="1A202C"/>
                <w:sz w:val="18"/>
              </w:rPr>
              <w:t>Escherichia_coli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Proteobacterial marker whose expansion indicates gut dysbiosis.</w:t>
            </w:r>
          </w:p>
        </w:tc>
      </w:tr>
      <w:tr>
        <w:tc>
          <w:tcPr>
            <w:tcW w:type="dxa" w:w="576"/>
            <w:shd w:fill="FFFFFF"/>
            <w:tcMar>
              <w:top w:w="80" w:type="dxa"/>
              <w:bottom w:w="80" w:type="dxa"/>
              <w:left w:w="120" w:type="dxa"/>
              <w:right w:w="120" w:type="dxa"/>
            </w:tcMar>
          </w:tcPr>
          <w:p>
            <w:r>
              <w:rPr>
                <w:rFonts w:ascii="Calibri" w:hAnsi="Calibri"/>
                <w:color w:val="1A202C"/>
                <w:sz w:val="18"/>
              </w:rPr>
              <w:t>17</w:t>
            </w:r>
          </w:p>
        </w:tc>
        <w:tc>
          <w:tcPr>
            <w:tcW w:type="dxa" w:w="3168"/>
            <w:shd w:fill="FFFFFF"/>
            <w:tcMar>
              <w:top w:w="80" w:type="dxa"/>
              <w:bottom w:w="80" w:type="dxa"/>
              <w:left w:w="120" w:type="dxa"/>
              <w:right w:w="120" w:type="dxa"/>
            </w:tcMar>
          </w:tcPr>
          <w:p>
            <w:r>
              <w:rPr>
                <w:rFonts w:ascii="Calibri" w:hAnsi="Calibri"/>
                <w:color w:val="1A202C"/>
                <w:sz w:val="18"/>
              </w:rPr>
              <w:t>Klebsiella_pneumoniae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Potential pathobiont associated with endotoxemia and systemic inflammation.</w:t>
            </w:r>
          </w:p>
        </w:tc>
      </w:tr>
      <w:tr>
        <w:tc>
          <w:tcPr>
            <w:tcW w:type="dxa" w:w="576"/>
            <w:shd w:fill="F7FAFC"/>
            <w:tcMar>
              <w:top w:w="80" w:type="dxa"/>
              <w:bottom w:w="80" w:type="dxa"/>
              <w:left w:w="120" w:type="dxa"/>
              <w:right w:w="120" w:type="dxa"/>
            </w:tcMar>
          </w:tcPr>
          <w:p>
            <w:r>
              <w:rPr>
                <w:rFonts w:ascii="Calibri" w:hAnsi="Calibri"/>
                <w:color w:val="1A202C"/>
                <w:sz w:val="18"/>
              </w:rPr>
              <w:t>18</w:t>
            </w:r>
          </w:p>
        </w:tc>
        <w:tc>
          <w:tcPr>
            <w:tcW w:type="dxa" w:w="3168"/>
            <w:shd w:fill="F7FAFC"/>
            <w:tcMar>
              <w:top w:w="80" w:type="dxa"/>
              <w:bottom w:w="80" w:type="dxa"/>
              <w:left w:w="120" w:type="dxa"/>
              <w:right w:w="120" w:type="dxa"/>
            </w:tcMar>
          </w:tcPr>
          <w:p>
            <w:r>
              <w:rPr>
                <w:rFonts w:ascii="Calibri" w:hAnsi="Calibri"/>
                <w:color w:val="1A202C"/>
                <w:sz w:val="18"/>
              </w:rPr>
              <w:t>Coprococcus_eutactus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Butyrate producer associated with positive metabolic outcomes.</w:t>
            </w:r>
          </w:p>
        </w:tc>
      </w:tr>
      <w:tr>
        <w:tc>
          <w:tcPr>
            <w:tcW w:type="dxa" w:w="576"/>
            <w:shd w:fill="FFFFFF"/>
            <w:tcMar>
              <w:top w:w="80" w:type="dxa"/>
              <w:bottom w:w="80" w:type="dxa"/>
              <w:left w:w="120" w:type="dxa"/>
              <w:right w:w="120" w:type="dxa"/>
            </w:tcMar>
          </w:tcPr>
          <w:p>
            <w:r>
              <w:rPr>
                <w:rFonts w:ascii="Calibri" w:hAnsi="Calibri"/>
                <w:color w:val="1A202C"/>
                <w:sz w:val="18"/>
              </w:rPr>
              <w:t>19</w:t>
            </w:r>
          </w:p>
        </w:tc>
        <w:tc>
          <w:tcPr>
            <w:tcW w:type="dxa" w:w="3168"/>
            <w:shd w:fill="FFFFFF"/>
            <w:tcMar>
              <w:top w:w="80" w:type="dxa"/>
              <w:bottom w:w="80" w:type="dxa"/>
              <w:left w:w="120" w:type="dxa"/>
              <w:right w:w="120" w:type="dxa"/>
            </w:tcMar>
          </w:tcPr>
          <w:p>
            <w:r>
              <w:rPr>
                <w:rFonts w:ascii="Calibri" w:hAnsi="Calibri"/>
                <w:color w:val="1A202C"/>
                <w:sz w:val="18"/>
              </w:rPr>
              <w:t>Alistipes_putredinis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Bacteroidetes member involved in protein and bile acid metabolism.</w:t>
            </w:r>
          </w:p>
        </w:tc>
      </w:tr>
      <w:tr>
        <w:tc>
          <w:tcPr>
            <w:tcW w:type="dxa" w:w="576"/>
            <w:shd w:fill="F7FAFC"/>
            <w:tcMar>
              <w:top w:w="80" w:type="dxa"/>
              <w:bottom w:w="80" w:type="dxa"/>
              <w:left w:w="120" w:type="dxa"/>
              <w:right w:w="120" w:type="dxa"/>
            </w:tcMar>
          </w:tcPr>
          <w:p>
            <w:r>
              <w:rPr>
                <w:rFonts w:ascii="Calibri" w:hAnsi="Calibri"/>
                <w:color w:val="1A202C"/>
                <w:sz w:val="18"/>
              </w:rPr>
              <w:t>20</w:t>
            </w:r>
          </w:p>
        </w:tc>
        <w:tc>
          <w:tcPr>
            <w:tcW w:type="dxa" w:w="3168"/>
            <w:shd w:fill="F7FAFC"/>
            <w:tcMar>
              <w:top w:w="80" w:type="dxa"/>
              <w:bottom w:w="80" w:type="dxa"/>
              <w:left w:w="120" w:type="dxa"/>
              <w:right w:w="120" w:type="dxa"/>
            </w:tcMar>
          </w:tcPr>
          <w:p>
            <w:r>
              <w:rPr>
                <w:rFonts w:ascii="Calibri" w:hAnsi="Calibri"/>
                <w:color w:val="1A202C"/>
                <w:sz w:val="18"/>
              </w:rPr>
              <w:t>Alistipes_finegoldii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Associated with gut gut environment stability and lipid processing.</w:t>
            </w:r>
          </w:p>
        </w:tc>
      </w:tr>
      <w:tr>
        <w:tc>
          <w:tcPr>
            <w:tcW w:type="dxa" w:w="576"/>
            <w:shd w:fill="FFFFFF"/>
            <w:tcMar>
              <w:top w:w="80" w:type="dxa"/>
              <w:bottom w:w="80" w:type="dxa"/>
              <w:left w:w="120" w:type="dxa"/>
              <w:right w:w="120" w:type="dxa"/>
            </w:tcMar>
          </w:tcPr>
          <w:p>
            <w:r>
              <w:rPr>
                <w:rFonts w:ascii="Calibri" w:hAnsi="Calibri"/>
                <w:color w:val="1A202C"/>
                <w:sz w:val="18"/>
              </w:rPr>
              <w:t>21</w:t>
            </w:r>
          </w:p>
        </w:tc>
        <w:tc>
          <w:tcPr>
            <w:tcW w:type="dxa" w:w="3168"/>
            <w:shd w:fill="FFFFFF"/>
            <w:tcMar>
              <w:top w:w="80" w:type="dxa"/>
              <w:bottom w:w="80" w:type="dxa"/>
              <w:left w:w="120" w:type="dxa"/>
              <w:right w:w="120" w:type="dxa"/>
            </w:tcMar>
          </w:tcPr>
          <w:p>
            <w:r>
              <w:rPr>
                <w:rFonts w:ascii="Calibri" w:hAnsi="Calibri"/>
                <w:color w:val="1A202C"/>
                <w:sz w:val="18"/>
              </w:rPr>
              <w:t>Subdoligranulum_variable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Butyrate-producing firmicute correlated with insulin sensitivity.</w:t>
            </w:r>
          </w:p>
        </w:tc>
      </w:tr>
      <w:tr>
        <w:tc>
          <w:tcPr>
            <w:tcW w:type="dxa" w:w="576"/>
            <w:shd w:fill="F7FAFC"/>
            <w:tcMar>
              <w:top w:w="80" w:type="dxa"/>
              <w:bottom w:w="80" w:type="dxa"/>
              <w:left w:w="120" w:type="dxa"/>
              <w:right w:w="120" w:type="dxa"/>
            </w:tcMar>
          </w:tcPr>
          <w:p>
            <w:r>
              <w:rPr>
                <w:rFonts w:ascii="Calibri" w:hAnsi="Calibri"/>
                <w:color w:val="1A202C"/>
                <w:sz w:val="18"/>
              </w:rPr>
              <w:t>22</w:t>
            </w:r>
          </w:p>
        </w:tc>
        <w:tc>
          <w:tcPr>
            <w:tcW w:type="dxa" w:w="3168"/>
            <w:shd w:fill="F7FAFC"/>
            <w:tcMar>
              <w:top w:w="80" w:type="dxa"/>
              <w:bottom w:w="80" w:type="dxa"/>
              <w:left w:w="120" w:type="dxa"/>
              <w:right w:w="120" w:type="dxa"/>
            </w:tcMar>
          </w:tcPr>
          <w:p>
            <w:r>
              <w:rPr>
                <w:rFonts w:ascii="Calibri" w:hAnsi="Calibri"/>
                <w:color w:val="1A202C"/>
                <w:sz w:val="18"/>
              </w:rPr>
              <w:t>Enterococcus_faecalis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Opportunistic commensal monitored as a microbial balance indicator.</w:t>
            </w:r>
          </w:p>
        </w:tc>
      </w:tr>
      <w:tr>
        <w:tc>
          <w:tcPr>
            <w:tcW w:type="dxa" w:w="576"/>
            <w:shd w:fill="FFFFFF"/>
            <w:tcMar>
              <w:top w:w="80" w:type="dxa"/>
              <w:bottom w:w="80" w:type="dxa"/>
              <w:left w:w="120" w:type="dxa"/>
              <w:right w:w="120" w:type="dxa"/>
            </w:tcMar>
          </w:tcPr>
          <w:p>
            <w:r>
              <w:rPr>
                <w:rFonts w:ascii="Calibri" w:hAnsi="Calibri"/>
                <w:color w:val="1A202C"/>
                <w:sz w:val="18"/>
              </w:rPr>
              <w:t>23</w:t>
            </w:r>
          </w:p>
        </w:tc>
        <w:tc>
          <w:tcPr>
            <w:tcW w:type="dxa" w:w="3168"/>
            <w:shd w:fill="FFFFFF"/>
            <w:tcMar>
              <w:top w:w="80" w:type="dxa"/>
              <w:bottom w:w="80" w:type="dxa"/>
              <w:left w:w="120" w:type="dxa"/>
              <w:right w:w="120" w:type="dxa"/>
            </w:tcMar>
          </w:tcPr>
          <w:p>
            <w:r>
              <w:rPr>
                <w:rFonts w:ascii="Calibri" w:hAnsi="Calibri"/>
                <w:color w:val="1A202C"/>
                <w:sz w:val="18"/>
              </w:rPr>
              <w:t>Eubacterium_rectale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Major SCFA producer playing a central role in colonic health.</w:t>
            </w:r>
          </w:p>
        </w:tc>
      </w:tr>
      <w:tr>
        <w:tc>
          <w:tcPr>
            <w:tcW w:type="dxa" w:w="576"/>
            <w:shd w:fill="F7FAFC"/>
            <w:tcMar>
              <w:top w:w="80" w:type="dxa"/>
              <w:bottom w:w="80" w:type="dxa"/>
              <w:left w:w="120" w:type="dxa"/>
              <w:right w:w="120" w:type="dxa"/>
            </w:tcMar>
          </w:tcPr>
          <w:p>
            <w:r>
              <w:rPr>
                <w:rFonts w:ascii="Calibri" w:hAnsi="Calibri"/>
                <w:color w:val="1A202C"/>
                <w:sz w:val="18"/>
              </w:rPr>
              <w:t>24</w:t>
            </w:r>
          </w:p>
        </w:tc>
        <w:tc>
          <w:tcPr>
            <w:tcW w:type="dxa" w:w="3168"/>
            <w:shd w:fill="F7FAFC"/>
            <w:tcMar>
              <w:top w:w="80" w:type="dxa"/>
              <w:bottom w:w="80" w:type="dxa"/>
              <w:left w:w="120" w:type="dxa"/>
              <w:right w:w="120" w:type="dxa"/>
            </w:tcMar>
          </w:tcPr>
          <w:p>
            <w:r>
              <w:rPr>
                <w:rFonts w:ascii="Calibri" w:hAnsi="Calibri"/>
                <w:color w:val="1A202C"/>
                <w:sz w:val="18"/>
              </w:rPr>
              <w:t>Eubacterium_hallii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Metabolizes lactate and acetate into butyrate.</w:t>
            </w:r>
          </w:p>
        </w:tc>
      </w:tr>
      <w:tr>
        <w:tc>
          <w:tcPr>
            <w:tcW w:type="dxa" w:w="576"/>
            <w:shd w:fill="FFFFFF"/>
            <w:tcMar>
              <w:top w:w="80" w:type="dxa"/>
              <w:bottom w:w="80" w:type="dxa"/>
              <w:left w:w="120" w:type="dxa"/>
              <w:right w:w="120" w:type="dxa"/>
            </w:tcMar>
          </w:tcPr>
          <w:p>
            <w:r>
              <w:rPr>
                <w:rFonts w:ascii="Calibri" w:hAnsi="Calibri"/>
                <w:color w:val="1A202C"/>
                <w:sz w:val="18"/>
              </w:rPr>
              <w:t>25</w:t>
            </w:r>
          </w:p>
        </w:tc>
        <w:tc>
          <w:tcPr>
            <w:tcW w:type="dxa" w:w="3168"/>
            <w:shd w:fill="FFFFFF"/>
            <w:tcMar>
              <w:top w:w="80" w:type="dxa"/>
              <w:bottom w:w="80" w:type="dxa"/>
              <w:left w:w="120" w:type="dxa"/>
              <w:right w:w="120" w:type="dxa"/>
            </w:tcMar>
          </w:tcPr>
          <w:p>
            <w:r>
              <w:rPr>
                <w:rFonts w:ascii="Calibri" w:hAnsi="Calibri"/>
                <w:color w:val="1A202C"/>
                <w:sz w:val="18"/>
              </w:rPr>
              <w:t>Parabacteroides_distasonis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succinate production and metabolic regulation.</w:t>
            </w:r>
          </w:p>
        </w:tc>
      </w:tr>
      <w:tr>
        <w:tc>
          <w:tcPr>
            <w:tcW w:type="dxa" w:w="576"/>
            <w:shd w:fill="F7FAFC"/>
            <w:tcMar>
              <w:top w:w="80" w:type="dxa"/>
              <w:bottom w:w="80" w:type="dxa"/>
              <w:left w:w="120" w:type="dxa"/>
              <w:right w:w="120" w:type="dxa"/>
            </w:tcMar>
          </w:tcPr>
          <w:p>
            <w:r>
              <w:rPr>
                <w:rFonts w:ascii="Calibri" w:hAnsi="Calibri"/>
                <w:color w:val="1A202C"/>
                <w:sz w:val="18"/>
              </w:rPr>
              <w:t>26</w:t>
            </w:r>
          </w:p>
        </w:tc>
        <w:tc>
          <w:tcPr>
            <w:tcW w:type="dxa" w:w="3168"/>
            <w:shd w:fill="F7FAFC"/>
            <w:tcMar>
              <w:top w:w="80" w:type="dxa"/>
              <w:bottom w:w="80" w:type="dxa"/>
              <w:left w:w="120" w:type="dxa"/>
              <w:right w:w="120" w:type="dxa"/>
            </w:tcMar>
          </w:tcPr>
          <w:p>
            <w:r>
              <w:rPr>
                <w:rFonts w:ascii="Calibri" w:hAnsi="Calibri"/>
                <w:color w:val="1A202C"/>
                <w:sz w:val="18"/>
              </w:rPr>
              <w:t>Lactobacillus_acidophilus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Lactic acid producer supporting intestinal barrier functionality.</w:t>
            </w:r>
          </w:p>
        </w:tc>
      </w:tr>
      <w:tr>
        <w:tc>
          <w:tcPr>
            <w:tcW w:type="dxa" w:w="576"/>
            <w:shd w:fill="FFFFFF"/>
            <w:tcMar>
              <w:top w:w="80" w:type="dxa"/>
              <w:bottom w:w="80" w:type="dxa"/>
              <w:left w:w="120" w:type="dxa"/>
              <w:right w:w="120" w:type="dxa"/>
            </w:tcMar>
          </w:tcPr>
          <w:p>
            <w:r>
              <w:rPr>
                <w:rFonts w:ascii="Calibri" w:hAnsi="Calibri"/>
                <w:color w:val="1A202C"/>
                <w:sz w:val="18"/>
              </w:rPr>
              <w:t>27</w:t>
            </w:r>
          </w:p>
        </w:tc>
        <w:tc>
          <w:tcPr>
            <w:tcW w:type="dxa" w:w="3168"/>
            <w:shd w:fill="FFFFFF"/>
            <w:tcMar>
              <w:top w:w="80" w:type="dxa"/>
              <w:bottom w:w="80" w:type="dxa"/>
              <w:left w:w="120" w:type="dxa"/>
              <w:right w:w="120" w:type="dxa"/>
            </w:tcMar>
          </w:tcPr>
          <w:p>
            <w:r>
              <w:rPr>
                <w:rFonts w:ascii="Calibri" w:hAnsi="Calibri"/>
                <w:color w:val="1A202C"/>
                <w:sz w:val="18"/>
              </w:rPr>
              <w:t>Lactobacillus_rhamnosus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Probiotic strain associated with reduced intestinal permeability.</w:t>
            </w:r>
          </w:p>
        </w:tc>
      </w:tr>
      <w:tr>
        <w:tc>
          <w:tcPr>
            <w:tcW w:type="dxa" w:w="576"/>
            <w:shd w:fill="F7FAFC"/>
            <w:tcMar>
              <w:top w:w="80" w:type="dxa"/>
              <w:bottom w:w="80" w:type="dxa"/>
              <w:left w:w="120" w:type="dxa"/>
              <w:right w:w="120" w:type="dxa"/>
            </w:tcMar>
          </w:tcPr>
          <w:p>
            <w:r>
              <w:rPr>
                <w:rFonts w:ascii="Calibri" w:hAnsi="Calibri"/>
                <w:color w:val="1A202C"/>
                <w:sz w:val="18"/>
              </w:rPr>
              <w:t>28</w:t>
            </w:r>
          </w:p>
        </w:tc>
        <w:tc>
          <w:tcPr>
            <w:tcW w:type="dxa" w:w="3168"/>
            <w:shd w:fill="F7FAFC"/>
            <w:tcMar>
              <w:top w:w="80" w:type="dxa"/>
              <w:bottom w:w="80" w:type="dxa"/>
              <w:left w:w="120" w:type="dxa"/>
              <w:right w:w="120" w:type="dxa"/>
            </w:tcMar>
          </w:tcPr>
          <w:p>
            <w:r>
              <w:rPr>
                <w:rFonts w:ascii="Calibri" w:hAnsi="Calibri"/>
                <w:color w:val="1A202C"/>
                <w:sz w:val="18"/>
              </w:rPr>
              <w:t>Streptococcus_thermophilus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Dietary/fermentative microbe contributing to lactic acid production.</w:t>
            </w:r>
          </w:p>
        </w:tc>
      </w:tr>
      <w:tr>
        <w:tc>
          <w:tcPr>
            <w:tcW w:type="dxa" w:w="576"/>
            <w:shd w:fill="FFFFFF"/>
            <w:tcMar>
              <w:top w:w="80" w:type="dxa"/>
              <w:bottom w:w="80" w:type="dxa"/>
              <w:left w:w="120" w:type="dxa"/>
              <w:right w:w="120" w:type="dxa"/>
            </w:tcMar>
          </w:tcPr>
          <w:p>
            <w:r>
              <w:rPr>
                <w:rFonts w:ascii="Calibri" w:hAnsi="Calibri"/>
                <w:color w:val="1A202C"/>
                <w:sz w:val="18"/>
              </w:rPr>
              <w:t>29</w:t>
            </w:r>
          </w:p>
        </w:tc>
        <w:tc>
          <w:tcPr>
            <w:tcW w:type="dxa" w:w="3168"/>
            <w:shd w:fill="FFFFFF"/>
            <w:tcMar>
              <w:top w:w="80" w:type="dxa"/>
              <w:bottom w:w="80" w:type="dxa"/>
              <w:left w:w="120" w:type="dxa"/>
              <w:right w:w="120" w:type="dxa"/>
            </w:tcMar>
          </w:tcPr>
          <w:p>
            <w:r>
              <w:rPr>
                <w:rFonts w:ascii="Calibri" w:hAnsi="Calibri"/>
                <w:color w:val="1A202C"/>
                <w:sz w:val="18"/>
              </w:rPr>
              <w:t>Eggerthella_lenta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Actinobacterial strain involved in xenobiotic and cardenolide metabolism.</w:t>
            </w:r>
          </w:p>
        </w:tc>
      </w:tr>
      <w:tr>
        <w:tc>
          <w:tcPr>
            <w:tcW w:type="dxa" w:w="576"/>
            <w:shd w:fill="F7FAFC"/>
            <w:tcMar>
              <w:top w:w="80" w:type="dxa"/>
              <w:bottom w:w="80" w:type="dxa"/>
              <w:left w:w="120" w:type="dxa"/>
              <w:right w:w="120" w:type="dxa"/>
            </w:tcMar>
          </w:tcPr>
          <w:p>
            <w:r>
              <w:rPr>
                <w:rFonts w:ascii="Calibri" w:hAnsi="Calibri"/>
                <w:color w:val="1A202C"/>
                <w:sz w:val="18"/>
              </w:rPr>
              <w:t>30</w:t>
            </w:r>
          </w:p>
        </w:tc>
        <w:tc>
          <w:tcPr>
            <w:tcW w:type="dxa" w:w="3168"/>
            <w:shd w:fill="F7FAFC"/>
            <w:tcMar>
              <w:top w:w="80" w:type="dxa"/>
              <w:bottom w:w="80" w:type="dxa"/>
              <w:left w:w="120" w:type="dxa"/>
              <w:right w:w="120" w:type="dxa"/>
            </w:tcMar>
          </w:tcPr>
          <w:p>
            <w:r>
              <w:rPr>
                <w:rFonts w:ascii="Calibri" w:hAnsi="Calibri"/>
                <w:color w:val="1A202C"/>
                <w:sz w:val="18"/>
              </w:rPr>
              <w:t>Christensenella_minuta</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Heritable microbe strongly associated with low BMI and metabolic health.</w:t>
            </w:r>
          </w:p>
        </w:tc>
      </w:tr>
      <w:tr>
        <w:tc>
          <w:tcPr>
            <w:tcW w:type="dxa" w:w="576"/>
            <w:shd w:fill="FFFFFF"/>
            <w:tcMar>
              <w:top w:w="80" w:type="dxa"/>
              <w:bottom w:w="80" w:type="dxa"/>
              <w:left w:w="120" w:type="dxa"/>
              <w:right w:w="120" w:type="dxa"/>
            </w:tcMar>
          </w:tcPr>
          <w:p>
            <w:r>
              <w:rPr>
                <w:rFonts w:ascii="Calibri" w:hAnsi="Calibri"/>
                <w:color w:val="1A202C"/>
                <w:sz w:val="18"/>
              </w:rPr>
              <w:t>31</w:t>
            </w:r>
          </w:p>
        </w:tc>
        <w:tc>
          <w:tcPr>
            <w:tcW w:type="dxa" w:w="3168"/>
            <w:shd w:fill="FFFFFF"/>
            <w:tcMar>
              <w:top w:w="80" w:type="dxa"/>
              <w:bottom w:w="80" w:type="dxa"/>
              <w:left w:w="120" w:type="dxa"/>
              <w:right w:w="120" w:type="dxa"/>
            </w:tcMar>
          </w:tcPr>
          <w:p>
            <w:r>
              <w:rPr>
                <w:rFonts w:ascii="Calibri" w:hAnsi="Calibri"/>
                <w:color w:val="1A202C"/>
                <w:sz w:val="18"/>
              </w:rPr>
              <w:t>Methanobrevibacter_smithii</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Dominant methanogenic archaeon influencing caloric extraction efficiency.</w:t>
            </w:r>
          </w:p>
        </w:tc>
      </w:tr>
      <w:tr>
        <w:tc>
          <w:tcPr>
            <w:tcW w:type="dxa" w:w="576"/>
            <w:shd w:fill="F7FAFC"/>
            <w:tcMar>
              <w:top w:w="80" w:type="dxa"/>
              <w:bottom w:w="80" w:type="dxa"/>
              <w:left w:w="120" w:type="dxa"/>
              <w:right w:w="120" w:type="dxa"/>
            </w:tcMar>
          </w:tcPr>
          <w:p>
            <w:r>
              <w:rPr>
                <w:rFonts w:ascii="Calibri" w:hAnsi="Calibri"/>
                <w:color w:val="1A202C"/>
                <w:sz w:val="18"/>
              </w:rPr>
              <w:t>32</w:t>
            </w:r>
          </w:p>
        </w:tc>
        <w:tc>
          <w:tcPr>
            <w:tcW w:type="dxa" w:w="3168"/>
            <w:shd w:fill="F7FAFC"/>
            <w:tcMar>
              <w:top w:w="80" w:type="dxa"/>
              <w:bottom w:w="80" w:type="dxa"/>
              <w:left w:w="120" w:type="dxa"/>
              <w:right w:w="120" w:type="dxa"/>
            </w:tcMar>
          </w:tcPr>
          <w:p>
            <w:r>
              <w:rPr>
                <w:rFonts w:ascii="Calibri" w:hAnsi="Calibri"/>
                <w:color w:val="1A202C"/>
                <w:sz w:val="18"/>
              </w:rPr>
              <w:t>Dialister_invisus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Metabolic commensal monitored in glucose tolerance studies.</w:t>
            </w:r>
          </w:p>
        </w:tc>
      </w:tr>
      <w:tr>
        <w:tc>
          <w:tcPr>
            <w:tcW w:type="dxa" w:w="576"/>
            <w:shd w:fill="FFFFFF"/>
            <w:tcMar>
              <w:top w:w="80" w:type="dxa"/>
              <w:bottom w:w="80" w:type="dxa"/>
              <w:left w:w="120" w:type="dxa"/>
              <w:right w:w="120" w:type="dxa"/>
            </w:tcMar>
          </w:tcPr>
          <w:p>
            <w:r>
              <w:rPr>
                <w:rFonts w:ascii="Calibri" w:hAnsi="Calibri"/>
                <w:color w:val="1A202C"/>
                <w:sz w:val="18"/>
              </w:rPr>
              <w:t>33</w:t>
            </w:r>
          </w:p>
        </w:tc>
        <w:tc>
          <w:tcPr>
            <w:tcW w:type="dxa" w:w="3168"/>
            <w:shd w:fill="FFFFFF"/>
            <w:tcMar>
              <w:top w:w="80" w:type="dxa"/>
              <w:bottom w:w="80" w:type="dxa"/>
              <w:left w:w="120" w:type="dxa"/>
              <w:right w:w="120" w:type="dxa"/>
            </w:tcMar>
          </w:tcPr>
          <w:p>
            <w:r>
              <w:rPr>
                <w:rFonts w:ascii="Calibri" w:hAnsi="Calibri"/>
                <w:color w:val="1A202C"/>
                <w:sz w:val="18"/>
              </w:rPr>
              <w:t>Holdemanella_biformis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Produces long-chain fatty acid derivatives influencing GLP-1 secretion.</w:t>
            </w:r>
          </w:p>
        </w:tc>
      </w:tr>
      <w:tr>
        <w:tc>
          <w:tcPr>
            <w:tcW w:type="dxa" w:w="576"/>
            <w:shd w:fill="F7FAFC"/>
            <w:tcMar>
              <w:top w:w="80" w:type="dxa"/>
              <w:bottom w:w="80" w:type="dxa"/>
              <w:left w:w="120" w:type="dxa"/>
              <w:right w:w="120" w:type="dxa"/>
            </w:tcMar>
          </w:tcPr>
          <w:p>
            <w:r>
              <w:rPr>
                <w:rFonts w:ascii="Calibri" w:hAnsi="Calibri"/>
                <w:color w:val="1A202C"/>
                <w:sz w:val="18"/>
              </w:rPr>
              <w:t>34</w:t>
            </w:r>
          </w:p>
        </w:tc>
        <w:tc>
          <w:tcPr>
            <w:tcW w:type="dxa" w:w="3168"/>
            <w:shd w:fill="F7FAFC"/>
            <w:tcMar>
              <w:top w:w="80" w:type="dxa"/>
              <w:bottom w:w="80" w:type="dxa"/>
              <w:left w:w="120" w:type="dxa"/>
              <w:right w:w="120" w:type="dxa"/>
            </w:tcMar>
          </w:tcPr>
          <w:p>
            <w:r>
              <w:rPr>
                <w:rFonts w:ascii="Calibri" w:hAnsi="Calibri"/>
                <w:color w:val="1A202C"/>
                <w:sz w:val="18"/>
              </w:rPr>
              <w:t>Barnesiella_intestinihominis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Immunomodulatory commensal supporting intestinal clearance.</w:t>
            </w:r>
          </w:p>
        </w:tc>
      </w:tr>
      <w:tr>
        <w:tc>
          <w:tcPr>
            <w:tcW w:type="dxa" w:w="576"/>
            <w:shd w:fill="FFFFFF"/>
            <w:tcMar>
              <w:top w:w="80" w:type="dxa"/>
              <w:bottom w:w="80" w:type="dxa"/>
              <w:left w:w="120" w:type="dxa"/>
              <w:right w:w="120" w:type="dxa"/>
            </w:tcMar>
          </w:tcPr>
          <w:p>
            <w:r>
              <w:rPr>
                <w:rFonts w:ascii="Calibri" w:hAnsi="Calibri"/>
                <w:color w:val="1A202C"/>
                <w:sz w:val="18"/>
              </w:rPr>
              <w:t>35</w:t>
            </w:r>
          </w:p>
        </w:tc>
        <w:tc>
          <w:tcPr>
            <w:tcW w:type="dxa" w:w="3168"/>
            <w:shd w:fill="FFFFFF"/>
            <w:tcMar>
              <w:top w:w="80" w:type="dxa"/>
              <w:bottom w:w="80" w:type="dxa"/>
              <w:left w:w="120" w:type="dxa"/>
              <w:right w:w="120" w:type="dxa"/>
            </w:tcMar>
          </w:tcPr>
          <w:p>
            <w:r>
              <w:rPr>
                <w:rFonts w:ascii="Calibri" w:hAnsi="Calibri"/>
                <w:color w:val="1A202C"/>
                <w:sz w:val="18"/>
              </w:rPr>
              <w:t>Anaerostipes_caccae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Converts lactate into butyrate, contributing to mucosal nourishment.</w:t>
            </w:r>
          </w:p>
        </w:tc>
      </w:tr>
      <w:tr>
        <w:tc>
          <w:tcPr>
            <w:tcW w:type="dxa" w:w="576"/>
            <w:shd w:fill="F7FAFC"/>
            <w:tcMar>
              <w:top w:w="80" w:type="dxa"/>
              <w:bottom w:w="80" w:type="dxa"/>
              <w:left w:w="120" w:type="dxa"/>
              <w:right w:w="120" w:type="dxa"/>
            </w:tcMar>
          </w:tcPr>
          <w:p>
            <w:r>
              <w:rPr>
                <w:rFonts w:ascii="Calibri" w:hAnsi="Calibri"/>
                <w:color w:val="1A202C"/>
                <w:sz w:val="18"/>
              </w:rPr>
              <w:t>36</w:t>
            </w:r>
          </w:p>
        </w:tc>
        <w:tc>
          <w:tcPr>
            <w:tcW w:type="dxa" w:w="3168"/>
            <w:shd w:fill="F7FAFC"/>
            <w:tcMar>
              <w:top w:w="80" w:type="dxa"/>
              <w:bottom w:w="80" w:type="dxa"/>
              <w:left w:w="120" w:type="dxa"/>
              <w:right w:w="120" w:type="dxa"/>
            </w:tcMar>
          </w:tcPr>
          <w:p>
            <w:r>
              <w:rPr>
                <w:rFonts w:ascii="Calibri" w:hAnsi="Calibri"/>
                <w:color w:val="1A202C"/>
                <w:sz w:val="18"/>
              </w:rPr>
              <w:t>Phascolarctobacterium_faecium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Produces propionate from succinate utilization.</w:t>
            </w:r>
          </w:p>
        </w:tc>
      </w:tr>
      <w:tr>
        <w:tc>
          <w:tcPr>
            <w:tcW w:type="dxa" w:w="576"/>
            <w:shd w:fill="FFFFFF"/>
            <w:tcMar>
              <w:top w:w="80" w:type="dxa"/>
              <w:bottom w:w="80" w:type="dxa"/>
              <w:left w:w="120" w:type="dxa"/>
              <w:right w:w="120" w:type="dxa"/>
            </w:tcMar>
          </w:tcPr>
          <w:p>
            <w:r>
              <w:rPr>
                <w:rFonts w:ascii="Calibri" w:hAnsi="Calibri"/>
                <w:color w:val="1A202C"/>
                <w:sz w:val="18"/>
              </w:rPr>
              <w:t>37</w:t>
            </w:r>
          </w:p>
        </w:tc>
        <w:tc>
          <w:tcPr>
            <w:tcW w:type="dxa" w:w="3168"/>
            <w:shd w:fill="FFFFFF"/>
            <w:tcMar>
              <w:top w:w="80" w:type="dxa"/>
              <w:bottom w:w="80" w:type="dxa"/>
              <w:left w:w="120" w:type="dxa"/>
              <w:right w:w="120" w:type="dxa"/>
            </w:tcMar>
          </w:tcPr>
          <w:p>
            <w:r>
              <w:rPr>
                <w:rFonts w:ascii="Calibri" w:hAnsi="Calibri"/>
                <w:color w:val="1A202C"/>
                <w:sz w:val="18"/>
              </w:rPr>
              <w:t>Veillonella_parvula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Lactate-utilizing microbe linked to exercise physiology.</w:t>
            </w:r>
          </w:p>
        </w:tc>
      </w:tr>
      <w:tr>
        <w:tc>
          <w:tcPr>
            <w:tcW w:type="dxa" w:w="576"/>
            <w:shd w:fill="F7FAFC"/>
            <w:tcMar>
              <w:top w:w="80" w:type="dxa"/>
              <w:bottom w:w="80" w:type="dxa"/>
              <w:left w:w="120" w:type="dxa"/>
              <w:right w:w="120" w:type="dxa"/>
            </w:tcMar>
          </w:tcPr>
          <w:p>
            <w:r>
              <w:rPr>
                <w:rFonts w:ascii="Calibri" w:hAnsi="Calibri"/>
                <w:color w:val="1A202C"/>
                <w:sz w:val="18"/>
              </w:rPr>
              <w:t>38</w:t>
            </w:r>
          </w:p>
        </w:tc>
        <w:tc>
          <w:tcPr>
            <w:tcW w:type="dxa" w:w="3168"/>
            <w:shd w:fill="F7FAFC"/>
            <w:tcMar>
              <w:top w:w="80" w:type="dxa"/>
              <w:bottom w:w="80" w:type="dxa"/>
              <w:left w:w="120" w:type="dxa"/>
              <w:right w:w="120" w:type="dxa"/>
            </w:tcMar>
          </w:tcPr>
          <w:p>
            <w:r>
              <w:rPr>
                <w:rFonts w:ascii="Calibri" w:hAnsi="Calibri"/>
                <w:color w:val="1A202C"/>
                <w:sz w:val="18"/>
              </w:rPr>
              <w:t>Fusobacterium_nucleatum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Pro-inflammatory pathobiont associated with mucosal barrier breach.</w:t>
            </w:r>
          </w:p>
        </w:tc>
      </w:tr>
      <w:tr>
        <w:tc>
          <w:tcPr>
            <w:tcW w:type="dxa" w:w="576"/>
            <w:shd w:fill="FFFFFF"/>
            <w:tcMar>
              <w:top w:w="80" w:type="dxa"/>
              <w:bottom w:w="80" w:type="dxa"/>
              <w:left w:w="120" w:type="dxa"/>
              <w:right w:w="120" w:type="dxa"/>
            </w:tcMar>
          </w:tcPr>
          <w:p>
            <w:r>
              <w:rPr>
                <w:rFonts w:ascii="Calibri" w:hAnsi="Calibri"/>
                <w:color w:val="1A202C"/>
                <w:sz w:val="18"/>
              </w:rPr>
              <w:t>39</w:t>
            </w:r>
          </w:p>
        </w:tc>
        <w:tc>
          <w:tcPr>
            <w:tcW w:type="dxa" w:w="3168"/>
            <w:shd w:fill="FFFFFF"/>
            <w:tcMar>
              <w:top w:w="80" w:type="dxa"/>
              <w:bottom w:w="80" w:type="dxa"/>
              <w:left w:w="120" w:type="dxa"/>
              <w:right w:w="120" w:type="dxa"/>
            </w:tcMar>
          </w:tcPr>
          <w:p>
            <w:r>
              <w:rPr>
                <w:rFonts w:ascii="Calibri" w:hAnsi="Calibri"/>
                <w:color w:val="1A202C"/>
                <w:sz w:val="18"/>
              </w:rPr>
              <w:t>Bilophila_wadsworthia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Sulfite-reducing microbe associated with high-fat diets and hydrogen sulfide.</w:t>
            </w:r>
          </w:p>
        </w:tc>
      </w:tr>
      <w:tr>
        <w:tc>
          <w:tcPr>
            <w:tcW w:type="dxa" w:w="576"/>
            <w:shd w:fill="F7FAFC"/>
            <w:tcMar>
              <w:top w:w="80" w:type="dxa"/>
              <w:bottom w:w="80" w:type="dxa"/>
              <w:left w:w="120" w:type="dxa"/>
              <w:right w:w="120" w:type="dxa"/>
            </w:tcMar>
          </w:tcPr>
          <w:p>
            <w:r>
              <w:rPr>
                <w:rFonts w:ascii="Calibri" w:hAnsi="Calibri"/>
                <w:color w:val="1A202C"/>
                <w:sz w:val="18"/>
              </w:rPr>
              <w:t>40</w:t>
            </w:r>
          </w:p>
        </w:tc>
        <w:tc>
          <w:tcPr>
            <w:tcW w:type="dxa" w:w="3168"/>
            <w:shd w:fill="F7FAFC"/>
            <w:tcMar>
              <w:top w:w="80" w:type="dxa"/>
              <w:bottom w:w="80" w:type="dxa"/>
              <w:left w:w="120" w:type="dxa"/>
              <w:right w:w="120" w:type="dxa"/>
            </w:tcMar>
          </w:tcPr>
          <w:p>
            <w:r>
              <w:rPr>
                <w:rFonts w:ascii="Calibri" w:hAnsi="Calibri"/>
                <w:color w:val="1A202C"/>
                <w:sz w:val="18"/>
              </w:rPr>
              <w:t>Sutterella_wadsworthensis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Proteobacterial commensal monitored in inflammatory bowel profiles.</w:t>
            </w:r>
          </w:p>
        </w:tc>
      </w:tr>
      <w:tr>
        <w:tc>
          <w:tcPr>
            <w:tcW w:type="dxa" w:w="576"/>
            <w:shd w:fill="FFFFFF"/>
            <w:tcMar>
              <w:top w:w="80" w:type="dxa"/>
              <w:bottom w:w="80" w:type="dxa"/>
              <w:left w:w="120" w:type="dxa"/>
              <w:right w:w="120" w:type="dxa"/>
            </w:tcMar>
          </w:tcPr>
          <w:p>
            <w:r>
              <w:rPr>
                <w:rFonts w:ascii="Calibri" w:hAnsi="Calibri"/>
                <w:color w:val="1A202C"/>
                <w:sz w:val="18"/>
              </w:rPr>
              <w:t>41</w:t>
            </w:r>
          </w:p>
        </w:tc>
        <w:tc>
          <w:tcPr>
            <w:tcW w:type="dxa" w:w="3168"/>
            <w:shd w:fill="FFFFFF"/>
            <w:tcMar>
              <w:top w:w="80" w:type="dxa"/>
              <w:bottom w:w="80" w:type="dxa"/>
              <w:left w:w="120" w:type="dxa"/>
              <w:right w:w="120" w:type="dxa"/>
            </w:tcMar>
          </w:tcPr>
          <w:p>
            <w:r>
              <w:rPr>
                <w:rFonts w:ascii="Calibri" w:hAnsi="Calibri"/>
                <w:color w:val="1A202C"/>
                <w:sz w:val="18"/>
              </w:rPr>
              <w:t>Other_Taxa</w:t>
            </w:r>
          </w:p>
        </w:tc>
        <w:tc>
          <w:tcPr>
            <w:tcW w:type="dxa" w:w="2016"/>
            <w:shd w:fill="FFFFFF"/>
            <w:tcMar>
              <w:top w:w="80" w:type="dxa"/>
              <w:bottom w:w="80" w:type="dxa"/>
              <w:left w:w="120" w:type="dxa"/>
              <w:right w:w="120" w:type="dxa"/>
            </w:tcMar>
          </w:tcPr>
          <w:p>
            <w:r>
              <w:rPr>
                <w:rFonts w:ascii="Calibri" w:hAnsi="Calibri"/>
                <w:color w:val="1A202C"/>
                <w:sz w:val="18"/>
              </w:rPr>
              <w:t>Residual Component</w:t>
            </w:r>
          </w:p>
        </w:tc>
        <w:tc>
          <w:tcPr>
            <w:tcW w:type="dxa" w:w="3888"/>
            <w:shd w:fill="FFFFFF"/>
            <w:tcMar>
              <w:top w:w="80" w:type="dxa"/>
              <w:bottom w:w="80" w:type="dxa"/>
              <w:left w:w="120" w:type="dxa"/>
              <w:right w:w="120" w:type="dxa"/>
            </w:tcMar>
          </w:tcPr>
          <w:p>
            <w:r>
              <w:rPr>
                <w:rFonts w:ascii="Calibri" w:hAnsi="Calibri"/>
                <w:color w:val="1A202C"/>
                <w:sz w:val="18"/>
              </w:rPr>
              <w:t>Aggregate relative abundance of remaining low-abundance microflora.</w:t>
            </w:r>
          </w:p>
        </w:tc>
      </w:tr>
      <w:tr>
        <w:tc>
          <w:tcPr>
            <w:tcW w:type="dxa" w:w="576"/>
            <w:shd w:fill="F7FAFC"/>
            <w:tcMar>
              <w:top w:w="80" w:type="dxa"/>
              <w:bottom w:w="80" w:type="dxa"/>
              <w:left w:w="120" w:type="dxa"/>
              <w:right w:w="120" w:type="dxa"/>
            </w:tcMar>
          </w:tcPr>
          <w:p>
            <w:r>
              <w:rPr>
                <w:rFonts w:ascii="Calibri" w:hAnsi="Calibri"/>
                <w:color w:val="1A202C"/>
                <w:sz w:val="18"/>
              </w:rPr>
              <w:t>42</w:t>
            </w:r>
          </w:p>
        </w:tc>
        <w:tc>
          <w:tcPr>
            <w:tcW w:type="dxa" w:w="3168"/>
            <w:shd w:fill="F7FAFC"/>
            <w:tcMar>
              <w:top w:w="80" w:type="dxa"/>
              <w:bottom w:w="80" w:type="dxa"/>
              <w:left w:w="120" w:type="dxa"/>
              <w:right w:w="120" w:type="dxa"/>
            </w:tcMar>
          </w:tcPr>
          <w:p>
            <w:r>
              <w:rPr>
                <w:rFonts w:ascii="Calibri" w:hAnsi="Calibri"/>
                <w:color w:val="1A202C"/>
                <w:sz w:val="18"/>
              </w:rPr>
              <w:t>Shannon_Diversity</w:t>
            </w:r>
          </w:p>
        </w:tc>
        <w:tc>
          <w:tcPr>
            <w:tcW w:type="dxa" w:w="2016"/>
            <w:shd w:fill="F7FAFC"/>
            <w:tcMar>
              <w:top w:w="80" w:type="dxa"/>
              <w:bottom w:w="80" w:type="dxa"/>
              <w:left w:w="120" w:type="dxa"/>
              <w:right w:w="120" w:type="dxa"/>
            </w:tcMar>
          </w:tcPr>
          <w:p>
            <w:r>
              <w:rPr>
                <w:rFonts w:ascii="Calibri" w:hAnsi="Calibri"/>
                <w:color w:val="1A202C"/>
                <w:sz w:val="18"/>
              </w:rPr>
              <w:t>Ecological Index</w:t>
            </w:r>
          </w:p>
        </w:tc>
        <w:tc>
          <w:tcPr>
            <w:tcW w:type="dxa" w:w="3888"/>
            <w:shd w:fill="F7FAFC"/>
            <w:tcMar>
              <w:top w:w="80" w:type="dxa"/>
              <w:bottom w:w="80" w:type="dxa"/>
              <w:left w:w="120" w:type="dxa"/>
              <w:right w:w="120" w:type="dxa"/>
            </w:tcMar>
          </w:tcPr>
          <w:p>
            <w:r>
              <w:rPr>
                <w:rFonts w:ascii="Calibri" w:hAnsi="Calibri"/>
                <w:color w:val="1A202C"/>
                <w:sz w:val="18"/>
              </w:rPr>
              <w:t>Alpha diversity index measuring species richness and evenness.</w:t>
            </w:r>
          </w:p>
        </w:tc>
      </w:tr>
      <w:tr>
        <w:tc>
          <w:tcPr>
            <w:tcW w:type="dxa" w:w="576"/>
            <w:shd w:fill="FFFFFF"/>
            <w:tcMar>
              <w:top w:w="80" w:type="dxa"/>
              <w:bottom w:w="80" w:type="dxa"/>
              <w:left w:w="120" w:type="dxa"/>
              <w:right w:w="120" w:type="dxa"/>
            </w:tcMar>
          </w:tcPr>
          <w:p>
            <w:r>
              <w:rPr>
                <w:rFonts w:ascii="Calibri" w:hAnsi="Calibri"/>
                <w:color w:val="1A202C"/>
                <w:sz w:val="18"/>
              </w:rPr>
              <w:t>43</w:t>
            </w:r>
          </w:p>
        </w:tc>
        <w:tc>
          <w:tcPr>
            <w:tcW w:type="dxa" w:w="3168"/>
            <w:shd w:fill="FFFFFF"/>
            <w:tcMar>
              <w:top w:w="80" w:type="dxa"/>
              <w:bottom w:w="80" w:type="dxa"/>
              <w:left w:w="120" w:type="dxa"/>
              <w:right w:w="120" w:type="dxa"/>
            </w:tcMar>
          </w:tcPr>
          <w:p>
            <w:r>
              <w:rPr>
                <w:rFonts w:ascii="Calibri" w:hAnsi="Calibri"/>
                <w:color w:val="1A202C"/>
                <w:sz w:val="18"/>
              </w:rPr>
              <w:t>Simpson_Diversity</w:t>
            </w:r>
          </w:p>
        </w:tc>
        <w:tc>
          <w:tcPr>
            <w:tcW w:type="dxa" w:w="2016"/>
            <w:shd w:fill="FFFFFF"/>
            <w:tcMar>
              <w:top w:w="80" w:type="dxa"/>
              <w:bottom w:w="80" w:type="dxa"/>
              <w:left w:w="120" w:type="dxa"/>
              <w:right w:w="120" w:type="dxa"/>
            </w:tcMar>
          </w:tcPr>
          <w:p>
            <w:r>
              <w:rPr>
                <w:rFonts w:ascii="Calibri" w:hAnsi="Calibri"/>
                <w:color w:val="1A202C"/>
                <w:sz w:val="18"/>
              </w:rPr>
              <w:t>Ecological Index</w:t>
            </w:r>
          </w:p>
        </w:tc>
        <w:tc>
          <w:tcPr>
            <w:tcW w:type="dxa" w:w="3888"/>
            <w:shd w:fill="FFFFFF"/>
            <w:tcMar>
              <w:top w:w="80" w:type="dxa"/>
              <w:bottom w:w="80" w:type="dxa"/>
              <w:left w:w="120" w:type="dxa"/>
              <w:right w:w="120" w:type="dxa"/>
            </w:tcMar>
          </w:tcPr>
          <w:p>
            <w:r>
              <w:rPr>
                <w:rFonts w:ascii="Calibri" w:hAnsi="Calibri"/>
                <w:color w:val="1A202C"/>
                <w:sz w:val="18"/>
              </w:rPr>
              <w:t>Alpha diversity index emphasizing dominant microbial species.</w:t>
            </w:r>
          </w:p>
        </w:tc>
      </w:tr>
      <w:tr>
        <w:tc>
          <w:tcPr>
            <w:tcW w:type="dxa" w:w="576"/>
            <w:shd w:fill="F7FAFC"/>
            <w:tcMar>
              <w:top w:w="80" w:type="dxa"/>
              <w:bottom w:w="80" w:type="dxa"/>
              <w:left w:w="120" w:type="dxa"/>
              <w:right w:w="120" w:type="dxa"/>
            </w:tcMar>
          </w:tcPr>
          <w:p>
            <w:r>
              <w:rPr>
                <w:rFonts w:ascii="Calibri" w:hAnsi="Calibri"/>
                <w:color w:val="1A202C"/>
                <w:sz w:val="18"/>
              </w:rPr>
              <w:t>44</w:t>
            </w:r>
          </w:p>
        </w:tc>
        <w:tc>
          <w:tcPr>
            <w:tcW w:type="dxa" w:w="3168"/>
            <w:shd w:fill="F7FAFC"/>
            <w:tcMar>
              <w:top w:w="80" w:type="dxa"/>
              <w:bottom w:w="80" w:type="dxa"/>
              <w:left w:w="120" w:type="dxa"/>
              <w:right w:w="120" w:type="dxa"/>
            </w:tcMar>
          </w:tcPr>
          <w:p>
            <w:r>
              <w:rPr>
                <w:rFonts w:ascii="Calibri" w:hAnsi="Calibri"/>
                <w:color w:val="1A202C"/>
                <w:sz w:val="18"/>
              </w:rPr>
              <w:t>Observed_Richness</w:t>
            </w:r>
          </w:p>
        </w:tc>
        <w:tc>
          <w:tcPr>
            <w:tcW w:type="dxa" w:w="2016"/>
            <w:shd w:fill="F7FAFC"/>
            <w:tcMar>
              <w:top w:w="80" w:type="dxa"/>
              <w:bottom w:w="80" w:type="dxa"/>
              <w:left w:w="120" w:type="dxa"/>
              <w:right w:w="120" w:type="dxa"/>
            </w:tcMar>
          </w:tcPr>
          <w:p>
            <w:r>
              <w:rPr>
                <w:rFonts w:ascii="Calibri" w:hAnsi="Calibri"/>
                <w:color w:val="1A202C"/>
                <w:sz w:val="18"/>
              </w:rPr>
              <w:t>Ecological Index</w:t>
            </w:r>
          </w:p>
        </w:tc>
        <w:tc>
          <w:tcPr>
            <w:tcW w:type="dxa" w:w="3888"/>
            <w:shd w:fill="F7FAFC"/>
            <w:tcMar>
              <w:top w:w="80" w:type="dxa"/>
              <w:bottom w:w="80" w:type="dxa"/>
              <w:left w:w="120" w:type="dxa"/>
              <w:right w:w="120" w:type="dxa"/>
            </w:tcMar>
          </w:tcPr>
          <w:p>
            <w:r>
              <w:rPr>
                <w:rFonts w:ascii="Calibri" w:hAnsi="Calibri"/>
                <w:color w:val="1A202C"/>
                <w:sz w:val="18"/>
              </w:rPr>
              <w:t>Total count of unique bacterial taxa identified in sample.</w:t>
            </w:r>
          </w:p>
        </w:tc>
      </w:tr>
      <w:tr>
        <w:tc>
          <w:tcPr>
            <w:tcW w:type="dxa" w:w="576"/>
            <w:shd w:fill="FFFFFF"/>
            <w:tcMar>
              <w:top w:w="80" w:type="dxa"/>
              <w:bottom w:w="80" w:type="dxa"/>
              <w:left w:w="120" w:type="dxa"/>
              <w:right w:w="120" w:type="dxa"/>
            </w:tcMar>
          </w:tcPr>
          <w:p>
            <w:r>
              <w:rPr>
                <w:rFonts w:ascii="Calibri" w:hAnsi="Calibri"/>
                <w:color w:val="1A202C"/>
                <w:sz w:val="18"/>
              </w:rPr>
              <w:t>45</w:t>
            </w:r>
          </w:p>
        </w:tc>
        <w:tc>
          <w:tcPr>
            <w:tcW w:type="dxa" w:w="3168"/>
            <w:shd w:fill="FFFFFF"/>
            <w:tcMar>
              <w:top w:w="80" w:type="dxa"/>
              <w:bottom w:w="80" w:type="dxa"/>
              <w:left w:w="120" w:type="dxa"/>
              <w:right w:w="120" w:type="dxa"/>
            </w:tcMar>
          </w:tcPr>
          <w:p>
            <w:r>
              <w:rPr>
                <w:rFonts w:ascii="Calibri" w:hAnsi="Calibri"/>
                <w:color w:val="1A202C"/>
                <w:sz w:val="18"/>
              </w:rPr>
              <w:t>Pielou_Evenness</w:t>
            </w:r>
          </w:p>
        </w:tc>
        <w:tc>
          <w:tcPr>
            <w:tcW w:type="dxa" w:w="2016"/>
            <w:shd w:fill="FFFFFF"/>
            <w:tcMar>
              <w:top w:w="80" w:type="dxa"/>
              <w:bottom w:w="80" w:type="dxa"/>
              <w:left w:w="120" w:type="dxa"/>
              <w:right w:w="120" w:type="dxa"/>
            </w:tcMar>
          </w:tcPr>
          <w:p>
            <w:r>
              <w:rPr>
                <w:rFonts w:ascii="Calibri" w:hAnsi="Calibri"/>
                <w:color w:val="1A202C"/>
                <w:sz w:val="18"/>
              </w:rPr>
              <w:t>Ecological Index</w:t>
            </w:r>
          </w:p>
        </w:tc>
        <w:tc>
          <w:tcPr>
            <w:tcW w:type="dxa" w:w="3888"/>
            <w:shd w:fill="FFFFFF"/>
            <w:tcMar>
              <w:top w:w="80" w:type="dxa"/>
              <w:bottom w:w="80" w:type="dxa"/>
              <w:left w:w="120" w:type="dxa"/>
              <w:right w:w="120" w:type="dxa"/>
            </w:tcMar>
          </w:tcPr>
          <w:p>
            <w:r>
              <w:rPr>
                <w:rFonts w:ascii="Calibri" w:hAnsi="Calibri"/>
                <w:color w:val="1A202C"/>
                <w:sz w:val="18"/>
              </w:rPr>
              <w:t>Measure of how equally species abundances are distributed.</w:t>
            </w:r>
          </w:p>
        </w:tc>
      </w:tr>
      <w:tr>
        <w:tc>
          <w:tcPr>
            <w:tcW w:type="dxa" w:w="576"/>
            <w:shd w:fill="F7FAFC"/>
            <w:tcMar>
              <w:top w:w="80" w:type="dxa"/>
              <w:bottom w:w="80" w:type="dxa"/>
              <w:left w:w="120" w:type="dxa"/>
              <w:right w:w="120" w:type="dxa"/>
            </w:tcMar>
          </w:tcPr>
          <w:p>
            <w:r>
              <w:rPr>
                <w:rFonts w:ascii="Calibri" w:hAnsi="Calibri"/>
                <w:color w:val="1A202C"/>
                <w:sz w:val="18"/>
              </w:rPr>
              <w:t>46</w:t>
            </w:r>
          </w:p>
        </w:tc>
        <w:tc>
          <w:tcPr>
            <w:tcW w:type="dxa" w:w="3168"/>
            <w:shd w:fill="F7FAFC"/>
            <w:tcMar>
              <w:top w:w="80" w:type="dxa"/>
              <w:bottom w:w="80" w:type="dxa"/>
              <w:left w:w="120" w:type="dxa"/>
              <w:right w:w="120" w:type="dxa"/>
            </w:tcMar>
          </w:tcPr>
          <w:p>
            <w:r>
              <w:rPr>
                <w:rFonts w:ascii="Calibri" w:hAnsi="Calibri"/>
                <w:color w:val="1A202C"/>
                <w:sz w:val="18"/>
              </w:rPr>
              <w:t>SCFA_Producer_Index</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Aggregate functional capacity for total short-chain fatty acid synthesis.</w:t>
            </w:r>
          </w:p>
        </w:tc>
      </w:tr>
      <w:tr>
        <w:tc>
          <w:tcPr>
            <w:tcW w:type="dxa" w:w="576"/>
            <w:shd w:fill="FFFFFF"/>
            <w:tcMar>
              <w:top w:w="80" w:type="dxa"/>
              <w:bottom w:w="80" w:type="dxa"/>
              <w:left w:w="120" w:type="dxa"/>
              <w:right w:w="120" w:type="dxa"/>
            </w:tcMar>
          </w:tcPr>
          <w:p>
            <w:r>
              <w:rPr>
                <w:rFonts w:ascii="Calibri" w:hAnsi="Calibri"/>
                <w:color w:val="1A202C"/>
                <w:sz w:val="18"/>
              </w:rPr>
              <w:t>47</w:t>
            </w:r>
          </w:p>
        </w:tc>
        <w:tc>
          <w:tcPr>
            <w:tcW w:type="dxa" w:w="3168"/>
            <w:shd w:fill="FFFFFF"/>
            <w:tcMar>
              <w:top w:w="80" w:type="dxa"/>
              <w:bottom w:w="80" w:type="dxa"/>
              <w:left w:w="120" w:type="dxa"/>
              <w:right w:w="120" w:type="dxa"/>
            </w:tcMar>
          </w:tcPr>
          <w:p>
            <w:r>
              <w:rPr>
                <w:rFonts w:ascii="Calibri" w:hAnsi="Calibri"/>
                <w:color w:val="1A202C"/>
                <w:sz w:val="18"/>
              </w:rPr>
              <w:t>Butyrate_Producer_Index</w:t>
            </w:r>
          </w:p>
        </w:tc>
        <w:tc>
          <w:tcPr>
            <w:tcW w:type="dxa" w:w="2016"/>
            <w:shd w:fill="FFFFFF"/>
            <w:tcMar>
              <w:top w:w="80" w:type="dxa"/>
              <w:bottom w:w="80" w:type="dxa"/>
              <w:left w:w="120" w:type="dxa"/>
              <w:right w:w="120" w:type="dxa"/>
            </w:tcMar>
          </w:tcPr>
          <w:p>
            <w:r>
              <w:rPr>
                <w:rFonts w:ascii="Calibri" w:hAnsi="Calibri"/>
                <w:color w:val="1A202C"/>
                <w:sz w:val="18"/>
              </w:rPr>
              <w:t>Functional Index</w:t>
            </w:r>
          </w:p>
        </w:tc>
        <w:tc>
          <w:tcPr>
            <w:tcW w:type="dxa" w:w="3888"/>
            <w:shd w:fill="FFFFFF"/>
            <w:tcMar>
              <w:top w:w="80" w:type="dxa"/>
              <w:bottom w:w="80" w:type="dxa"/>
              <w:left w:w="120" w:type="dxa"/>
              <w:right w:w="120" w:type="dxa"/>
            </w:tcMar>
          </w:tcPr>
          <w:p>
            <w:r>
              <w:rPr>
                <w:rFonts w:ascii="Calibri" w:hAnsi="Calibri"/>
                <w:color w:val="1A202C"/>
                <w:sz w:val="18"/>
              </w:rPr>
              <w:t>Derived score reflecting abundance of primary butyrate-producing taxa.</w:t>
            </w:r>
          </w:p>
        </w:tc>
      </w:tr>
      <w:tr>
        <w:tc>
          <w:tcPr>
            <w:tcW w:type="dxa" w:w="576"/>
            <w:shd w:fill="F7FAFC"/>
            <w:tcMar>
              <w:top w:w="80" w:type="dxa"/>
              <w:bottom w:w="80" w:type="dxa"/>
              <w:left w:w="120" w:type="dxa"/>
              <w:right w:w="120" w:type="dxa"/>
            </w:tcMar>
          </w:tcPr>
          <w:p>
            <w:r>
              <w:rPr>
                <w:rFonts w:ascii="Calibri" w:hAnsi="Calibri"/>
                <w:color w:val="1A202C"/>
                <w:sz w:val="18"/>
              </w:rPr>
              <w:t>48</w:t>
            </w:r>
          </w:p>
        </w:tc>
        <w:tc>
          <w:tcPr>
            <w:tcW w:type="dxa" w:w="3168"/>
            <w:shd w:fill="F7FAFC"/>
            <w:tcMar>
              <w:top w:w="80" w:type="dxa"/>
              <w:bottom w:w="80" w:type="dxa"/>
              <w:left w:w="120" w:type="dxa"/>
              <w:right w:w="120" w:type="dxa"/>
            </w:tcMar>
          </w:tcPr>
          <w:p>
            <w:r>
              <w:rPr>
                <w:rFonts w:ascii="Calibri" w:hAnsi="Calibri"/>
                <w:color w:val="1A202C"/>
                <w:sz w:val="18"/>
              </w:rPr>
              <w:t>Barrier_Associated_Index</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Composite index of mucin-preserving and barrier-supporting species.</w:t>
            </w:r>
          </w:p>
        </w:tc>
      </w:tr>
      <w:tr>
        <w:tc>
          <w:tcPr>
            <w:tcW w:type="dxa" w:w="576"/>
            <w:shd w:fill="FFFFFF"/>
            <w:tcMar>
              <w:top w:w="80" w:type="dxa"/>
              <w:bottom w:w="80" w:type="dxa"/>
              <w:left w:w="120" w:type="dxa"/>
              <w:right w:w="120" w:type="dxa"/>
            </w:tcMar>
          </w:tcPr>
          <w:p>
            <w:r>
              <w:rPr>
                <w:rFonts w:ascii="Calibri" w:hAnsi="Calibri"/>
                <w:color w:val="1A202C"/>
                <w:sz w:val="18"/>
              </w:rPr>
              <w:t>49</w:t>
            </w:r>
          </w:p>
        </w:tc>
        <w:tc>
          <w:tcPr>
            <w:tcW w:type="dxa" w:w="3168"/>
            <w:shd w:fill="FFFFFF"/>
            <w:tcMar>
              <w:top w:w="80" w:type="dxa"/>
              <w:bottom w:w="80" w:type="dxa"/>
              <w:left w:w="120" w:type="dxa"/>
              <w:right w:w="120" w:type="dxa"/>
            </w:tcMar>
          </w:tcPr>
          <w:p>
            <w:r>
              <w:rPr>
                <w:rFonts w:ascii="Calibri" w:hAnsi="Calibri"/>
                <w:color w:val="1A202C"/>
                <w:sz w:val="18"/>
              </w:rPr>
              <w:t>Inflammation_Index</w:t>
            </w:r>
          </w:p>
        </w:tc>
        <w:tc>
          <w:tcPr>
            <w:tcW w:type="dxa" w:w="2016"/>
            <w:shd w:fill="FFFFFF"/>
            <w:tcMar>
              <w:top w:w="80" w:type="dxa"/>
              <w:bottom w:w="80" w:type="dxa"/>
              <w:left w:w="120" w:type="dxa"/>
              <w:right w:w="120" w:type="dxa"/>
            </w:tcMar>
          </w:tcPr>
          <w:p>
            <w:r>
              <w:rPr>
                <w:rFonts w:ascii="Calibri" w:hAnsi="Calibri"/>
                <w:color w:val="1A202C"/>
                <w:sz w:val="18"/>
              </w:rPr>
              <w:t>Functional Index</w:t>
            </w:r>
          </w:p>
        </w:tc>
        <w:tc>
          <w:tcPr>
            <w:tcW w:type="dxa" w:w="3888"/>
            <w:shd w:fill="FFFFFF"/>
            <w:tcMar>
              <w:top w:w="80" w:type="dxa"/>
              <w:bottom w:w="80" w:type="dxa"/>
              <w:left w:w="120" w:type="dxa"/>
              <w:right w:w="120" w:type="dxa"/>
            </w:tcMar>
          </w:tcPr>
          <w:p>
            <w:r>
              <w:rPr>
                <w:rFonts w:ascii="Calibri" w:hAnsi="Calibri"/>
                <w:color w:val="1A202C"/>
                <w:sz w:val="18"/>
              </w:rPr>
              <w:t>Ratio of pro-inflammatory pathobionts to anti-inflammatory commensals.</w:t>
            </w:r>
          </w:p>
        </w:tc>
      </w:tr>
      <w:tr>
        <w:tc>
          <w:tcPr>
            <w:tcW w:type="dxa" w:w="576"/>
            <w:shd w:fill="F7FAFC"/>
            <w:tcMar>
              <w:top w:w="80" w:type="dxa"/>
              <w:bottom w:w="80" w:type="dxa"/>
              <w:left w:w="120" w:type="dxa"/>
              <w:right w:w="120" w:type="dxa"/>
            </w:tcMar>
          </w:tcPr>
          <w:p>
            <w:r>
              <w:rPr>
                <w:rFonts w:ascii="Calibri" w:hAnsi="Calibri"/>
                <w:color w:val="1A202C"/>
                <w:sz w:val="18"/>
              </w:rPr>
              <w:t>50</w:t>
            </w:r>
          </w:p>
        </w:tc>
        <w:tc>
          <w:tcPr>
            <w:tcW w:type="dxa" w:w="3168"/>
            <w:shd w:fill="F7FAFC"/>
            <w:tcMar>
              <w:top w:w="80" w:type="dxa"/>
              <w:bottom w:w="80" w:type="dxa"/>
              <w:left w:w="120" w:type="dxa"/>
              <w:right w:w="120" w:type="dxa"/>
            </w:tcMar>
          </w:tcPr>
          <w:p>
            <w:r>
              <w:rPr>
                <w:rFonts w:ascii="Calibri" w:hAnsi="Calibri"/>
                <w:color w:val="1A202C"/>
                <w:sz w:val="18"/>
              </w:rPr>
              <w:t>Log_F_B_Ratio</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Log-transformed ratio of Firmicutes to Bacteroidetes phyla.</w:t>
            </w:r>
          </w:p>
        </w:tc>
      </w:tr>
    </w:tbl>
    <w:p>
      <w:pPr>
        <w:keepNext/>
        <w:spacing w:before="200" w:after="80"/>
      </w:pPr>
      <w:r>
        <w:rPr>
          <w:rFonts w:ascii="Calibri" w:hAnsi="Calibri"/>
          <w:b/>
          <w:color w:val="2B6CB0"/>
          <w:sz w:val="26"/>
        </w:rPr>
        <w:t>7.5 Target Disease Conditions (5 Multi-Label Targets)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1B365D"/>
            <w:tcMar>
              <w:top w:w="100" w:type="dxa"/>
              <w:bottom w:w="100" w:type="dxa"/>
              <w:left w:w="120" w:type="dxa"/>
              <w:right w:w="120" w:type="dxa"/>
            </w:tcMar>
          </w:tcPr>
          <w:p>
            <w:pPr>
              <w:jc w:val="left"/>
            </w:pPr>
            <w:r>
              <w:rPr>
                <w:rFonts w:ascii="Calibri" w:hAnsi="Calibri"/>
                <w:b/>
                <w:color w:val="FFFFFF"/>
                <w:sz w:val="19"/>
              </w:rPr>
              <w:t>Condition Name</w:t>
            </w:r>
          </w:p>
        </w:tc>
        <w:tc>
          <w:tcPr>
            <w:tcW w:type="dxa" w:w="4176"/>
            <w:shd w:fill="1B365D"/>
            <w:tcMar>
              <w:top w:w="100" w:type="dxa"/>
              <w:bottom w:w="100" w:type="dxa"/>
              <w:left w:w="120" w:type="dxa"/>
              <w:right w:w="120" w:type="dxa"/>
            </w:tcMar>
          </w:tcPr>
          <w:p>
            <w:pPr>
              <w:jc w:val="left"/>
            </w:pPr>
            <w:r>
              <w:rPr>
                <w:rFonts w:ascii="Calibri" w:hAnsi="Calibri"/>
                <w:b/>
                <w:color w:val="FFFFFF"/>
                <w:sz w:val="19"/>
              </w:rPr>
              <w:t>Clinical Definition &amp; Criteria</w:t>
            </w:r>
          </w:p>
        </w:tc>
        <w:tc>
          <w:tcPr>
            <w:tcW w:type="dxa" w:w="2880"/>
            <w:shd w:fill="1B365D"/>
            <w:tcMar>
              <w:top w:w="100" w:type="dxa"/>
              <w:bottom w:w="100" w:type="dxa"/>
              <w:left w:w="120" w:type="dxa"/>
              <w:right w:w="120" w:type="dxa"/>
            </w:tcMar>
          </w:tcPr>
          <w:p>
            <w:pPr>
              <w:jc w:val="left"/>
            </w:pPr>
            <w:r>
              <w:rPr>
                <w:rFonts w:ascii="Calibri" w:hAnsi="Calibri"/>
                <w:b/>
                <w:color w:val="FFFFFF"/>
                <w:sz w:val="19"/>
              </w:rPr>
              <w:t>Primary Associated Modalities</w:t>
            </w:r>
          </w:p>
        </w:tc>
      </w:tr>
      <w:tr>
        <w:tc>
          <w:tcPr>
            <w:tcW w:type="dxa" w:w="2592"/>
            <w:shd w:fill="FFFFFF"/>
            <w:tcMar>
              <w:top w:w="80" w:type="dxa"/>
              <w:bottom w:w="80" w:type="dxa"/>
              <w:left w:w="120" w:type="dxa"/>
              <w:right w:w="120" w:type="dxa"/>
            </w:tcMar>
          </w:tcPr>
          <w:p>
            <w:r>
              <w:rPr>
                <w:rFonts w:ascii="Calibri" w:hAnsi="Calibri"/>
                <w:color w:val="1A202C"/>
                <w:sz w:val="18"/>
              </w:rPr>
              <w:t>Type 2 Diabetes</w:t>
            </w:r>
          </w:p>
        </w:tc>
        <w:tc>
          <w:tcPr>
            <w:tcW w:type="dxa" w:w="4176"/>
            <w:shd w:fill="FFFFFF"/>
            <w:tcMar>
              <w:top w:w="80" w:type="dxa"/>
              <w:bottom w:w="80" w:type="dxa"/>
              <w:left w:w="120" w:type="dxa"/>
              <w:right w:w="120" w:type="dxa"/>
            </w:tcMar>
          </w:tcPr>
          <w:p>
            <w:r>
              <w:rPr>
                <w:rFonts w:ascii="Calibri" w:hAnsi="Calibri"/>
                <w:color w:val="1A202C"/>
                <w:sz w:val="18"/>
              </w:rPr>
              <w:t>HbA1c ≥ 6.5% or Fasting Glucose ≥ 126 mg/dL or CGM Mean &gt; 180 mg/dL.</w:t>
            </w:r>
          </w:p>
        </w:tc>
        <w:tc>
          <w:tcPr>
            <w:tcW w:type="dxa" w:w="2880"/>
            <w:shd w:fill="FFFFFF"/>
            <w:tcMar>
              <w:top w:w="80" w:type="dxa"/>
              <w:bottom w:w="80" w:type="dxa"/>
              <w:left w:w="120" w:type="dxa"/>
              <w:right w:w="120" w:type="dxa"/>
            </w:tcMar>
          </w:tcPr>
          <w:p>
            <w:r>
              <w:rPr>
                <w:rFonts w:ascii="Calibri" w:hAnsi="Calibri"/>
                <w:color w:val="1A202C"/>
                <w:sz w:val="18"/>
              </w:rPr>
              <w:t>Clinical, CGM, Gut Microbiome</w:t>
            </w:r>
          </w:p>
        </w:tc>
      </w:tr>
      <w:tr>
        <w:tc>
          <w:tcPr>
            <w:tcW w:type="dxa" w:w="2592"/>
            <w:shd w:fill="F7FAFC"/>
            <w:tcMar>
              <w:top w:w="80" w:type="dxa"/>
              <w:bottom w:w="80" w:type="dxa"/>
              <w:left w:w="120" w:type="dxa"/>
              <w:right w:w="120" w:type="dxa"/>
            </w:tcMar>
          </w:tcPr>
          <w:p>
            <w:r>
              <w:rPr>
                <w:rFonts w:ascii="Calibri" w:hAnsi="Calibri"/>
                <w:color w:val="1A202C"/>
                <w:sz w:val="18"/>
              </w:rPr>
              <w:t>Prediabetes</w:t>
            </w:r>
          </w:p>
        </w:tc>
        <w:tc>
          <w:tcPr>
            <w:tcW w:type="dxa" w:w="4176"/>
            <w:shd w:fill="F7FAFC"/>
            <w:tcMar>
              <w:top w:w="80" w:type="dxa"/>
              <w:bottom w:w="80" w:type="dxa"/>
              <w:left w:w="120" w:type="dxa"/>
              <w:right w:w="120" w:type="dxa"/>
            </w:tcMar>
          </w:tcPr>
          <w:p>
            <w:r>
              <w:rPr>
                <w:rFonts w:ascii="Calibri" w:hAnsi="Calibri"/>
                <w:color w:val="1A202C"/>
                <w:sz w:val="18"/>
              </w:rPr>
              <w:t>HbA1c 5.7–6.4% or Fasting Glucose 100–125 mg/dL.</w:t>
            </w:r>
          </w:p>
        </w:tc>
        <w:tc>
          <w:tcPr>
            <w:tcW w:type="dxa" w:w="2880"/>
            <w:shd w:fill="F7FAFC"/>
            <w:tcMar>
              <w:top w:w="80" w:type="dxa"/>
              <w:bottom w:w="80" w:type="dxa"/>
              <w:left w:w="120" w:type="dxa"/>
              <w:right w:w="120" w:type="dxa"/>
            </w:tcMar>
          </w:tcPr>
          <w:p>
            <w:r>
              <w:rPr>
                <w:rFonts w:ascii="Calibri" w:hAnsi="Calibri"/>
                <w:color w:val="1A202C"/>
                <w:sz w:val="18"/>
              </w:rPr>
              <w:t>Clinical, CGM, Wearables</w:t>
            </w:r>
          </w:p>
        </w:tc>
      </w:tr>
      <w:tr>
        <w:tc>
          <w:tcPr>
            <w:tcW w:type="dxa" w:w="2592"/>
            <w:shd w:fill="FFFFFF"/>
            <w:tcMar>
              <w:top w:w="80" w:type="dxa"/>
              <w:bottom w:w="80" w:type="dxa"/>
              <w:left w:w="120" w:type="dxa"/>
              <w:right w:w="120" w:type="dxa"/>
            </w:tcMar>
          </w:tcPr>
          <w:p>
            <w:r>
              <w:rPr>
                <w:rFonts w:ascii="Calibri" w:hAnsi="Calibri"/>
                <w:color w:val="1A202C"/>
                <w:sz w:val="18"/>
              </w:rPr>
              <w:t>High Adiposity Risk</w:t>
            </w:r>
          </w:p>
        </w:tc>
        <w:tc>
          <w:tcPr>
            <w:tcW w:type="dxa" w:w="4176"/>
            <w:shd w:fill="FFFFFF"/>
            <w:tcMar>
              <w:top w:w="80" w:type="dxa"/>
              <w:bottom w:w="80" w:type="dxa"/>
              <w:left w:w="120" w:type="dxa"/>
              <w:right w:w="120" w:type="dxa"/>
            </w:tcMar>
          </w:tcPr>
          <w:p>
            <w:r>
              <w:rPr>
                <w:rFonts w:ascii="Calibri" w:hAnsi="Calibri"/>
                <w:color w:val="1A202C"/>
                <w:sz w:val="18"/>
              </w:rPr>
              <w:t>BMI ≥ 27.5 kg/m² or Waist Circumference &gt; 90cm (M) / 80cm (F).</w:t>
            </w:r>
          </w:p>
        </w:tc>
        <w:tc>
          <w:tcPr>
            <w:tcW w:type="dxa" w:w="2880"/>
            <w:shd w:fill="FFFFFF"/>
            <w:tcMar>
              <w:top w:w="80" w:type="dxa"/>
              <w:bottom w:w="80" w:type="dxa"/>
              <w:left w:w="120" w:type="dxa"/>
              <w:right w:w="120" w:type="dxa"/>
            </w:tcMar>
          </w:tcPr>
          <w:p>
            <w:r>
              <w:rPr>
                <w:rFonts w:ascii="Calibri" w:hAnsi="Calibri"/>
                <w:color w:val="1A202C"/>
                <w:sz w:val="18"/>
              </w:rPr>
              <w:t>Clinical, Wearables, Gut Taxa</w:t>
            </w:r>
          </w:p>
        </w:tc>
      </w:tr>
      <w:tr>
        <w:tc>
          <w:tcPr>
            <w:tcW w:type="dxa" w:w="2592"/>
            <w:shd w:fill="F7FAFC"/>
            <w:tcMar>
              <w:top w:w="80" w:type="dxa"/>
              <w:bottom w:w="80" w:type="dxa"/>
              <w:left w:w="120" w:type="dxa"/>
              <w:right w:w="120" w:type="dxa"/>
            </w:tcMar>
          </w:tcPr>
          <w:p>
            <w:r>
              <w:rPr>
                <w:rFonts w:ascii="Calibri" w:hAnsi="Calibri"/>
                <w:color w:val="1A202C"/>
                <w:sz w:val="18"/>
              </w:rPr>
              <w:t>Metabolic Syndrome</w:t>
            </w:r>
          </w:p>
        </w:tc>
        <w:tc>
          <w:tcPr>
            <w:tcW w:type="dxa" w:w="4176"/>
            <w:shd w:fill="F7FAFC"/>
            <w:tcMar>
              <w:top w:w="80" w:type="dxa"/>
              <w:bottom w:w="80" w:type="dxa"/>
              <w:left w:w="120" w:type="dxa"/>
              <w:right w:w="120" w:type="dxa"/>
            </w:tcMar>
          </w:tcPr>
          <w:p>
            <w:r>
              <w:rPr>
                <w:rFonts w:ascii="Calibri" w:hAnsi="Calibri"/>
                <w:color w:val="1A202C"/>
                <w:sz w:val="18"/>
              </w:rPr>
              <w:t>Presence of ≥3 criteria: Elevated BP, Glucose, Triglycerides, Low HDL, Waist.</w:t>
            </w:r>
          </w:p>
        </w:tc>
        <w:tc>
          <w:tcPr>
            <w:tcW w:type="dxa" w:w="2880"/>
            <w:shd w:fill="F7FAFC"/>
            <w:tcMar>
              <w:top w:w="80" w:type="dxa"/>
              <w:bottom w:w="80" w:type="dxa"/>
              <w:left w:w="120" w:type="dxa"/>
              <w:right w:w="120" w:type="dxa"/>
            </w:tcMar>
          </w:tcPr>
          <w:p>
            <w:r>
              <w:rPr>
                <w:rFonts w:ascii="Calibri" w:hAnsi="Calibri"/>
                <w:color w:val="1A202C"/>
                <w:sz w:val="18"/>
              </w:rPr>
              <w:t>Clinical, Wearables, Gut Indices</w:t>
            </w:r>
          </w:p>
        </w:tc>
      </w:tr>
      <w:tr>
        <w:tc>
          <w:tcPr>
            <w:tcW w:type="dxa" w:w="2592"/>
            <w:shd w:fill="FFFFFF"/>
            <w:tcMar>
              <w:top w:w="80" w:type="dxa"/>
              <w:bottom w:w="80" w:type="dxa"/>
              <w:left w:w="120" w:type="dxa"/>
              <w:right w:w="120" w:type="dxa"/>
            </w:tcMar>
          </w:tcPr>
          <w:p>
            <w:r>
              <w:rPr>
                <w:rFonts w:ascii="Calibri" w:hAnsi="Calibri"/>
                <w:color w:val="1A202C"/>
                <w:sz w:val="18"/>
              </w:rPr>
              <w:t>NAFLD Risk</w:t>
            </w:r>
          </w:p>
        </w:tc>
        <w:tc>
          <w:tcPr>
            <w:tcW w:type="dxa" w:w="4176"/>
            <w:shd w:fill="FFFFFF"/>
            <w:tcMar>
              <w:top w:w="80" w:type="dxa"/>
              <w:bottom w:w="80" w:type="dxa"/>
              <w:left w:w="120" w:type="dxa"/>
              <w:right w:w="120" w:type="dxa"/>
            </w:tcMar>
          </w:tcPr>
          <w:p>
            <w:r>
              <w:rPr>
                <w:rFonts w:ascii="Calibri" w:hAnsi="Calibri"/>
                <w:color w:val="1A202C"/>
                <w:sz w:val="18"/>
              </w:rPr>
              <w:t>Elevated ALT/AST ratio, High BMI, Triglycerides, and Dysbiosis markers.</w:t>
            </w:r>
          </w:p>
        </w:tc>
        <w:tc>
          <w:tcPr>
            <w:tcW w:type="dxa" w:w="2880"/>
            <w:shd w:fill="FFFFFF"/>
            <w:tcMar>
              <w:top w:w="80" w:type="dxa"/>
              <w:bottom w:w="80" w:type="dxa"/>
              <w:left w:w="120" w:type="dxa"/>
              <w:right w:w="120" w:type="dxa"/>
            </w:tcMar>
          </w:tcPr>
          <w:p>
            <w:r>
              <w:rPr>
                <w:rFonts w:ascii="Calibri" w:hAnsi="Calibri"/>
                <w:color w:val="1A202C"/>
                <w:sz w:val="18"/>
              </w:rPr>
              <w:t>Clinical (Hepatic), Gut Microbiome</w:t>
            </w:r>
          </w:p>
        </w:tc>
      </w:tr>
    </w:tbl>
    <w:p>
      <w:pPr>
        <w:keepNext/>
        <w:spacing w:before="280" w:after="120"/>
      </w:pPr>
      <w:r>
        <w:rPr>
          <w:rFonts w:ascii="Calibri" w:hAnsi="Calibri"/>
          <w:b/>
          <w:color w:val="1B365D"/>
          <w:sz w:val="32"/>
        </w:rPr>
        <w:t>8. MACHINE LEARNING ARCHITECTURE</w:t>
      </w:r>
    </w:p>
    <w:p>
      <w:pPr>
        <w:spacing w:before="0" w:after="100" w:line="276" w:lineRule="auto"/>
      </w:pPr>
      <w:r>
        <w:rPr>
          <w:rFonts w:ascii="Calibri" w:hAnsi="Calibri"/>
          <w:color w:val="1A202C"/>
          <w:sz w:val="21"/>
        </w:rPr>
        <w:t>TeleMed implements a decoupled multi-expert architecture. Instead of concatenating raw features from different domains into a single hyper-sparse vector, dedicated expert algorithms are trained on domain-specific feature tensors:</w:t>
      </w:r>
    </w:p>
    <w:p>
      <w:pPr>
        <w:pStyle w:val="ListBullet"/>
        <w:spacing w:before="0" w:after="60" w:line="276" w:lineRule="auto"/>
      </w:pPr>
      <w:r>
        <w:rPr>
          <w:rFonts w:ascii="Calibri" w:hAnsi="Calibri"/>
          <w:b/>
          <w:color w:val="1A202C"/>
          <w:sz w:val="21"/>
        </w:rPr>
        <w:t xml:space="preserve">Clinical Expert (CatBoost): </w:t>
      </w:r>
      <w:r>
        <w:rPr>
          <w:rFonts w:ascii="Calibri" w:hAnsi="Calibri"/>
          <w:color w:val="1A202C"/>
          <w:sz w:val="21"/>
        </w:rPr>
        <w:t>Gradient boosted decision trees optimized for tabular lab biomarkers and clinical risk factors. Handles missing clinical entries natively via symmetric trees.</w:t>
      </w:r>
    </w:p>
    <w:p>
      <w:pPr>
        <w:pStyle w:val="ListBullet"/>
        <w:spacing w:before="0" w:after="60" w:line="276" w:lineRule="auto"/>
      </w:pPr>
      <w:r>
        <w:rPr>
          <w:rFonts w:ascii="Calibri" w:hAnsi="Calibri"/>
          <w:b/>
          <w:color w:val="1A202C"/>
          <w:sz w:val="21"/>
        </w:rPr>
        <w:t xml:space="preserve">Wearable/CGM Expert (XGBoost): </w:t>
      </w:r>
      <w:r>
        <w:rPr>
          <w:rFonts w:ascii="Calibri" w:hAnsi="Calibri"/>
          <w:color w:val="1A202C"/>
          <w:sz w:val="21"/>
        </w:rPr>
        <w:t>Gradient boosted trees optimized for continuous physiological sensor metrics and CGM glycemic dynamics.</w:t>
      </w:r>
    </w:p>
    <w:p>
      <w:pPr>
        <w:pStyle w:val="ListBullet"/>
        <w:spacing w:before="0" w:after="60" w:line="276" w:lineRule="auto"/>
      </w:pPr>
      <w:r>
        <w:rPr>
          <w:rFonts w:ascii="Calibri" w:hAnsi="Calibri"/>
          <w:b/>
          <w:color w:val="1A202C"/>
          <w:sz w:val="21"/>
        </w:rPr>
        <w:t xml:space="preserve">Gut Microbiome Expert (CatBoost): </w:t>
      </w:r>
      <w:r>
        <w:rPr>
          <w:rFonts w:ascii="Calibri" w:hAnsi="Calibri"/>
          <w:color w:val="1A202C"/>
          <w:sz w:val="21"/>
        </w:rPr>
        <w:t>Gradient boosted trees optimized for non-linear compositional microbiome abundances and non-Euclidean ecological index spaces.</w:t>
      </w:r>
    </w:p>
    <w:p>
      <w:pPr>
        <w:keepNext/>
        <w:spacing w:before="280" w:after="120"/>
      </w:pPr>
      <w:r>
        <w:rPr>
          <w:rFonts w:ascii="Calibri" w:hAnsi="Calibri"/>
          <w:b/>
          <w:color w:val="1B365D"/>
          <w:sz w:val="32"/>
        </w:rPr>
        <w:t>9. MULTIMODAL FUSION &amp; 7-PATHWAY ENGINE</w:t>
      </w:r>
    </w:p>
    <w:p>
      <w:pPr>
        <w:spacing w:before="0" w:after="100" w:line="276" w:lineRule="auto"/>
      </w:pPr>
      <w:r>
        <w:rPr>
          <w:rFonts w:ascii="Calibri" w:hAnsi="Calibri"/>
          <w:color w:val="1A202C"/>
          <w:sz w:val="21"/>
        </w:rPr>
        <w:t>Patients frequently present with incomplete datasets (e.g., submitting lab results and wearable data without gut microbiome sequencing). TeleMed solves this using a Stacking Meta-Learner that dynamically routes available data across 7 distinct fusion pathways: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584"/>
            <w:shd w:fill="1B365D"/>
            <w:tcMar>
              <w:top w:w="100" w:type="dxa"/>
              <w:bottom w:w="100" w:type="dxa"/>
              <w:left w:w="120" w:type="dxa"/>
              <w:right w:w="120" w:type="dxa"/>
            </w:tcMar>
          </w:tcPr>
          <w:p>
            <w:pPr>
              <w:jc w:val="left"/>
            </w:pPr>
            <w:r>
              <w:rPr>
                <w:rFonts w:ascii="Calibri" w:hAnsi="Calibri"/>
                <w:b/>
                <w:color w:val="FFFFFF"/>
                <w:sz w:val="19"/>
              </w:rPr>
              <w:t>Pathway ID</w:t>
            </w:r>
          </w:p>
        </w:tc>
        <w:tc>
          <w:tcPr>
            <w:tcW w:type="dxa" w:w="2592"/>
            <w:shd w:fill="1B365D"/>
            <w:tcMar>
              <w:top w:w="100" w:type="dxa"/>
              <w:bottom w:w="100" w:type="dxa"/>
              <w:left w:w="120" w:type="dxa"/>
              <w:right w:w="120" w:type="dxa"/>
            </w:tcMar>
          </w:tcPr>
          <w:p>
            <w:pPr>
              <w:jc w:val="left"/>
            </w:pPr>
            <w:r>
              <w:rPr>
                <w:rFonts w:ascii="Calibri" w:hAnsi="Calibri"/>
                <w:b/>
                <w:color w:val="FFFFFF"/>
                <w:sz w:val="19"/>
              </w:rPr>
              <w:t>Active Modalities</w:t>
            </w:r>
          </w:p>
        </w:tc>
        <w:tc>
          <w:tcPr>
            <w:tcW w:type="dxa" w:w="3312"/>
            <w:shd w:fill="1B365D"/>
            <w:tcMar>
              <w:top w:w="100" w:type="dxa"/>
              <w:bottom w:w="100" w:type="dxa"/>
              <w:left w:w="120" w:type="dxa"/>
              <w:right w:w="120" w:type="dxa"/>
            </w:tcMar>
          </w:tcPr>
          <w:p>
            <w:pPr>
              <w:jc w:val="left"/>
            </w:pPr>
            <w:r>
              <w:rPr>
                <w:rFonts w:ascii="Calibri" w:hAnsi="Calibri"/>
                <w:b/>
                <w:color w:val="FFFFFF"/>
                <w:sz w:val="19"/>
              </w:rPr>
              <w:t>Input Vector to Fusion Engine</w:t>
            </w:r>
          </w:p>
        </w:tc>
        <w:tc>
          <w:tcPr>
            <w:tcW w:type="dxa" w:w="2160"/>
            <w:shd w:fill="1B365D"/>
            <w:tcMar>
              <w:top w:w="100" w:type="dxa"/>
              <w:bottom w:w="100" w:type="dxa"/>
              <w:left w:w="120" w:type="dxa"/>
              <w:right w:w="120" w:type="dxa"/>
            </w:tcMar>
          </w:tcPr>
          <w:p>
            <w:pPr>
              <w:jc w:val="left"/>
            </w:pPr>
            <w:r>
              <w:rPr>
                <w:rFonts w:ascii="Calibri" w:hAnsi="Calibri"/>
                <w:b/>
                <w:color w:val="FFFFFF"/>
                <w:sz w:val="19"/>
              </w:rPr>
              <w:t>Fallback / Execution Strategy</w:t>
            </w:r>
          </w:p>
        </w:tc>
      </w:tr>
      <w:tr>
        <w:tc>
          <w:tcPr>
            <w:tcW w:type="dxa" w:w="1584"/>
            <w:shd w:fill="FFFFFF"/>
            <w:tcMar>
              <w:top w:w="80" w:type="dxa"/>
              <w:bottom w:w="80" w:type="dxa"/>
              <w:left w:w="120" w:type="dxa"/>
              <w:right w:w="120" w:type="dxa"/>
            </w:tcMar>
          </w:tcPr>
          <w:p>
            <w:r>
              <w:rPr>
                <w:rFonts w:ascii="Calibri" w:hAnsi="Calibri"/>
                <w:color w:val="1A202C"/>
                <w:sz w:val="18"/>
              </w:rPr>
              <w:t>Pathway 1</w:t>
            </w:r>
          </w:p>
        </w:tc>
        <w:tc>
          <w:tcPr>
            <w:tcW w:type="dxa" w:w="2592"/>
            <w:shd w:fill="FFFFFF"/>
            <w:tcMar>
              <w:top w:w="80" w:type="dxa"/>
              <w:bottom w:w="80" w:type="dxa"/>
              <w:left w:w="120" w:type="dxa"/>
              <w:right w:w="120" w:type="dxa"/>
            </w:tcMar>
          </w:tcPr>
          <w:p>
            <w:r>
              <w:rPr>
                <w:rFonts w:ascii="Calibri" w:hAnsi="Calibri"/>
                <w:color w:val="1A202C"/>
                <w:sz w:val="18"/>
              </w:rPr>
              <w:t>Clinical Only</w:t>
            </w:r>
          </w:p>
        </w:tc>
        <w:tc>
          <w:tcPr>
            <w:tcW w:type="dxa" w:w="3312"/>
            <w:shd w:fill="FFFFFF"/>
            <w:tcMar>
              <w:top w:w="80" w:type="dxa"/>
              <w:bottom w:w="80" w:type="dxa"/>
              <w:left w:w="120" w:type="dxa"/>
              <w:right w:w="120" w:type="dxa"/>
            </w:tcMar>
          </w:tcPr>
          <w:p>
            <w:r>
              <w:rPr>
                <w:rFonts w:ascii="Calibri" w:hAnsi="Calibri"/>
                <w:color w:val="1A202C"/>
                <w:sz w:val="18"/>
              </w:rPr>
              <w:t>Clinical Expert Probabilities [5]</w:t>
            </w:r>
          </w:p>
        </w:tc>
        <w:tc>
          <w:tcPr>
            <w:tcW w:type="dxa" w:w="2160"/>
            <w:shd w:fill="FFFFFF"/>
            <w:tcMar>
              <w:top w:w="80" w:type="dxa"/>
              <w:bottom w:w="80" w:type="dxa"/>
              <w:left w:w="120" w:type="dxa"/>
              <w:right w:w="120" w:type="dxa"/>
            </w:tcMar>
          </w:tcPr>
          <w:p>
            <w:r>
              <w:rPr>
                <w:rFonts w:ascii="Calibri" w:hAnsi="Calibri"/>
                <w:color w:val="1A202C"/>
                <w:sz w:val="18"/>
              </w:rPr>
              <w:t>Direct Clinical Expert output scaling.</w:t>
            </w:r>
          </w:p>
        </w:tc>
      </w:tr>
      <w:tr>
        <w:tc>
          <w:tcPr>
            <w:tcW w:type="dxa" w:w="1584"/>
            <w:shd w:fill="F7FAFC"/>
            <w:tcMar>
              <w:top w:w="80" w:type="dxa"/>
              <w:bottom w:w="80" w:type="dxa"/>
              <w:left w:w="120" w:type="dxa"/>
              <w:right w:w="120" w:type="dxa"/>
            </w:tcMar>
          </w:tcPr>
          <w:p>
            <w:r>
              <w:rPr>
                <w:rFonts w:ascii="Calibri" w:hAnsi="Calibri"/>
                <w:color w:val="1A202C"/>
                <w:sz w:val="18"/>
              </w:rPr>
              <w:t>Pathway 2</w:t>
            </w:r>
          </w:p>
        </w:tc>
        <w:tc>
          <w:tcPr>
            <w:tcW w:type="dxa" w:w="2592"/>
            <w:shd w:fill="F7FAFC"/>
            <w:tcMar>
              <w:top w:w="80" w:type="dxa"/>
              <w:bottom w:w="80" w:type="dxa"/>
              <w:left w:w="120" w:type="dxa"/>
              <w:right w:w="120" w:type="dxa"/>
            </w:tcMar>
          </w:tcPr>
          <w:p>
            <w:r>
              <w:rPr>
                <w:rFonts w:ascii="Calibri" w:hAnsi="Calibri"/>
                <w:color w:val="1A202C"/>
                <w:sz w:val="18"/>
              </w:rPr>
              <w:t>Wearable/CGM Only</w:t>
            </w:r>
          </w:p>
        </w:tc>
        <w:tc>
          <w:tcPr>
            <w:tcW w:type="dxa" w:w="3312"/>
            <w:shd w:fill="F7FAFC"/>
            <w:tcMar>
              <w:top w:w="80" w:type="dxa"/>
              <w:bottom w:w="80" w:type="dxa"/>
              <w:left w:w="120" w:type="dxa"/>
              <w:right w:w="120" w:type="dxa"/>
            </w:tcMar>
          </w:tcPr>
          <w:p>
            <w:r>
              <w:rPr>
                <w:rFonts w:ascii="Calibri" w:hAnsi="Calibri"/>
                <w:color w:val="1A202C"/>
                <w:sz w:val="18"/>
              </w:rPr>
              <w:t>Wearable Expert Probabilities [5]</w:t>
            </w:r>
          </w:p>
        </w:tc>
        <w:tc>
          <w:tcPr>
            <w:tcW w:type="dxa" w:w="2160"/>
            <w:shd w:fill="F7FAFC"/>
            <w:tcMar>
              <w:top w:w="80" w:type="dxa"/>
              <w:bottom w:w="80" w:type="dxa"/>
              <w:left w:w="120" w:type="dxa"/>
              <w:right w:w="120" w:type="dxa"/>
            </w:tcMar>
          </w:tcPr>
          <w:p>
            <w:r>
              <w:rPr>
                <w:rFonts w:ascii="Calibri" w:hAnsi="Calibri"/>
                <w:color w:val="1A202C"/>
                <w:sz w:val="18"/>
              </w:rPr>
              <w:t>Direct Wearable Expert output scaling.</w:t>
            </w:r>
          </w:p>
        </w:tc>
      </w:tr>
      <w:tr>
        <w:tc>
          <w:tcPr>
            <w:tcW w:type="dxa" w:w="1584"/>
            <w:shd w:fill="FFFFFF"/>
            <w:tcMar>
              <w:top w:w="80" w:type="dxa"/>
              <w:bottom w:w="80" w:type="dxa"/>
              <w:left w:w="120" w:type="dxa"/>
              <w:right w:w="120" w:type="dxa"/>
            </w:tcMar>
          </w:tcPr>
          <w:p>
            <w:r>
              <w:rPr>
                <w:rFonts w:ascii="Calibri" w:hAnsi="Calibri"/>
                <w:color w:val="1A202C"/>
                <w:sz w:val="18"/>
              </w:rPr>
              <w:t>Pathway 3</w:t>
            </w:r>
          </w:p>
        </w:tc>
        <w:tc>
          <w:tcPr>
            <w:tcW w:type="dxa" w:w="2592"/>
            <w:shd w:fill="FFFFFF"/>
            <w:tcMar>
              <w:top w:w="80" w:type="dxa"/>
              <w:bottom w:w="80" w:type="dxa"/>
              <w:left w:w="120" w:type="dxa"/>
              <w:right w:w="120" w:type="dxa"/>
            </w:tcMar>
          </w:tcPr>
          <w:p>
            <w:r>
              <w:rPr>
                <w:rFonts w:ascii="Calibri" w:hAnsi="Calibri"/>
                <w:color w:val="1A202C"/>
                <w:sz w:val="18"/>
              </w:rPr>
              <w:t>Gut Microbiome Only</w:t>
            </w:r>
          </w:p>
        </w:tc>
        <w:tc>
          <w:tcPr>
            <w:tcW w:type="dxa" w:w="3312"/>
            <w:shd w:fill="FFFFFF"/>
            <w:tcMar>
              <w:top w:w="80" w:type="dxa"/>
              <w:bottom w:w="80" w:type="dxa"/>
              <w:left w:w="120" w:type="dxa"/>
              <w:right w:w="120" w:type="dxa"/>
            </w:tcMar>
          </w:tcPr>
          <w:p>
            <w:r>
              <w:rPr>
                <w:rFonts w:ascii="Calibri" w:hAnsi="Calibri"/>
                <w:color w:val="1A202C"/>
                <w:sz w:val="18"/>
              </w:rPr>
              <w:t>Gut Expert Probabilities [5]</w:t>
            </w:r>
          </w:p>
        </w:tc>
        <w:tc>
          <w:tcPr>
            <w:tcW w:type="dxa" w:w="2160"/>
            <w:shd w:fill="FFFFFF"/>
            <w:tcMar>
              <w:top w:w="80" w:type="dxa"/>
              <w:bottom w:w="80" w:type="dxa"/>
              <w:left w:w="120" w:type="dxa"/>
              <w:right w:w="120" w:type="dxa"/>
            </w:tcMar>
          </w:tcPr>
          <w:p>
            <w:r>
              <w:rPr>
                <w:rFonts w:ascii="Calibri" w:hAnsi="Calibri"/>
                <w:color w:val="1A202C"/>
                <w:sz w:val="18"/>
              </w:rPr>
              <w:t>Direct Microbiome Expert output scaling.</w:t>
            </w:r>
          </w:p>
        </w:tc>
      </w:tr>
      <w:tr>
        <w:tc>
          <w:tcPr>
            <w:tcW w:type="dxa" w:w="1584"/>
            <w:shd w:fill="F7FAFC"/>
            <w:tcMar>
              <w:top w:w="80" w:type="dxa"/>
              <w:bottom w:w="80" w:type="dxa"/>
              <w:left w:w="120" w:type="dxa"/>
              <w:right w:w="120" w:type="dxa"/>
            </w:tcMar>
          </w:tcPr>
          <w:p>
            <w:r>
              <w:rPr>
                <w:rFonts w:ascii="Calibri" w:hAnsi="Calibri"/>
                <w:color w:val="1A202C"/>
                <w:sz w:val="18"/>
              </w:rPr>
              <w:t>Pathway 4</w:t>
            </w:r>
          </w:p>
        </w:tc>
        <w:tc>
          <w:tcPr>
            <w:tcW w:type="dxa" w:w="2592"/>
            <w:shd w:fill="F7FAFC"/>
            <w:tcMar>
              <w:top w:w="80" w:type="dxa"/>
              <w:bottom w:w="80" w:type="dxa"/>
              <w:left w:w="120" w:type="dxa"/>
              <w:right w:w="120" w:type="dxa"/>
            </w:tcMar>
          </w:tcPr>
          <w:p>
            <w:r>
              <w:rPr>
                <w:rFonts w:ascii="Calibri" w:hAnsi="Calibri"/>
                <w:color w:val="1A202C"/>
                <w:sz w:val="18"/>
              </w:rPr>
              <w:t>Clinical + Wearable</w:t>
            </w:r>
          </w:p>
        </w:tc>
        <w:tc>
          <w:tcPr>
            <w:tcW w:type="dxa" w:w="3312"/>
            <w:shd w:fill="F7FAFC"/>
            <w:tcMar>
              <w:top w:w="80" w:type="dxa"/>
              <w:bottom w:w="80" w:type="dxa"/>
              <w:left w:w="120" w:type="dxa"/>
              <w:right w:w="120" w:type="dxa"/>
            </w:tcMar>
          </w:tcPr>
          <w:p>
            <w:r>
              <w:rPr>
                <w:rFonts w:ascii="Calibri" w:hAnsi="Calibri"/>
                <w:color w:val="1A202C"/>
                <w:sz w:val="18"/>
              </w:rPr>
              <w:t>Concatenated [Clinical_Prob, Wearable_Prob]</w:t>
            </w:r>
          </w:p>
        </w:tc>
        <w:tc>
          <w:tcPr>
            <w:tcW w:type="dxa" w:w="2160"/>
            <w:shd w:fill="F7FAFC"/>
            <w:tcMar>
              <w:top w:w="80" w:type="dxa"/>
              <w:bottom w:w="80" w:type="dxa"/>
              <w:left w:w="120" w:type="dxa"/>
              <w:right w:w="120" w:type="dxa"/>
            </w:tcMar>
          </w:tcPr>
          <w:p>
            <w:r>
              <w:rPr>
                <w:rFonts w:ascii="Calibri" w:hAnsi="Calibri"/>
                <w:color w:val="1A202C"/>
                <w:sz w:val="18"/>
              </w:rPr>
              <w:t>Meta-Learner Stacking Model 4.</w:t>
            </w:r>
          </w:p>
        </w:tc>
      </w:tr>
      <w:tr>
        <w:tc>
          <w:tcPr>
            <w:tcW w:type="dxa" w:w="1584"/>
            <w:shd w:fill="FFFFFF"/>
            <w:tcMar>
              <w:top w:w="80" w:type="dxa"/>
              <w:bottom w:w="80" w:type="dxa"/>
              <w:left w:w="120" w:type="dxa"/>
              <w:right w:w="120" w:type="dxa"/>
            </w:tcMar>
          </w:tcPr>
          <w:p>
            <w:r>
              <w:rPr>
                <w:rFonts w:ascii="Calibri" w:hAnsi="Calibri"/>
                <w:color w:val="1A202C"/>
                <w:sz w:val="18"/>
              </w:rPr>
              <w:t>Pathway 5</w:t>
            </w:r>
          </w:p>
        </w:tc>
        <w:tc>
          <w:tcPr>
            <w:tcW w:type="dxa" w:w="2592"/>
            <w:shd w:fill="FFFFFF"/>
            <w:tcMar>
              <w:top w:w="80" w:type="dxa"/>
              <w:bottom w:w="80" w:type="dxa"/>
              <w:left w:w="120" w:type="dxa"/>
              <w:right w:w="120" w:type="dxa"/>
            </w:tcMar>
          </w:tcPr>
          <w:p>
            <w:r>
              <w:rPr>
                <w:rFonts w:ascii="Calibri" w:hAnsi="Calibri"/>
                <w:color w:val="1A202C"/>
                <w:sz w:val="18"/>
              </w:rPr>
              <w:t>Clinical + Gut</w:t>
            </w:r>
          </w:p>
        </w:tc>
        <w:tc>
          <w:tcPr>
            <w:tcW w:type="dxa" w:w="3312"/>
            <w:shd w:fill="FFFFFF"/>
            <w:tcMar>
              <w:top w:w="80" w:type="dxa"/>
              <w:bottom w:w="80" w:type="dxa"/>
              <w:left w:w="120" w:type="dxa"/>
              <w:right w:w="120" w:type="dxa"/>
            </w:tcMar>
          </w:tcPr>
          <w:p>
            <w:r>
              <w:rPr>
                <w:rFonts w:ascii="Calibri" w:hAnsi="Calibri"/>
                <w:color w:val="1A202C"/>
                <w:sz w:val="18"/>
              </w:rPr>
              <w:t>Concatenated [Clinical_Prob, Gut_Prob]</w:t>
            </w:r>
          </w:p>
        </w:tc>
        <w:tc>
          <w:tcPr>
            <w:tcW w:type="dxa" w:w="2160"/>
            <w:shd w:fill="FFFFFF"/>
            <w:tcMar>
              <w:top w:w="80" w:type="dxa"/>
              <w:bottom w:w="80" w:type="dxa"/>
              <w:left w:w="120" w:type="dxa"/>
              <w:right w:w="120" w:type="dxa"/>
            </w:tcMar>
          </w:tcPr>
          <w:p>
            <w:r>
              <w:rPr>
                <w:rFonts w:ascii="Calibri" w:hAnsi="Calibri"/>
                <w:color w:val="1A202C"/>
                <w:sz w:val="18"/>
              </w:rPr>
              <w:t>Meta-Learner Stacking Model 5.</w:t>
            </w:r>
          </w:p>
        </w:tc>
      </w:tr>
      <w:tr>
        <w:tc>
          <w:tcPr>
            <w:tcW w:type="dxa" w:w="1584"/>
            <w:shd w:fill="F7FAFC"/>
            <w:tcMar>
              <w:top w:w="80" w:type="dxa"/>
              <w:bottom w:w="80" w:type="dxa"/>
              <w:left w:w="120" w:type="dxa"/>
              <w:right w:w="120" w:type="dxa"/>
            </w:tcMar>
          </w:tcPr>
          <w:p>
            <w:r>
              <w:rPr>
                <w:rFonts w:ascii="Calibri" w:hAnsi="Calibri"/>
                <w:color w:val="1A202C"/>
                <w:sz w:val="18"/>
              </w:rPr>
              <w:t>Pathway 6</w:t>
            </w:r>
          </w:p>
        </w:tc>
        <w:tc>
          <w:tcPr>
            <w:tcW w:type="dxa" w:w="2592"/>
            <w:shd w:fill="F7FAFC"/>
            <w:tcMar>
              <w:top w:w="80" w:type="dxa"/>
              <w:bottom w:w="80" w:type="dxa"/>
              <w:left w:w="120" w:type="dxa"/>
              <w:right w:w="120" w:type="dxa"/>
            </w:tcMar>
          </w:tcPr>
          <w:p>
            <w:r>
              <w:rPr>
                <w:rFonts w:ascii="Calibri" w:hAnsi="Calibri"/>
                <w:color w:val="1A202C"/>
                <w:sz w:val="18"/>
              </w:rPr>
              <w:t>Wearable + Gut</w:t>
            </w:r>
          </w:p>
        </w:tc>
        <w:tc>
          <w:tcPr>
            <w:tcW w:type="dxa" w:w="3312"/>
            <w:shd w:fill="F7FAFC"/>
            <w:tcMar>
              <w:top w:w="80" w:type="dxa"/>
              <w:bottom w:w="80" w:type="dxa"/>
              <w:left w:w="120" w:type="dxa"/>
              <w:right w:w="120" w:type="dxa"/>
            </w:tcMar>
          </w:tcPr>
          <w:p>
            <w:r>
              <w:rPr>
                <w:rFonts w:ascii="Calibri" w:hAnsi="Calibri"/>
                <w:color w:val="1A202C"/>
                <w:sz w:val="18"/>
              </w:rPr>
              <w:t>Concatenated [Wearable_Prob, Gut_Prob]</w:t>
            </w:r>
          </w:p>
        </w:tc>
        <w:tc>
          <w:tcPr>
            <w:tcW w:type="dxa" w:w="2160"/>
            <w:shd w:fill="F7FAFC"/>
            <w:tcMar>
              <w:top w:w="80" w:type="dxa"/>
              <w:bottom w:w="80" w:type="dxa"/>
              <w:left w:w="120" w:type="dxa"/>
              <w:right w:w="120" w:type="dxa"/>
            </w:tcMar>
          </w:tcPr>
          <w:p>
            <w:r>
              <w:rPr>
                <w:rFonts w:ascii="Calibri" w:hAnsi="Calibri"/>
                <w:color w:val="1A202C"/>
                <w:sz w:val="18"/>
              </w:rPr>
              <w:t>Meta-Learner Stacking Model 6.</w:t>
            </w:r>
          </w:p>
        </w:tc>
      </w:tr>
      <w:tr>
        <w:tc>
          <w:tcPr>
            <w:tcW w:type="dxa" w:w="1584"/>
            <w:shd w:fill="FFFFFF"/>
            <w:tcMar>
              <w:top w:w="80" w:type="dxa"/>
              <w:bottom w:w="80" w:type="dxa"/>
              <w:left w:w="120" w:type="dxa"/>
              <w:right w:w="120" w:type="dxa"/>
            </w:tcMar>
          </w:tcPr>
          <w:p>
            <w:r>
              <w:rPr>
                <w:rFonts w:ascii="Calibri" w:hAnsi="Calibri"/>
                <w:color w:val="1A202C"/>
                <w:sz w:val="18"/>
              </w:rPr>
              <w:t>Pathway 7</w:t>
            </w:r>
          </w:p>
        </w:tc>
        <w:tc>
          <w:tcPr>
            <w:tcW w:type="dxa" w:w="2592"/>
            <w:shd w:fill="FFFFFF"/>
            <w:tcMar>
              <w:top w:w="80" w:type="dxa"/>
              <w:bottom w:w="80" w:type="dxa"/>
              <w:left w:w="120" w:type="dxa"/>
              <w:right w:w="120" w:type="dxa"/>
            </w:tcMar>
          </w:tcPr>
          <w:p>
            <w:r>
              <w:rPr>
                <w:rFonts w:ascii="Calibri" w:hAnsi="Calibri"/>
                <w:color w:val="1A202C"/>
                <w:sz w:val="18"/>
              </w:rPr>
              <w:t>Clinical + Wearable + Gut</w:t>
            </w:r>
          </w:p>
        </w:tc>
        <w:tc>
          <w:tcPr>
            <w:tcW w:type="dxa" w:w="3312"/>
            <w:shd w:fill="FFFFFF"/>
            <w:tcMar>
              <w:top w:w="80" w:type="dxa"/>
              <w:bottom w:w="80" w:type="dxa"/>
              <w:left w:w="120" w:type="dxa"/>
              <w:right w:w="120" w:type="dxa"/>
            </w:tcMar>
          </w:tcPr>
          <w:p>
            <w:r>
              <w:rPr>
                <w:rFonts w:ascii="Calibri" w:hAnsi="Calibri"/>
                <w:color w:val="1A202C"/>
                <w:sz w:val="18"/>
              </w:rPr>
              <w:t>Concatenated [Clin_Prob, Wear_Prob, Gut_Prob]</w:t>
            </w:r>
          </w:p>
        </w:tc>
        <w:tc>
          <w:tcPr>
            <w:tcW w:type="dxa" w:w="2160"/>
            <w:shd w:fill="FFFFFF"/>
            <w:tcMar>
              <w:top w:w="80" w:type="dxa"/>
              <w:bottom w:w="80" w:type="dxa"/>
              <w:left w:w="120" w:type="dxa"/>
              <w:right w:w="120" w:type="dxa"/>
            </w:tcMar>
          </w:tcPr>
          <w:p>
            <w:r>
              <w:rPr>
                <w:rFonts w:ascii="Calibri" w:hAnsi="Calibri"/>
                <w:color w:val="1A202C"/>
                <w:sz w:val="18"/>
              </w:rPr>
              <w:t>Full Multimodal Stacking Meta-Learner 7.</w:t>
            </w:r>
          </w:p>
        </w:tc>
      </w:tr>
    </w:tbl>
    <w:p>
      <w:pPr>
        <w:keepNext/>
        <w:spacing w:before="280" w:after="120"/>
      </w:pPr>
      <w:r>
        <w:rPr>
          <w:rFonts w:ascii="Calibri" w:hAnsi="Calibri"/>
          <w:b/>
          <w:color w:val="1B365D"/>
          <w:sz w:val="32"/>
        </w:rPr>
        <w:t>10. EXPLAINABLE AI (TreeSHAP)</w:t>
      </w:r>
    </w:p>
    <w:p>
      <w:pPr>
        <w:spacing w:before="0" w:after="100" w:line="276" w:lineRule="auto"/>
      </w:pPr>
      <w:r>
        <w:rPr>
          <w:rFonts w:ascii="Calibri" w:hAnsi="Calibri"/>
          <w:color w:val="1A202C"/>
          <w:sz w:val="21"/>
        </w:rPr>
        <w:t>To eliminate the 'black-box' nature of gradient boosted ensembles, TeleMed integrates TreeSHAP (SHapley Additive exPlanations). TreeSHAP calculates exact additive feature attributions based on cooperative game theory. For every prediction, the system outputs local feature impact scores explaining exactly how much each biomarker or bacterial taxon pushed the risk score above or below the baseline population average.</w:t>
      </w:r>
    </w:p>
    <w:p>
      <w:pPr>
        <w:keepNext/>
        <w:spacing w:before="280" w:after="120"/>
      </w:pPr>
      <w:r>
        <w:rPr>
          <w:rFonts w:ascii="Calibri" w:hAnsi="Calibri"/>
          <w:b/>
          <w:color w:val="1B365D"/>
          <w:sz w:val="32"/>
        </w:rPr>
        <w:t>11. MEDICAL RAG ENGINE</w:t>
      </w:r>
    </w:p>
    <w:p>
      <w:pPr>
        <w:spacing w:before="0" w:after="100" w:line="276" w:lineRule="auto"/>
      </w:pPr>
      <w:r>
        <w:rPr>
          <w:rFonts w:ascii="Calibri" w:hAnsi="Calibri"/>
          <w:color w:val="1A202C"/>
          <w:sz w:val="21"/>
        </w:rPr>
        <w:t>The Medical Retrieval-Augmented Generation (RAG) module grounds AI reports in peer-reviewed medical literature. Peer-reviewed clinical guidelines (ADA Standards of Care, EASD, AASLD NAFLD Guidelines) are chunked, embedded using vector models, and stored in a FAISS vector index. When an assessment completes, top TreeSHAP risk factors query the FAISS index to retrieve the top-k (k=3) relevant clinical evidence passages.</w:t>
      </w:r>
    </w:p>
    <w:p>
      <w:pPr>
        <w:keepNext/>
        <w:spacing w:before="280" w:after="120"/>
      </w:pPr>
      <w:r>
        <w:rPr>
          <w:rFonts w:ascii="Calibri" w:hAnsi="Calibri"/>
          <w:b/>
          <w:color w:val="1B365D"/>
          <w:sz w:val="32"/>
        </w:rPr>
        <w:t>12. GENERATIVE AI REPORT GENERATION</w:t>
      </w:r>
    </w:p>
    <w:p>
      <w:pPr>
        <w:spacing w:before="0" w:after="100" w:line="276" w:lineRule="auto"/>
      </w:pPr>
      <w:r>
        <w:rPr>
          <w:rFonts w:ascii="Calibri" w:hAnsi="Calibri"/>
          <w:color w:val="1A202C"/>
          <w:sz w:val="21"/>
        </w:rPr>
        <w:t>The Generative AI module uses an LLM to synthesize patient-friendly health summaries and physician clinical briefings. The prompt payload includes: (1) Patient Demographics, (2) Calculated Risk Probabilities, (3) Top 5 TreeSHAP Contributing Features, and (4) Retrieved Medical RAG Evidence Passages.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GENERATIVE AI SAFETY GUARDRAILS</w:t>
              <w:br/>
            </w:r>
            <w:r>
              <w:rPr>
                <w:rFonts w:ascii="Calibri" w:hAnsi="Calibri"/>
                <w:i/>
                <w:color w:val="1A202C"/>
                <w:sz w:val="19"/>
              </w:rPr>
              <w:t>SAFETY GUARDRAIL ENFORCEMENT: All generated reports pass through automated regex and structural validators. Reports containing forbidden phrases (e.g., 'diagnosed with', 'prescribe medication', 'guaranteed cure') or ungrounded claims are flagged and rejected automatically.</w:t>
            </w:r>
          </w:p>
        </w:tc>
      </w:tr>
    </w:tbl>
    <w:p/>
    <w:p>
      <w:pPr>
        <w:keepNext/>
        <w:spacing w:before="280" w:after="120"/>
      </w:pPr>
      <w:r>
        <w:rPr>
          <w:rFonts w:ascii="Calibri" w:hAnsi="Calibri"/>
          <w:b/>
          <w:color w:val="1B365D"/>
          <w:sz w:val="32"/>
        </w:rPr>
        <w:t>13. DATABASE &amp; PERSISTENCE REQUIREMENTS</w:t>
      </w:r>
    </w:p>
    <w:p>
      <w:pPr>
        <w:spacing w:before="0" w:after="100" w:line="276" w:lineRule="auto"/>
      </w:pPr>
      <w:r>
        <w:rPr>
          <w:rFonts w:ascii="Calibri" w:hAnsi="Calibri"/>
          <w:color w:val="1A202C"/>
          <w:sz w:val="21"/>
        </w:rPr>
        <w:t>TeleMed utilizes PostgreSQL 17 as its primary relational database engine. Core domain entities include:</w:t>
      </w:r>
    </w:p>
    <w:p>
      <w:pPr>
        <w:pStyle w:val="ListBullet"/>
        <w:spacing w:before="0" w:after="60" w:line="276" w:lineRule="auto"/>
      </w:pPr>
      <w:r>
        <w:rPr>
          <w:rFonts w:ascii="Calibri" w:hAnsi="Calibri"/>
          <w:b/>
          <w:color w:val="1A202C"/>
          <w:sz w:val="21"/>
        </w:rPr>
        <w:t xml:space="preserve">User Entity: </w:t>
      </w:r>
      <w:r>
        <w:rPr>
          <w:rFonts w:ascii="Calibri" w:hAnsi="Calibri"/>
          <w:color w:val="1A202C"/>
          <w:sz w:val="21"/>
        </w:rPr>
        <w:t>Stores account credentials, role (PATIENT, DOCTOR, ADMIN), and authentication metadata.</w:t>
      </w:r>
    </w:p>
    <w:p>
      <w:pPr>
        <w:pStyle w:val="ListBullet"/>
        <w:spacing w:before="0" w:after="60" w:line="276" w:lineRule="auto"/>
      </w:pPr>
      <w:r>
        <w:rPr>
          <w:rFonts w:ascii="Calibri" w:hAnsi="Calibri"/>
          <w:b/>
          <w:color w:val="1A202C"/>
          <w:sz w:val="21"/>
        </w:rPr>
        <w:t xml:space="preserve">PatientProfile Entity: </w:t>
      </w:r>
      <w:r>
        <w:rPr>
          <w:rFonts w:ascii="Calibri" w:hAnsi="Calibri"/>
          <w:color w:val="1A202C"/>
          <w:sz w:val="21"/>
        </w:rPr>
        <w:t>Stores demographic profiles, height, weight, BMI, and contact information.</w:t>
      </w:r>
    </w:p>
    <w:p>
      <w:pPr>
        <w:pStyle w:val="ListBullet"/>
        <w:spacing w:before="0" w:after="60" w:line="276" w:lineRule="auto"/>
      </w:pPr>
      <w:r>
        <w:rPr>
          <w:rFonts w:ascii="Calibri" w:hAnsi="Calibri"/>
          <w:b/>
          <w:color w:val="1A202C"/>
          <w:sz w:val="21"/>
        </w:rPr>
        <w:t xml:space="preserve">DoctorProfile Entity: </w:t>
      </w:r>
      <w:r>
        <w:rPr>
          <w:rFonts w:ascii="Calibri" w:hAnsi="Calibri"/>
          <w:color w:val="1A202C"/>
          <w:sz w:val="21"/>
        </w:rPr>
        <w:t>Stores medical license numbers, specialization, hospital affiliation, and verification status.</w:t>
      </w:r>
    </w:p>
    <w:p>
      <w:pPr>
        <w:pStyle w:val="ListBullet"/>
        <w:spacing w:before="0" w:after="60" w:line="276" w:lineRule="auto"/>
      </w:pPr>
      <w:r>
        <w:rPr>
          <w:rFonts w:ascii="Calibri" w:hAnsi="Calibri"/>
          <w:b/>
          <w:color w:val="1A202C"/>
          <w:sz w:val="21"/>
        </w:rPr>
        <w:t xml:space="preserve">HealthAssessment Entity: </w:t>
      </w:r>
      <w:r>
        <w:rPr>
          <w:rFonts w:ascii="Calibri" w:hAnsi="Calibri"/>
          <w:color w:val="1A202C"/>
          <w:sz w:val="21"/>
        </w:rPr>
        <w:t>Records assessment session timestamps, active pathway ID, and overall data quality scores.</w:t>
      </w:r>
    </w:p>
    <w:p>
      <w:pPr>
        <w:pStyle w:val="ListBullet"/>
        <w:spacing w:before="0" w:after="60" w:line="276" w:lineRule="auto"/>
      </w:pPr>
      <w:r>
        <w:rPr>
          <w:rFonts w:ascii="Calibri" w:hAnsi="Calibri"/>
          <w:b/>
          <w:color w:val="1A202C"/>
          <w:sz w:val="21"/>
        </w:rPr>
        <w:t xml:space="preserve">PredictionResult Entity: </w:t>
      </w:r>
      <w:r>
        <w:rPr>
          <w:rFonts w:ascii="Calibri" w:hAnsi="Calibri"/>
          <w:color w:val="1A202C"/>
          <w:sz w:val="21"/>
        </w:rPr>
        <w:t>Stores 5 target disease risk probability scores and category labels.</w:t>
      </w:r>
    </w:p>
    <w:p>
      <w:pPr>
        <w:pStyle w:val="ListBullet"/>
        <w:spacing w:before="0" w:after="60" w:line="276" w:lineRule="auto"/>
      </w:pPr>
      <w:r>
        <w:rPr>
          <w:rFonts w:ascii="Calibri" w:hAnsi="Calibri"/>
          <w:b/>
          <w:color w:val="1A202C"/>
          <w:sz w:val="21"/>
        </w:rPr>
        <w:t xml:space="preserve">XAIExplanation Entity: </w:t>
      </w:r>
      <w:r>
        <w:rPr>
          <w:rFonts w:ascii="Calibri" w:hAnsi="Calibri"/>
          <w:color w:val="1A202C"/>
          <w:sz w:val="21"/>
        </w:rPr>
        <w:t>Stores JSON-serialized TreeSHAP local feature attribution maps.</w:t>
      </w:r>
    </w:p>
    <w:p>
      <w:pPr>
        <w:pStyle w:val="ListBullet"/>
        <w:spacing w:before="0" w:after="60" w:line="276" w:lineRule="auto"/>
      </w:pPr>
      <w:r>
        <w:rPr>
          <w:rFonts w:ascii="Calibri" w:hAnsi="Calibri"/>
          <w:b/>
          <w:color w:val="1A202C"/>
          <w:sz w:val="21"/>
        </w:rPr>
        <w:t xml:space="preserve">ClinicalReport Entity: </w:t>
      </w:r>
      <w:r>
        <w:rPr>
          <w:rFonts w:ascii="Calibri" w:hAnsi="Calibri"/>
          <w:color w:val="1A202C"/>
          <w:sz w:val="21"/>
        </w:rPr>
        <w:t>Stores AI-generated clinical reports, RAG provenance metadata, and PDF storage paths.</w:t>
      </w:r>
    </w:p>
    <w:p>
      <w:pPr>
        <w:keepNext/>
        <w:spacing w:before="280" w:after="120"/>
      </w:pPr>
      <w:r>
        <w:rPr>
          <w:rFonts w:ascii="Calibri" w:hAnsi="Calibri"/>
          <w:b/>
          <w:color w:val="1B365D"/>
          <w:sz w:val="32"/>
        </w:rPr>
        <w:t>14. SYSTEM ARCHITECTURE &amp; TECH STACK</w:t>
      </w:r>
    </w:p>
    <w:p>
      <w:pPr>
        <w:spacing w:before="0" w:after="100" w:line="276" w:lineRule="auto"/>
      </w:pPr>
      <w:r>
        <w:rPr>
          <w:rFonts w:ascii="Calibri" w:hAnsi="Calibri"/>
          <w:color w:val="1A202C"/>
          <w:sz w:val="21"/>
        </w:rPr>
        <w:t>The platform is implemented using a modern multi-tier enterprise stack:</w:t>
      </w:r>
    </w:p>
    <w:p>
      <w:pPr>
        <w:pStyle w:val="ListBullet"/>
        <w:spacing w:before="0" w:after="60" w:line="276" w:lineRule="auto"/>
      </w:pPr>
      <w:r>
        <w:rPr>
          <w:rFonts w:ascii="Calibri" w:hAnsi="Calibri"/>
          <w:b/>
          <w:color w:val="1A202C"/>
          <w:sz w:val="21"/>
        </w:rPr>
        <w:t xml:space="preserve">Frontend Framework: </w:t>
      </w:r>
      <w:r>
        <w:rPr>
          <w:rFonts w:ascii="Calibri" w:hAnsi="Calibri"/>
          <w:color w:val="1A202C"/>
          <w:sz w:val="21"/>
        </w:rPr>
        <w:t>React 18 + Vite, TailwindCSS / Custom CSS Design Tokens, Lucide Icons.</w:t>
      </w:r>
    </w:p>
    <w:p>
      <w:pPr>
        <w:pStyle w:val="ListBullet"/>
        <w:spacing w:before="0" w:after="60" w:line="276" w:lineRule="auto"/>
      </w:pPr>
      <w:r>
        <w:rPr>
          <w:rFonts w:ascii="Calibri" w:hAnsi="Calibri"/>
          <w:b/>
          <w:color w:val="1A202C"/>
          <w:sz w:val="21"/>
        </w:rPr>
        <w:t xml:space="preserve">Backend REST Framework: </w:t>
      </w:r>
      <w:r>
        <w:rPr>
          <w:rFonts w:ascii="Calibri" w:hAnsi="Calibri"/>
          <w:color w:val="1A202C"/>
          <w:sz w:val="21"/>
        </w:rPr>
        <w:t>FastAPI (Python 3.12), Pydantic v2 validation, Uvicorn ASGI server.</w:t>
      </w:r>
    </w:p>
    <w:p>
      <w:pPr>
        <w:pStyle w:val="ListBullet"/>
        <w:spacing w:before="0" w:after="60" w:line="276" w:lineRule="auto"/>
      </w:pPr>
      <w:r>
        <w:rPr>
          <w:rFonts w:ascii="Calibri" w:hAnsi="Calibri"/>
          <w:b/>
          <w:color w:val="1A202C"/>
          <w:sz w:val="21"/>
        </w:rPr>
        <w:t xml:space="preserve">Database Engine: </w:t>
      </w:r>
      <w:r>
        <w:rPr>
          <w:rFonts w:ascii="Calibri" w:hAnsi="Calibri"/>
          <w:color w:val="1A202C"/>
          <w:sz w:val="21"/>
        </w:rPr>
        <w:t>PostgreSQL 17 with SQLAlchemy 2.0 ORM and Alembic migrations.</w:t>
      </w:r>
    </w:p>
    <w:p>
      <w:pPr>
        <w:pStyle w:val="ListBullet"/>
        <w:spacing w:before="0" w:after="60" w:line="276" w:lineRule="auto"/>
      </w:pPr>
      <w:r>
        <w:rPr>
          <w:rFonts w:ascii="Calibri" w:hAnsi="Calibri"/>
          <w:b/>
          <w:color w:val="1A202C"/>
          <w:sz w:val="21"/>
        </w:rPr>
        <w:t xml:space="preserve">Machine Learning Core: </w:t>
      </w:r>
      <w:r>
        <w:rPr>
          <w:rFonts w:ascii="Calibri" w:hAnsi="Calibri"/>
          <w:color w:val="1A202C"/>
          <w:sz w:val="21"/>
        </w:rPr>
        <w:t>CatBoost 1.2+, XGBoost 2.0+, Scikit-Learn 1.4+, TreeSHAP 0.44+.</w:t>
      </w:r>
    </w:p>
    <w:p>
      <w:pPr>
        <w:pStyle w:val="ListBullet"/>
        <w:spacing w:before="0" w:after="60" w:line="276" w:lineRule="auto"/>
      </w:pPr>
      <w:r>
        <w:rPr>
          <w:rFonts w:ascii="Calibri" w:hAnsi="Calibri"/>
          <w:b/>
          <w:color w:val="1A202C"/>
          <w:sz w:val="21"/>
        </w:rPr>
        <w:t xml:space="preserve">Vector RAG &amp; GenAI: </w:t>
      </w:r>
      <w:r>
        <w:rPr>
          <w:rFonts w:ascii="Calibri" w:hAnsi="Calibri"/>
          <w:color w:val="1A202C"/>
          <w:sz w:val="21"/>
        </w:rPr>
        <w:t>FAISS (Facebook AI Similarity Search), SentenceTransformers, LLM Integration.</w:t>
      </w:r>
    </w:p>
    <w:p>
      <w:pPr>
        <w:pStyle w:val="ListBullet"/>
        <w:spacing w:before="0" w:after="60" w:line="276" w:lineRule="auto"/>
      </w:pPr>
      <w:r>
        <w:rPr>
          <w:rFonts w:ascii="Calibri" w:hAnsi="Calibri"/>
          <w:b/>
          <w:color w:val="1A202C"/>
          <w:sz w:val="21"/>
        </w:rPr>
        <w:t xml:space="preserve">Containerization &amp; Ops: </w:t>
      </w:r>
      <w:r>
        <w:rPr>
          <w:rFonts w:ascii="Calibri" w:hAnsi="Calibri"/>
          <w:color w:val="1A202C"/>
          <w:sz w:val="21"/>
        </w:rPr>
        <w:t>Docker, Docker Compose, Redis, Prometheus, Grafana.</w:t>
      </w:r>
    </w:p>
    <w:p>
      <w:pPr>
        <w:keepNext/>
        <w:spacing w:before="280" w:after="120"/>
      </w:pPr>
      <w:r>
        <w:rPr>
          <w:rFonts w:ascii="Calibri" w:hAnsi="Calibri"/>
          <w:b/>
          <w:color w:val="1B365D"/>
          <w:sz w:val="32"/>
        </w:rPr>
        <w:t>15. SYSTEM UML DIAGRAMS</w:t>
      </w:r>
    </w:p>
    <w:p>
      <w:pPr>
        <w:spacing w:before="0" w:after="100" w:line="276" w:lineRule="auto"/>
      </w:pPr>
      <w:r>
        <w:rPr>
          <w:rFonts w:ascii="Calibri" w:hAnsi="Calibri"/>
          <w:color w:val="1A202C"/>
          <w:sz w:val="21"/>
        </w:rPr>
        <w:t>This section presents the foundational Object-Oriented and Structural UML models governing TeleMed:</w:t>
      </w:r>
    </w:p>
    <w:p>
      <w:pPr>
        <w:keepNext/>
        <w:spacing w:before="200" w:after="80"/>
      </w:pPr>
      <w:r>
        <w:rPr>
          <w:rFonts w:ascii="Calibri" w:hAnsi="Calibri"/>
          <w:b/>
          <w:color w:val="2B6CB0"/>
          <w:sz w:val="26"/>
        </w:rPr>
        <w:t>15.1 Use Case Diagram</w:t>
      </w:r>
    </w:p>
    <w:p>
      <w:pPr>
        <w:spacing w:before="0" w:after="100" w:line="276" w:lineRule="auto"/>
      </w:pPr>
      <w:r>
        <w:rPr>
          <w:rFonts w:ascii="Calibri" w:hAnsi="Calibri"/>
          <w:color w:val="1A202C"/>
          <w:sz w:val="21"/>
        </w:rPr>
        <w:t>The Use Case Diagram defines the interactions between human actors (Patient, Doctor, Administrator) and the TeleMed system boundary.</w:t>
      </w:r>
    </w:p>
    <w:p>
      <w:pPr>
        <w:spacing w:before="160" w:after="40"/>
        <w:jc w:val="center"/>
      </w:pPr>
      <w:r>
        <w:drawing>
          <wp:inline xmlns:a="http://schemas.openxmlformats.org/drawingml/2006/main" xmlns:pic="http://schemas.openxmlformats.org/drawingml/2006/picture">
            <wp:extent cx="5669280" cy="37636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3763640"/>
                    </a:xfrm>
                    <a:prstGeom prst="rect"/>
                  </pic:spPr>
                </pic:pic>
              </a:graphicData>
            </a:graphic>
          </wp:inline>
        </w:drawing>
      </w:r>
    </w:p>
    <w:p>
      <w:pPr>
        <w:keepNext/>
        <w:spacing w:before="40" w:after="240"/>
        <w:jc w:val="center"/>
      </w:pPr>
      <w:r>
        <w:rPr>
          <w:rFonts w:ascii="Calibri" w:hAnsi="Calibri"/>
          <w:b/>
          <w:i/>
          <w:color w:val="718096"/>
          <w:sz w:val="18"/>
        </w:rPr>
        <w:t>Figure 15.1: TeleMed Platform Use Case Model Diagram</w:t>
      </w:r>
    </w:p>
    <w:p>
      <w:pPr>
        <w:keepNext/>
        <w:spacing w:before="200" w:after="80"/>
      </w:pPr>
      <w:r>
        <w:rPr>
          <w:rFonts w:ascii="Calibri" w:hAnsi="Calibri"/>
          <w:b/>
          <w:color w:val="2B6CB0"/>
          <w:sz w:val="26"/>
        </w:rPr>
        <w:t>15.2 Class Diagram</w:t>
      </w:r>
    </w:p>
    <w:p>
      <w:pPr>
        <w:spacing w:before="0" w:after="100" w:line="276" w:lineRule="auto"/>
      </w:pPr>
      <w:r>
        <w:rPr>
          <w:rFonts w:ascii="Calibri" w:hAnsi="Calibri"/>
          <w:color w:val="1A202C"/>
          <w:sz w:val="21"/>
        </w:rPr>
        <w:t>The Class Diagram models the domain entities, ML expert classes, fusion engine, and database relationships.</w:t>
      </w:r>
    </w:p>
    <w:p>
      <w:pPr>
        <w:spacing w:before="160" w:after="40"/>
        <w:jc w:val="center"/>
      </w:pPr>
      <w:r>
        <w:drawing>
          <wp:inline xmlns:a="http://schemas.openxmlformats.org/drawingml/2006/main" xmlns:pic="http://schemas.openxmlformats.org/drawingml/2006/picture">
            <wp:extent cx="5669280" cy="4037833"/>
            <wp:docPr id="2" name="Picture 2"/>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669280" cy="4037833"/>
                    </a:xfrm>
                    <a:prstGeom prst="rect"/>
                  </pic:spPr>
                </pic:pic>
              </a:graphicData>
            </a:graphic>
          </wp:inline>
        </w:drawing>
      </w:r>
    </w:p>
    <w:p>
      <w:pPr>
        <w:keepNext/>
        <w:spacing w:before="40" w:after="240"/>
        <w:jc w:val="center"/>
      </w:pPr>
      <w:r>
        <w:rPr>
          <w:rFonts w:ascii="Calibri" w:hAnsi="Calibri"/>
          <w:b/>
          <w:i/>
          <w:color w:val="718096"/>
          <w:sz w:val="18"/>
        </w:rPr>
        <w:t>Figure 15.2: TeleMed Domain &amp; Class Architecture Diagram</w:t>
      </w:r>
    </w:p>
    <w:p>
      <w:pPr>
        <w:keepNext/>
        <w:spacing w:before="200" w:after="80"/>
      </w:pPr>
      <w:r>
        <w:rPr>
          <w:rFonts w:ascii="Calibri" w:hAnsi="Calibri"/>
          <w:b/>
          <w:color w:val="2B6CB0"/>
          <w:sz w:val="26"/>
        </w:rPr>
        <w:t>15.3 Sequence Diagram</w:t>
      </w:r>
    </w:p>
    <w:p>
      <w:pPr>
        <w:spacing w:before="0" w:after="100" w:line="276" w:lineRule="auto"/>
      </w:pPr>
      <w:r>
        <w:rPr>
          <w:rFonts w:ascii="Calibri" w:hAnsi="Calibri"/>
          <w:color w:val="1A202C"/>
          <w:sz w:val="21"/>
        </w:rPr>
        <w:t>The Sequence Diagram specifies the chronological message flow during a patient health assessment and report generation lifecycle.</w:t>
      </w:r>
    </w:p>
    <w:p>
      <w:pPr>
        <w:spacing w:before="160" w:after="40"/>
        <w:jc w:val="center"/>
      </w:pPr>
      <w:r>
        <w:drawing>
          <wp:inline xmlns:a="http://schemas.openxmlformats.org/drawingml/2006/main" xmlns:pic="http://schemas.openxmlformats.org/drawingml/2006/picture">
            <wp:extent cx="5669280" cy="3742145"/>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669280" cy="3742145"/>
                    </a:xfrm>
                    <a:prstGeom prst="rect"/>
                  </pic:spPr>
                </pic:pic>
              </a:graphicData>
            </a:graphic>
          </wp:inline>
        </w:drawing>
      </w:r>
    </w:p>
    <w:p>
      <w:pPr>
        <w:keepNext/>
        <w:spacing w:before="40" w:after="240"/>
        <w:jc w:val="center"/>
      </w:pPr>
      <w:r>
        <w:rPr>
          <w:rFonts w:ascii="Calibri" w:hAnsi="Calibri"/>
          <w:b/>
          <w:i/>
          <w:color w:val="718096"/>
          <w:sz w:val="18"/>
        </w:rPr>
        <w:t>Figure 15.3: Patient Health Assessment &amp; AI Report Generation Sequence Diagram</w:t>
      </w:r>
    </w:p>
    <w:p>
      <w:pPr>
        <w:keepNext/>
        <w:spacing w:before="200" w:after="80"/>
      </w:pPr>
      <w:r>
        <w:rPr>
          <w:rFonts w:ascii="Calibri" w:hAnsi="Calibri"/>
          <w:b/>
          <w:color w:val="2B6CB0"/>
          <w:sz w:val="26"/>
        </w:rPr>
        <w:t>15.4 Component Diagram</w:t>
      </w:r>
    </w:p>
    <w:p>
      <w:pPr>
        <w:spacing w:before="0" w:after="100" w:line="276" w:lineRule="auto"/>
      </w:pPr>
      <w:r>
        <w:rPr>
          <w:rFonts w:ascii="Calibri" w:hAnsi="Calibri"/>
          <w:color w:val="1A202C"/>
          <w:sz w:val="21"/>
        </w:rPr>
        <w:t>The Component Diagram details the multi-tier architectural layers from UI Presentation down to ML Core and Database Persistence.</w:t>
      </w:r>
    </w:p>
    <w:p>
      <w:pPr>
        <w:spacing w:before="160" w:after="40"/>
        <w:jc w:val="center"/>
      </w:pPr>
      <w:r>
        <w:drawing>
          <wp:inline xmlns:a="http://schemas.openxmlformats.org/drawingml/2006/main" xmlns:pic="http://schemas.openxmlformats.org/drawingml/2006/picture">
            <wp:extent cx="5669280" cy="3911364"/>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4"/>
                    <a:stretch>
                      <a:fillRect/>
                    </a:stretch>
                  </pic:blipFill>
                  <pic:spPr>
                    <a:xfrm>
                      <a:off x="0" y="0"/>
                      <a:ext cx="5669280" cy="3911364"/>
                    </a:xfrm>
                    <a:prstGeom prst="rect"/>
                  </pic:spPr>
                </pic:pic>
              </a:graphicData>
            </a:graphic>
          </wp:inline>
        </w:drawing>
      </w:r>
    </w:p>
    <w:p>
      <w:pPr>
        <w:keepNext/>
        <w:spacing w:before="40" w:after="240"/>
        <w:jc w:val="center"/>
      </w:pPr>
      <w:r>
        <w:rPr>
          <w:rFonts w:ascii="Calibri" w:hAnsi="Calibri"/>
          <w:b/>
          <w:i/>
          <w:color w:val="718096"/>
          <w:sz w:val="18"/>
        </w:rPr>
        <w:t>Figure 15.4: TeleMed Multi-Tier Component &amp; Layer Architecture Diagram</w:t>
      </w:r>
    </w:p>
    <w:p>
      <w:pPr>
        <w:keepNext/>
        <w:spacing w:before="280" w:after="120"/>
      </w:pPr>
      <w:r>
        <w:rPr>
          <w:rFonts w:ascii="Calibri" w:hAnsi="Calibri"/>
          <w:b/>
          <w:color w:val="1B365D"/>
          <w:sz w:val="32"/>
        </w:rPr>
        <w:t>16. DATA FLOW ARCHITECTURE</w:t>
      </w:r>
    </w:p>
    <w:p>
      <w:pPr>
        <w:spacing w:before="0" w:after="100" w:line="276" w:lineRule="auto"/>
      </w:pPr>
      <w:r>
        <w:rPr>
          <w:rFonts w:ascii="Calibri" w:hAnsi="Calibri"/>
          <w:color w:val="1A202C"/>
          <w:sz w:val="21"/>
        </w:rPr>
        <w:t>Data flows sequentially through 6 operational stages: (1) Ingestion &amp; Parse -&gt; (2) Bounds Check &amp; Unit Normalization -&gt; (3) Modality Expert ML Execution -&gt; (4) Stacking Fusion Meta-Inference -&gt; (5) TreeSHAP Attribution &amp; RAG Retrieval -&gt; (6) GenAI Report Formatting &amp; PostgreSQL Persistence.</w:t>
      </w:r>
    </w:p>
    <w:p>
      <w:pPr>
        <w:keepNext/>
        <w:spacing w:before="280" w:after="120"/>
      </w:pPr>
      <w:r>
        <w:rPr>
          <w:rFonts w:ascii="Calibri" w:hAnsi="Calibri"/>
          <w:b/>
          <w:color w:val="1B365D"/>
          <w:sz w:val="32"/>
        </w:rPr>
        <w:t>17. SECURITY, PRIVACY, AND AI SAFETY</w:t>
      </w:r>
    </w:p>
    <w:p>
      <w:pPr>
        <w:spacing w:before="0" w:after="100" w:line="276" w:lineRule="auto"/>
      </w:pPr>
      <w:r>
        <w:rPr>
          <w:rFonts w:ascii="Calibri" w:hAnsi="Calibri"/>
          <w:color w:val="1A202C"/>
          <w:sz w:val="21"/>
        </w:rPr>
        <w:t>Security measures include JWT bearer tokens, bcrypt/PBKDF2 password hashing, strict RBAC tenant isolation, CORS origin control, SQL injection prevention via SQLAlchemy parameterized queries, and mandatory medical AI safety disclaimers.</w:t>
      </w:r>
    </w:p>
    <w:p>
      <w:pPr>
        <w:keepNext/>
        <w:spacing w:before="280" w:after="120"/>
      </w:pPr>
      <w:r>
        <w:rPr>
          <w:rFonts w:ascii="Calibri" w:hAnsi="Calibri"/>
          <w:b/>
          <w:color w:val="1B365D"/>
          <w:sz w:val="32"/>
        </w:rPr>
        <w:t>18. TESTING &amp; EVALUATION REQUIREMENTS</w:t>
      </w:r>
    </w:p>
    <w:p>
      <w:pPr>
        <w:spacing w:before="0" w:after="100" w:line="276" w:lineRule="auto"/>
      </w:pPr>
      <w:r>
        <w:rPr>
          <w:rFonts w:ascii="Calibri" w:hAnsi="Calibri"/>
          <w:color w:val="1A202C"/>
          <w:sz w:val="21"/>
        </w:rPr>
        <w:t>Testing encompasses Unit Tests (PyTest), API Integration Tests, Security Penetration Scenarios, and ML Evaluation Metrics:</w:t>
      </w:r>
    </w:p>
    <w:p>
      <w:pPr>
        <w:pStyle w:val="ListBullet"/>
        <w:spacing w:before="0" w:after="60" w:line="276" w:lineRule="auto"/>
      </w:pPr>
      <w:r>
        <w:rPr>
          <w:rFonts w:ascii="Calibri" w:hAnsi="Calibri"/>
          <w:b/>
          <w:color w:val="1A202C"/>
          <w:sz w:val="21"/>
        </w:rPr>
        <w:t xml:space="preserve">ML Performance Metrics: </w:t>
      </w:r>
      <w:r>
        <w:rPr>
          <w:rFonts w:ascii="Calibri" w:hAnsi="Calibri"/>
          <w:color w:val="1A202C"/>
          <w:sz w:val="21"/>
        </w:rPr>
        <w:t>ROC-AUC (Target &gt; 0.88), PR-AUC (Target &gt; 0.82), Sensitivity / Recall (Target &gt; 0.85), Specificity (Target &gt; 0.85), F1-Score, Brier Calibration Score (&lt; 0.10).</w:t>
      </w:r>
    </w:p>
    <w:p>
      <w:pPr>
        <w:keepNext/>
        <w:spacing w:before="280" w:after="120"/>
      </w:pPr>
      <w:r>
        <w:rPr>
          <w:rFonts w:ascii="Calibri" w:hAnsi="Calibri"/>
          <w:b/>
          <w:color w:val="1B365D"/>
          <w:sz w:val="32"/>
        </w:rPr>
        <w:t>19. DEPLOYMENT ARCHITECTURE</w:t>
      </w:r>
    </w:p>
    <w:p>
      <w:pPr>
        <w:spacing w:before="0" w:after="100" w:line="276" w:lineRule="auto"/>
      </w:pPr>
      <w:r>
        <w:rPr>
          <w:rFonts w:ascii="Calibri" w:hAnsi="Calibri"/>
          <w:color w:val="1A202C"/>
          <w:sz w:val="21"/>
        </w:rPr>
        <w:t>Deployed via containerized Docker Compose services: (1) `telemed-frontend` (Vite / Nginx), (2) `telemed-backend` (FastAPI / Uvicorn), (3) `telemed-postgres` (PostgreSQL 17), and (4) `telemed-redis` (Cache / Task Queue).</w:t>
      </w:r>
    </w:p>
    <w:p>
      <w:pPr>
        <w:keepNext/>
        <w:spacing w:before="280" w:after="120"/>
      </w:pPr>
      <w:r>
        <w:rPr>
          <w:rFonts w:ascii="Calibri" w:hAnsi="Calibri"/>
          <w:b/>
          <w:color w:val="1B365D"/>
          <w:sz w:val="32"/>
        </w:rPr>
        <w:t>20. CONSTRAINTS AND LIMITATIONS</w:t>
      </w:r>
    </w:p>
    <w:p>
      <w:pPr>
        <w:pStyle w:val="ListBullet"/>
        <w:spacing w:before="0" w:after="60" w:line="276" w:lineRule="auto"/>
      </w:pPr>
      <w:r>
        <w:rPr>
          <w:rFonts w:ascii="Calibri" w:hAnsi="Calibri"/>
          <w:b/>
          <w:color w:val="1A202C"/>
          <w:sz w:val="21"/>
        </w:rPr>
        <w:t xml:space="preserve">Input Data Quality: </w:t>
      </w:r>
      <w:r>
        <w:rPr>
          <w:rFonts w:ascii="Calibri" w:hAnsi="Calibri"/>
          <w:color w:val="1A202C"/>
          <w:sz w:val="21"/>
        </w:rPr>
        <w:t>ML prediction quality is bounded by input feature accuracy and missing modality completeness.</w:t>
      </w:r>
    </w:p>
    <w:p>
      <w:pPr>
        <w:pStyle w:val="ListBullet"/>
        <w:spacing w:before="0" w:after="60" w:line="276" w:lineRule="auto"/>
      </w:pPr>
      <w:r>
        <w:rPr>
          <w:rFonts w:ascii="Calibri" w:hAnsi="Calibri"/>
          <w:b/>
          <w:color w:val="1A202C"/>
          <w:sz w:val="21"/>
        </w:rPr>
        <w:t xml:space="preserve">Microbiome Population Variance: </w:t>
      </w:r>
      <w:r>
        <w:rPr>
          <w:rFonts w:ascii="Calibri" w:hAnsi="Calibri"/>
          <w:color w:val="1A202C"/>
          <w:sz w:val="21"/>
        </w:rPr>
        <w:t>Microbiome distributions vary across geographical populations and sequencing platforms.</w:t>
      </w:r>
    </w:p>
    <w:p>
      <w:pPr>
        <w:pStyle w:val="ListBullet"/>
        <w:spacing w:before="0" w:after="60" w:line="276" w:lineRule="auto"/>
      </w:pPr>
      <w:r>
        <w:rPr>
          <w:rFonts w:ascii="Calibri" w:hAnsi="Calibri"/>
          <w:b/>
          <w:color w:val="1A202C"/>
          <w:sz w:val="21"/>
        </w:rPr>
        <w:t xml:space="preserve">Regulatory Status: </w:t>
      </w:r>
      <w:r>
        <w:rPr>
          <w:rFonts w:ascii="Calibri" w:hAnsi="Calibri"/>
          <w:color w:val="1A202C"/>
          <w:sz w:val="21"/>
        </w:rPr>
        <w:t>The platform is an academic research prototype and does not hold FDA/CE clinical device clearance.</w:t>
      </w:r>
    </w:p>
    <w:p>
      <w:pPr>
        <w:keepNext/>
        <w:spacing w:before="280" w:after="120"/>
      </w:pPr>
      <w:r>
        <w:rPr>
          <w:rFonts w:ascii="Calibri" w:hAnsi="Calibri"/>
          <w:b/>
          <w:color w:val="1B365D"/>
          <w:sz w:val="32"/>
        </w:rPr>
        <w:t>21. FUTURE ENHANCEMENTS</w:t>
      </w:r>
    </w:p>
    <w:p>
      <w:pPr>
        <w:pStyle w:val="ListBullet"/>
        <w:spacing w:before="0" w:after="60" w:line="276" w:lineRule="auto"/>
      </w:pPr>
      <w:r>
        <w:rPr>
          <w:rFonts w:ascii="Calibri" w:hAnsi="Calibri"/>
          <w:b/>
          <w:color w:val="1A202C"/>
          <w:sz w:val="21"/>
        </w:rPr>
        <w:t xml:space="preserve">Clinical Validation: </w:t>
      </w:r>
      <w:r>
        <w:rPr>
          <w:rFonts w:ascii="Calibri" w:hAnsi="Calibri"/>
          <w:color w:val="1A202C"/>
          <w:sz w:val="21"/>
        </w:rPr>
        <w:t>Conduct prospective clinical validation studies with partner academic medical centers.</w:t>
      </w:r>
    </w:p>
    <w:p>
      <w:pPr>
        <w:pStyle w:val="ListBullet"/>
        <w:spacing w:before="0" w:after="60" w:line="276" w:lineRule="auto"/>
      </w:pPr>
      <w:r>
        <w:rPr>
          <w:rFonts w:ascii="Calibri" w:hAnsi="Calibri"/>
          <w:b/>
          <w:color w:val="1A202C"/>
          <w:sz w:val="21"/>
        </w:rPr>
        <w:t xml:space="preserve">EHR Integration: </w:t>
      </w:r>
      <w:r>
        <w:rPr>
          <w:rFonts w:ascii="Calibri" w:hAnsi="Calibri"/>
          <w:color w:val="1A202C"/>
          <w:sz w:val="21"/>
        </w:rPr>
        <w:t>Integrate FHIR / HL7 standards for automated Electronic Health Record (EHR) synchronization.</w:t>
      </w:r>
    </w:p>
    <w:p>
      <w:pPr>
        <w:pStyle w:val="ListBullet"/>
        <w:spacing w:before="0" w:after="60" w:line="276" w:lineRule="auto"/>
      </w:pPr>
      <w:r>
        <w:rPr>
          <w:rFonts w:ascii="Calibri" w:hAnsi="Calibri"/>
          <w:b/>
          <w:color w:val="1A202C"/>
          <w:sz w:val="21"/>
        </w:rPr>
        <w:t xml:space="preserve">Federated Learning: </w:t>
      </w:r>
      <w:r>
        <w:rPr>
          <w:rFonts w:ascii="Calibri" w:hAnsi="Calibri"/>
          <w:color w:val="1A202C"/>
          <w:sz w:val="21"/>
        </w:rPr>
        <w:t>Incorporate privacy-preserving Federated Learning across distributed clinical nodes.</w:t>
      </w:r>
    </w:p>
    <w:p>
      <w:pPr>
        <w:keepNext/>
        <w:spacing w:before="280" w:after="120"/>
      </w:pPr>
      <w:r>
        <w:rPr>
          <w:rFonts w:ascii="Calibri" w:hAnsi="Calibri"/>
          <w:b/>
          <w:color w:val="1B365D"/>
          <w:sz w:val="32"/>
        </w:rPr>
        <w:t>22. ACCEPTANCE CRITERIA</w:t>
      </w:r>
    </w:p>
    <w:p>
      <w:pPr>
        <w:spacing w:before="0" w:after="100" w:line="276" w:lineRule="auto"/>
      </w:pPr>
      <w:r>
        <w:rPr>
          <w:rFonts w:ascii="Calibri" w:hAnsi="Calibri"/>
          <w:color w:val="1A202C"/>
          <w:sz w:val="21"/>
        </w:rPr>
        <w:t>The TeleMed project shall be deemed complete upon satisfying the following 23 acceptance criteria:</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1B365D"/>
            <w:tcMar>
              <w:top w:w="100" w:type="dxa"/>
              <w:bottom w:w="100" w:type="dxa"/>
              <w:left w:w="120" w:type="dxa"/>
              <w:right w:w="120" w:type="dxa"/>
            </w:tcMar>
          </w:tcPr>
          <w:p>
            <w:pPr>
              <w:jc w:val="left"/>
            </w:pPr>
            <w:r>
              <w:rPr>
                <w:rFonts w:ascii="Calibri" w:hAnsi="Calibri"/>
                <w:b/>
                <w:color w:val="FFFFFF"/>
                <w:sz w:val="19"/>
              </w:rPr>
              <w:t>Criteria ID</w:t>
            </w:r>
          </w:p>
        </w:tc>
        <w:tc>
          <w:tcPr>
            <w:tcW w:type="dxa" w:w="3168"/>
            <w:shd w:fill="1B365D"/>
            <w:tcMar>
              <w:top w:w="100" w:type="dxa"/>
              <w:bottom w:w="100" w:type="dxa"/>
              <w:left w:w="120" w:type="dxa"/>
              <w:right w:w="120" w:type="dxa"/>
            </w:tcMar>
          </w:tcPr>
          <w:p>
            <w:pPr>
              <w:jc w:val="left"/>
            </w:pPr>
            <w:r>
              <w:rPr>
                <w:rFonts w:ascii="Calibri" w:hAnsi="Calibri"/>
                <w:b/>
                <w:color w:val="FFFFFF"/>
                <w:sz w:val="19"/>
              </w:rPr>
              <w:t>Acceptance Verification Item</w:t>
            </w:r>
          </w:p>
        </w:tc>
        <w:tc>
          <w:tcPr>
            <w:tcW w:type="dxa" w:w="2160"/>
            <w:shd w:fill="1B365D"/>
            <w:tcMar>
              <w:top w:w="100" w:type="dxa"/>
              <w:bottom w:w="100" w:type="dxa"/>
              <w:left w:w="120" w:type="dxa"/>
              <w:right w:w="120" w:type="dxa"/>
            </w:tcMar>
          </w:tcPr>
          <w:p>
            <w:pPr>
              <w:jc w:val="left"/>
            </w:pPr>
            <w:r>
              <w:rPr>
                <w:rFonts w:ascii="Calibri" w:hAnsi="Calibri"/>
                <w:b/>
                <w:color w:val="FFFFFF"/>
                <w:sz w:val="19"/>
              </w:rPr>
              <w:t>Validation Method</w:t>
            </w:r>
          </w:p>
        </w:tc>
        <w:tc>
          <w:tcPr>
            <w:tcW w:type="dxa" w:w="2880"/>
            <w:shd w:fill="1B365D"/>
            <w:tcMar>
              <w:top w:w="100" w:type="dxa"/>
              <w:bottom w:w="100" w:type="dxa"/>
              <w:left w:w="120" w:type="dxa"/>
              <w:right w:w="120" w:type="dxa"/>
            </w:tcMar>
          </w:tcPr>
          <w:p>
            <w:pPr>
              <w:jc w:val="left"/>
            </w:pPr>
            <w:r>
              <w:rPr>
                <w:rFonts w:ascii="Calibri" w:hAnsi="Calibri"/>
                <w:b/>
                <w:color w:val="FFFFFF"/>
                <w:sz w:val="19"/>
              </w:rPr>
              <w:t>Pass / Fail Condition</w:t>
            </w:r>
          </w:p>
        </w:tc>
      </w:tr>
      <w:tr>
        <w:tc>
          <w:tcPr>
            <w:tcW w:type="dxa" w:w="1440"/>
            <w:shd w:fill="FFFFFF"/>
            <w:tcMar>
              <w:top w:w="80" w:type="dxa"/>
              <w:bottom w:w="80" w:type="dxa"/>
              <w:left w:w="120" w:type="dxa"/>
              <w:right w:w="120" w:type="dxa"/>
            </w:tcMar>
          </w:tcPr>
          <w:p>
            <w:r>
              <w:rPr>
                <w:rFonts w:ascii="Calibri" w:hAnsi="Calibri"/>
                <w:color w:val="1A202C"/>
                <w:sz w:val="18"/>
              </w:rPr>
              <w:t>AC-01</w:t>
            </w:r>
          </w:p>
        </w:tc>
        <w:tc>
          <w:tcPr>
            <w:tcW w:type="dxa" w:w="3168"/>
            <w:shd w:fill="FFFFFF"/>
            <w:tcMar>
              <w:top w:w="80" w:type="dxa"/>
              <w:bottom w:w="80" w:type="dxa"/>
              <w:left w:w="120" w:type="dxa"/>
              <w:right w:w="120" w:type="dxa"/>
            </w:tcMar>
          </w:tcPr>
          <w:p>
            <w:r>
              <w:rPr>
                <w:rFonts w:ascii="Calibri" w:hAnsi="Calibri"/>
                <w:color w:val="1A202C"/>
                <w:sz w:val="18"/>
              </w:rPr>
              <w:t>User Registration &amp; Authentication</w:t>
            </w:r>
          </w:p>
        </w:tc>
        <w:tc>
          <w:tcPr>
            <w:tcW w:type="dxa" w:w="2160"/>
            <w:shd w:fill="FFFFFF"/>
            <w:tcMar>
              <w:top w:w="80" w:type="dxa"/>
              <w:bottom w:w="80" w:type="dxa"/>
              <w:left w:w="120" w:type="dxa"/>
              <w:right w:w="120" w:type="dxa"/>
            </w:tcMar>
          </w:tcPr>
          <w:p>
            <w:r>
              <w:rPr>
                <w:rFonts w:ascii="Calibri" w:hAnsi="Calibri"/>
                <w:color w:val="1A202C"/>
                <w:sz w:val="18"/>
              </w:rPr>
              <w:t>Automated API Test</w:t>
            </w:r>
          </w:p>
        </w:tc>
        <w:tc>
          <w:tcPr>
            <w:tcW w:type="dxa" w:w="2880"/>
            <w:shd w:fill="FFFFFF"/>
            <w:tcMar>
              <w:top w:w="80" w:type="dxa"/>
              <w:bottom w:w="80" w:type="dxa"/>
              <w:left w:w="120" w:type="dxa"/>
              <w:right w:w="120" w:type="dxa"/>
            </w:tcMar>
          </w:tcPr>
          <w:p>
            <w:r>
              <w:rPr>
                <w:rFonts w:ascii="Calibri" w:hAnsi="Calibri"/>
                <w:color w:val="1A202C"/>
                <w:sz w:val="18"/>
              </w:rPr>
              <w:t>Successful user registration &amp; JWT login.</w:t>
            </w:r>
          </w:p>
        </w:tc>
      </w:tr>
      <w:tr>
        <w:tc>
          <w:tcPr>
            <w:tcW w:type="dxa" w:w="1440"/>
            <w:shd w:fill="F7FAFC"/>
            <w:tcMar>
              <w:top w:w="80" w:type="dxa"/>
              <w:bottom w:w="80" w:type="dxa"/>
              <w:left w:w="120" w:type="dxa"/>
              <w:right w:w="120" w:type="dxa"/>
            </w:tcMar>
          </w:tcPr>
          <w:p>
            <w:r>
              <w:rPr>
                <w:rFonts w:ascii="Calibri" w:hAnsi="Calibri"/>
                <w:color w:val="1A202C"/>
                <w:sz w:val="18"/>
              </w:rPr>
              <w:t>AC-02</w:t>
            </w:r>
          </w:p>
        </w:tc>
        <w:tc>
          <w:tcPr>
            <w:tcW w:type="dxa" w:w="3168"/>
            <w:shd w:fill="F7FAFC"/>
            <w:tcMar>
              <w:top w:w="80" w:type="dxa"/>
              <w:bottom w:w="80" w:type="dxa"/>
              <w:left w:w="120" w:type="dxa"/>
              <w:right w:w="120" w:type="dxa"/>
            </w:tcMar>
          </w:tcPr>
          <w:p>
            <w:r>
              <w:rPr>
                <w:rFonts w:ascii="Calibri" w:hAnsi="Calibri"/>
                <w:color w:val="1A202C"/>
                <w:sz w:val="18"/>
              </w:rPr>
              <w:t>Role-Based Access Control</w:t>
            </w:r>
          </w:p>
        </w:tc>
        <w:tc>
          <w:tcPr>
            <w:tcW w:type="dxa" w:w="2160"/>
            <w:shd w:fill="F7FAFC"/>
            <w:tcMar>
              <w:top w:w="80" w:type="dxa"/>
              <w:bottom w:w="80" w:type="dxa"/>
              <w:left w:w="120" w:type="dxa"/>
              <w:right w:w="120" w:type="dxa"/>
            </w:tcMar>
          </w:tcPr>
          <w:p>
            <w:r>
              <w:rPr>
                <w:rFonts w:ascii="Calibri" w:hAnsi="Calibri"/>
                <w:color w:val="1A202C"/>
                <w:sz w:val="18"/>
              </w:rPr>
              <w:t>Security Test</w:t>
            </w:r>
          </w:p>
        </w:tc>
        <w:tc>
          <w:tcPr>
            <w:tcW w:type="dxa" w:w="2880"/>
            <w:shd w:fill="F7FAFC"/>
            <w:tcMar>
              <w:top w:w="80" w:type="dxa"/>
              <w:bottom w:w="80" w:type="dxa"/>
              <w:left w:w="120" w:type="dxa"/>
              <w:right w:w="120" w:type="dxa"/>
            </w:tcMar>
          </w:tcPr>
          <w:p>
            <w:r>
              <w:rPr>
                <w:rFonts w:ascii="Calibri" w:hAnsi="Calibri"/>
                <w:color w:val="1A202C"/>
                <w:sz w:val="18"/>
              </w:rPr>
              <w:t>Patients blocked from admin/doctor routes.</w:t>
            </w:r>
          </w:p>
        </w:tc>
      </w:tr>
      <w:tr>
        <w:tc>
          <w:tcPr>
            <w:tcW w:type="dxa" w:w="1440"/>
            <w:shd w:fill="FFFFFF"/>
            <w:tcMar>
              <w:top w:w="80" w:type="dxa"/>
              <w:bottom w:w="80" w:type="dxa"/>
              <w:left w:w="120" w:type="dxa"/>
              <w:right w:w="120" w:type="dxa"/>
            </w:tcMar>
          </w:tcPr>
          <w:p>
            <w:r>
              <w:rPr>
                <w:rFonts w:ascii="Calibri" w:hAnsi="Calibri"/>
                <w:color w:val="1A202C"/>
                <w:sz w:val="18"/>
              </w:rPr>
              <w:t>AC-03</w:t>
            </w:r>
          </w:p>
        </w:tc>
        <w:tc>
          <w:tcPr>
            <w:tcW w:type="dxa" w:w="3168"/>
            <w:shd w:fill="FFFFFF"/>
            <w:tcMar>
              <w:top w:w="80" w:type="dxa"/>
              <w:bottom w:w="80" w:type="dxa"/>
              <w:left w:w="120" w:type="dxa"/>
              <w:right w:w="120" w:type="dxa"/>
            </w:tcMar>
          </w:tcPr>
          <w:p>
            <w:r>
              <w:rPr>
                <w:rFonts w:ascii="Calibri" w:hAnsi="Calibri"/>
                <w:color w:val="1A202C"/>
                <w:sz w:val="18"/>
              </w:rPr>
              <w:t>Patient Profile Creation</w:t>
            </w:r>
          </w:p>
        </w:tc>
        <w:tc>
          <w:tcPr>
            <w:tcW w:type="dxa" w:w="2160"/>
            <w:shd w:fill="FFFFFF"/>
            <w:tcMar>
              <w:top w:w="80" w:type="dxa"/>
              <w:bottom w:w="80" w:type="dxa"/>
              <w:left w:w="120" w:type="dxa"/>
              <w:right w:w="120" w:type="dxa"/>
            </w:tcMar>
          </w:tcPr>
          <w:p>
            <w:r>
              <w:rPr>
                <w:rFonts w:ascii="Calibri" w:hAnsi="Calibri"/>
                <w:color w:val="1A202C"/>
                <w:sz w:val="18"/>
              </w:rPr>
              <w:t>Functional Test</w:t>
            </w:r>
          </w:p>
        </w:tc>
        <w:tc>
          <w:tcPr>
            <w:tcW w:type="dxa" w:w="2880"/>
            <w:shd w:fill="FFFFFF"/>
            <w:tcMar>
              <w:top w:w="80" w:type="dxa"/>
              <w:bottom w:w="80" w:type="dxa"/>
              <w:left w:w="120" w:type="dxa"/>
              <w:right w:w="120" w:type="dxa"/>
            </w:tcMar>
          </w:tcPr>
          <w:p>
            <w:r>
              <w:rPr>
                <w:rFonts w:ascii="Calibri" w:hAnsi="Calibri"/>
                <w:color w:val="1A202C"/>
                <w:sz w:val="18"/>
              </w:rPr>
              <w:t>BMI calculated correctly from height/weight.</w:t>
            </w:r>
          </w:p>
        </w:tc>
      </w:tr>
      <w:tr>
        <w:tc>
          <w:tcPr>
            <w:tcW w:type="dxa" w:w="1440"/>
            <w:shd w:fill="F7FAFC"/>
            <w:tcMar>
              <w:top w:w="80" w:type="dxa"/>
              <w:bottom w:w="80" w:type="dxa"/>
              <w:left w:w="120" w:type="dxa"/>
              <w:right w:w="120" w:type="dxa"/>
            </w:tcMar>
          </w:tcPr>
          <w:p>
            <w:r>
              <w:rPr>
                <w:rFonts w:ascii="Calibri" w:hAnsi="Calibri"/>
                <w:color w:val="1A202C"/>
                <w:sz w:val="18"/>
              </w:rPr>
              <w:t>AC-04</w:t>
            </w:r>
          </w:p>
        </w:tc>
        <w:tc>
          <w:tcPr>
            <w:tcW w:type="dxa" w:w="3168"/>
            <w:shd w:fill="F7FAFC"/>
            <w:tcMar>
              <w:top w:w="80" w:type="dxa"/>
              <w:bottom w:w="80" w:type="dxa"/>
              <w:left w:w="120" w:type="dxa"/>
              <w:right w:w="120" w:type="dxa"/>
            </w:tcMar>
          </w:tcPr>
          <w:p>
            <w:r>
              <w:rPr>
                <w:rFonts w:ascii="Calibri" w:hAnsi="Calibri"/>
                <w:color w:val="1A202C"/>
                <w:sz w:val="18"/>
              </w:rPr>
              <w:t>Clinical Lab Data Ingestion</w:t>
            </w:r>
          </w:p>
        </w:tc>
        <w:tc>
          <w:tcPr>
            <w:tcW w:type="dxa" w:w="2160"/>
            <w:shd w:fill="F7FAFC"/>
            <w:tcMar>
              <w:top w:w="80" w:type="dxa"/>
              <w:bottom w:w="80" w:type="dxa"/>
              <w:left w:w="120" w:type="dxa"/>
              <w:right w:w="120" w:type="dxa"/>
            </w:tcMar>
          </w:tcPr>
          <w:p>
            <w:r>
              <w:rPr>
                <w:rFonts w:ascii="Calibri" w:hAnsi="Calibri"/>
                <w:color w:val="1A202C"/>
                <w:sz w:val="18"/>
              </w:rPr>
              <w:t>Unit Test</w:t>
            </w:r>
          </w:p>
        </w:tc>
        <w:tc>
          <w:tcPr>
            <w:tcW w:type="dxa" w:w="2880"/>
            <w:shd w:fill="F7FAFC"/>
            <w:tcMar>
              <w:top w:w="80" w:type="dxa"/>
              <w:bottom w:w="80" w:type="dxa"/>
              <w:left w:w="120" w:type="dxa"/>
              <w:right w:w="120" w:type="dxa"/>
            </w:tcMar>
          </w:tcPr>
          <w:p>
            <w:r>
              <w:rPr>
                <w:rFonts w:ascii="Calibri" w:hAnsi="Calibri"/>
                <w:color w:val="1A202C"/>
                <w:sz w:val="18"/>
              </w:rPr>
              <w:t>18 clinical features validated against bounds.</w:t>
            </w:r>
          </w:p>
        </w:tc>
      </w:tr>
      <w:tr>
        <w:tc>
          <w:tcPr>
            <w:tcW w:type="dxa" w:w="1440"/>
            <w:shd w:fill="FFFFFF"/>
            <w:tcMar>
              <w:top w:w="80" w:type="dxa"/>
              <w:bottom w:w="80" w:type="dxa"/>
              <w:left w:w="120" w:type="dxa"/>
              <w:right w:w="120" w:type="dxa"/>
            </w:tcMar>
          </w:tcPr>
          <w:p>
            <w:r>
              <w:rPr>
                <w:rFonts w:ascii="Calibri" w:hAnsi="Calibri"/>
                <w:color w:val="1A202C"/>
                <w:sz w:val="18"/>
              </w:rPr>
              <w:t>AC-05</w:t>
            </w:r>
          </w:p>
        </w:tc>
        <w:tc>
          <w:tcPr>
            <w:tcW w:type="dxa" w:w="3168"/>
            <w:shd w:fill="FFFFFF"/>
            <w:tcMar>
              <w:top w:w="80" w:type="dxa"/>
              <w:bottom w:w="80" w:type="dxa"/>
              <w:left w:w="120" w:type="dxa"/>
              <w:right w:w="120" w:type="dxa"/>
            </w:tcMar>
          </w:tcPr>
          <w:p>
            <w:r>
              <w:rPr>
                <w:rFonts w:ascii="Calibri" w:hAnsi="Calibri"/>
                <w:color w:val="1A202C"/>
                <w:sz w:val="18"/>
              </w:rPr>
              <w:t>Wearable CSV Data Ingestion</w:t>
            </w:r>
          </w:p>
        </w:tc>
        <w:tc>
          <w:tcPr>
            <w:tcW w:type="dxa" w:w="2160"/>
            <w:shd w:fill="FFFFFF"/>
            <w:tcMar>
              <w:top w:w="80" w:type="dxa"/>
              <w:bottom w:w="80" w:type="dxa"/>
              <w:left w:w="120" w:type="dxa"/>
              <w:right w:w="120" w:type="dxa"/>
            </w:tcMar>
          </w:tcPr>
          <w:p>
            <w:r>
              <w:rPr>
                <w:rFonts w:ascii="Calibri" w:hAnsi="Calibri"/>
                <w:color w:val="1A202C"/>
                <w:sz w:val="18"/>
              </w:rPr>
              <w:t>Parser Test</w:t>
            </w:r>
          </w:p>
        </w:tc>
        <w:tc>
          <w:tcPr>
            <w:tcW w:type="dxa" w:w="2880"/>
            <w:shd w:fill="FFFFFF"/>
            <w:tcMar>
              <w:top w:w="80" w:type="dxa"/>
              <w:bottom w:w="80" w:type="dxa"/>
              <w:left w:w="120" w:type="dxa"/>
              <w:right w:w="120" w:type="dxa"/>
            </w:tcMar>
          </w:tcPr>
          <w:p>
            <w:r>
              <w:rPr>
                <w:rFonts w:ascii="Calibri" w:hAnsi="Calibri"/>
                <w:color w:val="1A202C"/>
                <w:sz w:val="18"/>
              </w:rPr>
              <w:t>15 wearable/CGM features parsed accurately.</w:t>
            </w:r>
          </w:p>
        </w:tc>
      </w:tr>
      <w:tr>
        <w:tc>
          <w:tcPr>
            <w:tcW w:type="dxa" w:w="1440"/>
            <w:shd w:fill="F7FAFC"/>
            <w:tcMar>
              <w:top w:w="80" w:type="dxa"/>
              <w:bottom w:w="80" w:type="dxa"/>
              <w:left w:w="120" w:type="dxa"/>
              <w:right w:w="120" w:type="dxa"/>
            </w:tcMar>
          </w:tcPr>
          <w:p>
            <w:r>
              <w:rPr>
                <w:rFonts w:ascii="Calibri" w:hAnsi="Calibri"/>
                <w:color w:val="1A202C"/>
                <w:sz w:val="18"/>
              </w:rPr>
              <w:t>AC-06</w:t>
            </w:r>
          </w:p>
        </w:tc>
        <w:tc>
          <w:tcPr>
            <w:tcW w:type="dxa" w:w="3168"/>
            <w:shd w:fill="F7FAFC"/>
            <w:tcMar>
              <w:top w:w="80" w:type="dxa"/>
              <w:bottom w:w="80" w:type="dxa"/>
              <w:left w:w="120" w:type="dxa"/>
              <w:right w:w="120" w:type="dxa"/>
            </w:tcMar>
          </w:tcPr>
          <w:p>
            <w:r>
              <w:rPr>
                <w:rFonts w:ascii="Calibri" w:hAnsi="Calibri"/>
                <w:color w:val="1A202C"/>
                <w:sz w:val="18"/>
              </w:rPr>
              <w:t>Microbiome Data Ingestion</w:t>
            </w:r>
          </w:p>
        </w:tc>
        <w:tc>
          <w:tcPr>
            <w:tcW w:type="dxa" w:w="2160"/>
            <w:shd w:fill="F7FAFC"/>
            <w:tcMar>
              <w:top w:w="80" w:type="dxa"/>
              <w:bottom w:w="80" w:type="dxa"/>
              <w:left w:w="120" w:type="dxa"/>
              <w:right w:w="120" w:type="dxa"/>
            </w:tcMar>
          </w:tcPr>
          <w:p>
            <w:r>
              <w:rPr>
                <w:rFonts w:ascii="Calibri" w:hAnsi="Calibri"/>
                <w:color w:val="1A202C"/>
                <w:sz w:val="18"/>
              </w:rPr>
              <w:t>Parser Test</w:t>
            </w:r>
          </w:p>
        </w:tc>
        <w:tc>
          <w:tcPr>
            <w:tcW w:type="dxa" w:w="2880"/>
            <w:shd w:fill="F7FAFC"/>
            <w:tcMar>
              <w:top w:w="80" w:type="dxa"/>
              <w:bottom w:w="80" w:type="dxa"/>
              <w:left w:w="120" w:type="dxa"/>
              <w:right w:w="120" w:type="dxa"/>
            </w:tcMar>
          </w:tcPr>
          <w:p>
            <w:r>
              <w:rPr>
                <w:rFonts w:ascii="Calibri" w:hAnsi="Calibri"/>
                <w:color w:val="1A202C"/>
                <w:sz w:val="18"/>
              </w:rPr>
              <w:t>40 taxa &amp; 9 indices validated (abundance sum = 100%).</w:t>
            </w:r>
          </w:p>
        </w:tc>
      </w:tr>
      <w:tr>
        <w:tc>
          <w:tcPr>
            <w:tcW w:type="dxa" w:w="1440"/>
            <w:shd w:fill="FFFFFF"/>
            <w:tcMar>
              <w:top w:w="80" w:type="dxa"/>
              <w:bottom w:w="80" w:type="dxa"/>
              <w:left w:w="120" w:type="dxa"/>
              <w:right w:w="120" w:type="dxa"/>
            </w:tcMar>
          </w:tcPr>
          <w:p>
            <w:r>
              <w:rPr>
                <w:rFonts w:ascii="Calibri" w:hAnsi="Calibri"/>
                <w:color w:val="1A202C"/>
                <w:sz w:val="18"/>
              </w:rPr>
              <w:t>AC-07</w:t>
            </w:r>
          </w:p>
        </w:tc>
        <w:tc>
          <w:tcPr>
            <w:tcW w:type="dxa" w:w="3168"/>
            <w:shd w:fill="FFFFFF"/>
            <w:tcMar>
              <w:top w:w="80" w:type="dxa"/>
              <w:bottom w:w="80" w:type="dxa"/>
              <w:left w:w="120" w:type="dxa"/>
              <w:right w:w="120" w:type="dxa"/>
            </w:tcMar>
          </w:tcPr>
          <w:p>
            <w:r>
              <w:rPr>
                <w:rFonts w:ascii="Calibri" w:hAnsi="Calibri"/>
                <w:color w:val="1A202C"/>
                <w:sz w:val="18"/>
              </w:rPr>
              <w:t>Physiological Bounds Validation</w:t>
            </w:r>
          </w:p>
        </w:tc>
        <w:tc>
          <w:tcPr>
            <w:tcW w:type="dxa" w:w="2160"/>
            <w:shd w:fill="FFFFFF"/>
            <w:tcMar>
              <w:top w:w="80" w:type="dxa"/>
              <w:bottom w:w="80" w:type="dxa"/>
              <w:left w:w="120" w:type="dxa"/>
              <w:right w:w="120" w:type="dxa"/>
            </w:tcMar>
          </w:tcPr>
          <w:p>
            <w:r>
              <w:rPr>
                <w:rFonts w:ascii="Calibri" w:hAnsi="Calibri"/>
                <w:color w:val="1A202C"/>
                <w:sz w:val="18"/>
              </w:rPr>
              <w:t>Input Test</w:t>
            </w:r>
          </w:p>
        </w:tc>
        <w:tc>
          <w:tcPr>
            <w:tcW w:type="dxa" w:w="2880"/>
            <w:shd w:fill="FFFFFF"/>
            <w:tcMar>
              <w:top w:w="80" w:type="dxa"/>
              <w:bottom w:w="80" w:type="dxa"/>
              <w:left w:w="120" w:type="dxa"/>
              <w:right w:w="120" w:type="dxa"/>
            </w:tcMar>
          </w:tcPr>
          <w:p>
            <w:r>
              <w:rPr>
                <w:rFonts w:ascii="Calibri" w:hAnsi="Calibri"/>
                <w:color w:val="1A202C"/>
                <w:sz w:val="18"/>
              </w:rPr>
              <w:t>Invalid inputs rejected with descriptive HTTP 400.</w:t>
            </w:r>
          </w:p>
        </w:tc>
      </w:tr>
      <w:tr>
        <w:tc>
          <w:tcPr>
            <w:tcW w:type="dxa" w:w="1440"/>
            <w:shd w:fill="F7FAFC"/>
            <w:tcMar>
              <w:top w:w="80" w:type="dxa"/>
              <w:bottom w:w="80" w:type="dxa"/>
              <w:left w:w="120" w:type="dxa"/>
              <w:right w:w="120" w:type="dxa"/>
            </w:tcMar>
          </w:tcPr>
          <w:p>
            <w:r>
              <w:rPr>
                <w:rFonts w:ascii="Calibri" w:hAnsi="Calibri"/>
                <w:color w:val="1A202C"/>
                <w:sz w:val="18"/>
              </w:rPr>
              <w:t>AC-08</w:t>
            </w:r>
          </w:p>
        </w:tc>
        <w:tc>
          <w:tcPr>
            <w:tcW w:type="dxa" w:w="3168"/>
            <w:shd w:fill="F7FAFC"/>
            <w:tcMar>
              <w:top w:w="80" w:type="dxa"/>
              <w:bottom w:w="80" w:type="dxa"/>
              <w:left w:w="120" w:type="dxa"/>
              <w:right w:w="120" w:type="dxa"/>
            </w:tcMar>
          </w:tcPr>
          <w:p>
            <w:r>
              <w:rPr>
                <w:rFonts w:ascii="Calibri" w:hAnsi="Calibri"/>
                <w:color w:val="1A202C"/>
                <w:sz w:val="18"/>
              </w:rPr>
              <w:t>Dynamic Modality Detection</w:t>
            </w:r>
          </w:p>
        </w:tc>
        <w:tc>
          <w:tcPr>
            <w:tcW w:type="dxa" w:w="2160"/>
            <w:shd w:fill="F7FAFC"/>
            <w:tcMar>
              <w:top w:w="80" w:type="dxa"/>
              <w:bottom w:w="80" w:type="dxa"/>
              <w:left w:w="120" w:type="dxa"/>
              <w:right w:w="120" w:type="dxa"/>
            </w:tcMar>
          </w:tcPr>
          <w:p>
            <w:r>
              <w:rPr>
                <w:rFonts w:ascii="Calibri" w:hAnsi="Calibri"/>
                <w:color w:val="1A202C"/>
                <w:sz w:val="18"/>
              </w:rPr>
              <w:t>Pipeline Test</w:t>
            </w:r>
          </w:p>
        </w:tc>
        <w:tc>
          <w:tcPr>
            <w:tcW w:type="dxa" w:w="2880"/>
            <w:shd w:fill="F7FAFC"/>
            <w:tcMar>
              <w:top w:w="80" w:type="dxa"/>
              <w:bottom w:w="80" w:type="dxa"/>
              <w:left w:w="120" w:type="dxa"/>
              <w:right w:w="120" w:type="dxa"/>
            </w:tcMar>
          </w:tcPr>
          <w:p>
            <w:r>
              <w:rPr>
                <w:rFonts w:ascii="Calibri" w:hAnsi="Calibri"/>
                <w:color w:val="1A202C"/>
                <w:sz w:val="18"/>
              </w:rPr>
              <w:t>System correctly identifies active input modalities.</w:t>
            </w:r>
          </w:p>
        </w:tc>
      </w:tr>
      <w:tr>
        <w:tc>
          <w:tcPr>
            <w:tcW w:type="dxa" w:w="1440"/>
            <w:shd w:fill="FFFFFF"/>
            <w:tcMar>
              <w:top w:w="80" w:type="dxa"/>
              <w:bottom w:w="80" w:type="dxa"/>
              <w:left w:w="120" w:type="dxa"/>
              <w:right w:w="120" w:type="dxa"/>
            </w:tcMar>
          </w:tcPr>
          <w:p>
            <w:r>
              <w:rPr>
                <w:rFonts w:ascii="Calibri" w:hAnsi="Calibri"/>
                <w:color w:val="1A202C"/>
                <w:sz w:val="18"/>
              </w:rPr>
              <w:t>AC-09</w:t>
            </w:r>
          </w:p>
        </w:tc>
        <w:tc>
          <w:tcPr>
            <w:tcW w:type="dxa" w:w="3168"/>
            <w:shd w:fill="FFFFFF"/>
            <w:tcMar>
              <w:top w:w="80" w:type="dxa"/>
              <w:bottom w:w="80" w:type="dxa"/>
              <w:left w:w="120" w:type="dxa"/>
              <w:right w:w="120" w:type="dxa"/>
            </w:tcMar>
          </w:tcPr>
          <w:p>
            <w:r>
              <w:rPr>
                <w:rFonts w:ascii="Calibri" w:hAnsi="Calibri"/>
                <w:color w:val="1A202C"/>
                <w:sz w:val="18"/>
              </w:rPr>
              <w:t>Clinical Expert Model Execution</w:t>
            </w:r>
          </w:p>
        </w:tc>
        <w:tc>
          <w:tcPr>
            <w:tcW w:type="dxa" w:w="2160"/>
            <w:shd w:fill="FFFFFF"/>
            <w:tcMar>
              <w:top w:w="80" w:type="dxa"/>
              <w:bottom w:w="80" w:type="dxa"/>
              <w:left w:w="120" w:type="dxa"/>
              <w:right w:w="120" w:type="dxa"/>
            </w:tcMar>
          </w:tcPr>
          <w:p>
            <w:r>
              <w:rPr>
                <w:rFonts w:ascii="Calibri" w:hAnsi="Calibri"/>
                <w:color w:val="1A202C"/>
                <w:sz w:val="18"/>
              </w:rPr>
              <w:t>ML Test</w:t>
            </w:r>
          </w:p>
        </w:tc>
        <w:tc>
          <w:tcPr>
            <w:tcW w:type="dxa" w:w="2880"/>
            <w:shd w:fill="FFFFFF"/>
            <w:tcMar>
              <w:top w:w="80" w:type="dxa"/>
              <w:bottom w:w="80" w:type="dxa"/>
              <w:left w:w="120" w:type="dxa"/>
              <w:right w:w="120" w:type="dxa"/>
            </w:tcMar>
          </w:tcPr>
          <w:p>
            <w:r>
              <w:rPr>
                <w:rFonts w:ascii="Calibri" w:hAnsi="Calibri"/>
                <w:color w:val="1A202C"/>
                <w:sz w:val="18"/>
              </w:rPr>
              <w:t>CatBoost Clinical Expert produces valid risk scores.</w:t>
            </w:r>
          </w:p>
        </w:tc>
      </w:tr>
      <w:tr>
        <w:tc>
          <w:tcPr>
            <w:tcW w:type="dxa" w:w="1440"/>
            <w:shd w:fill="F7FAFC"/>
            <w:tcMar>
              <w:top w:w="80" w:type="dxa"/>
              <w:bottom w:w="80" w:type="dxa"/>
              <w:left w:w="120" w:type="dxa"/>
              <w:right w:w="120" w:type="dxa"/>
            </w:tcMar>
          </w:tcPr>
          <w:p>
            <w:r>
              <w:rPr>
                <w:rFonts w:ascii="Calibri" w:hAnsi="Calibri"/>
                <w:color w:val="1A202C"/>
                <w:sz w:val="18"/>
              </w:rPr>
              <w:t>AC-10</w:t>
            </w:r>
          </w:p>
        </w:tc>
        <w:tc>
          <w:tcPr>
            <w:tcW w:type="dxa" w:w="3168"/>
            <w:shd w:fill="F7FAFC"/>
            <w:tcMar>
              <w:top w:w="80" w:type="dxa"/>
              <w:bottom w:w="80" w:type="dxa"/>
              <w:left w:w="120" w:type="dxa"/>
              <w:right w:w="120" w:type="dxa"/>
            </w:tcMar>
          </w:tcPr>
          <w:p>
            <w:r>
              <w:rPr>
                <w:rFonts w:ascii="Calibri" w:hAnsi="Calibri"/>
                <w:color w:val="1A202C"/>
                <w:sz w:val="18"/>
              </w:rPr>
              <w:t>Wearable Expert Model Execution</w:t>
            </w:r>
          </w:p>
        </w:tc>
        <w:tc>
          <w:tcPr>
            <w:tcW w:type="dxa" w:w="2160"/>
            <w:shd w:fill="F7FAFC"/>
            <w:tcMar>
              <w:top w:w="80" w:type="dxa"/>
              <w:bottom w:w="80" w:type="dxa"/>
              <w:left w:w="120" w:type="dxa"/>
              <w:right w:w="120" w:type="dxa"/>
            </w:tcMar>
          </w:tcPr>
          <w:p>
            <w:r>
              <w:rPr>
                <w:rFonts w:ascii="Calibri" w:hAnsi="Calibri"/>
                <w:color w:val="1A202C"/>
                <w:sz w:val="18"/>
              </w:rPr>
              <w:t>ML Test</w:t>
            </w:r>
          </w:p>
        </w:tc>
        <w:tc>
          <w:tcPr>
            <w:tcW w:type="dxa" w:w="2880"/>
            <w:shd w:fill="F7FAFC"/>
            <w:tcMar>
              <w:top w:w="80" w:type="dxa"/>
              <w:bottom w:w="80" w:type="dxa"/>
              <w:left w:w="120" w:type="dxa"/>
              <w:right w:w="120" w:type="dxa"/>
            </w:tcMar>
          </w:tcPr>
          <w:p>
            <w:r>
              <w:rPr>
                <w:rFonts w:ascii="Calibri" w:hAnsi="Calibri"/>
                <w:color w:val="1A202C"/>
                <w:sz w:val="18"/>
              </w:rPr>
              <w:t>XGBoost Wearable Expert produces valid risk scores.</w:t>
            </w:r>
          </w:p>
        </w:tc>
      </w:tr>
      <w:tr>
        <w:tc>
          <w:tcPr>
            <w:tcW w:type="dxa" w:w="1440"/>
            <w:shd w:fill="FFFFFF"/>
            <w:tcMar>
              <w:top w:w="80" w:type="dxa"/>
              <w:bottom w:w="80" w:type="dxa"/>
              <w:left w:w="120" w:type="dxa"/>
              <w:right w:w="120" w:type="dxa"/>
            </w:tcMar>
          </w:tcPr>
          <w:p>
            <w:r>
              <w:rPr>
                <w:rFonts w:ascii="Calibri" w:hAnsi="Calibri"/>
                <w:color w:val="1A202C"/>
                <w:sz w:val="18"/>
              </w:rPr>
              <w:t>AC-11</w:t>
            </w:r>
          </w:p>
        </w:tc>
        <w:tc>
          <w:tcPr>
            <w:tcW w:type="dxa" w:w="3168"/>
            <w:shd w:fill="FFFFFF"/>
            <w:tcMar>
              <w:top w:w="80" w:type="dxa"/>
              <w:bottom w:w="80" w:type="dxa"/>
              <w:left w:w="120" w:type="dxa"/>
              <w:right w:w="120" w:type="dxa"/>
            </w:tcMar>
          </w:tcPr>
          <w:p>
            <w:r>
              <w:rPr>
                <w:rFonts w:ascii="Calibri" w:hAnsi="Calibri"/>
                <w:color w:val="1A202C"/>
                <w:sz w:val="18"/>
              </w:rPr>
              <w:t>Gut Expert Model Execution</w:t>
            </w:r>
          </w:p>
        </w:tc>
        <w:tc>
          <w:tcPr>
            <w:tcW w:type="dxa" w:w="2160"/>
            <w:shd w:fill="FFFFFF"/>
            <w:tcMar>
              <w:top w:w="80" w:type="dxa"/>
              <w:bottom w:w="80" w:type="dxa"/>
              <w:left w:w="120" w:type="dxa"/>
              <w:right w:w="120" w:type="dxa"/>
            </w:tcMar>
          </w:tcPr>
          <w:p>
            <w:r>
              <w:rPr>
                <w:rFonts w:ascii="Calibri" w:hAnsi="Calibri"/>
                <w:color w:val="1A202C"/>
                <w:sz w:val="18"/>
              </w:rPr>
              <w:t>ML Test</w:t>
            </w:r>
          </w:p>
        </w:tc>
        <w:tc>
          <w:tcPr>
            <w:tcW w:type="dxa" w:w="2880"/>
            <w:shd w:fill="FFFFFF"/>
            <w:tcMar>
              <w:top w:w="80" w:type="dxa"/>
              <w:bottom w:w="80" w:type="dxa"/>
              <w:left w:w="120" w:type="dxa"/>
              <w:right w:w="120" w:type="dxa"/>
            </w:tcMar>
          </w:tcPr>
          <w:p>
            <w:r>
              <w:rPr>
                <w:rFonts w:ascii="Calibri" w:hAnsi="Calibri"/>
                <w:color w:val="1A202C"/>
                <w:sz w:val="18"/>
              </w:rPr>
              <w:t>CatBoost Gut Expert produces valid risk scores.</w:t>
            </w:r>
          </w:p>
        </w:tc>
      </w:tr>
      <w:tr>
        <w:tc>
          <w:tcPr>
            <w:tcW w:type="dxa" w:w="1440"/>
            <w:shd w:fill="F7FAFC"/>
            <w:tcMar>
              <w:top w:w="80" w:type="dxa"/>
              <w:bottom w:w="80" w:type="dxa"/>
              <w:left w:w="120" w:type="dxa"/>
              <w:right w:w="120" w:type="dxa"/>
            </w:tcMar>
          </w:tcPr>
          <w:p>
            <w:r>
              <w:rPr>
                <w:rFonts w:ascii="Calibri" w:hAnsi="Calibri"/>
                <w:color w:val="1A202C"/>
                <w:sz w:val="18"/>
              </w:rPr>
              <w:t>AC-12</w:t>
            </w:r>
          </w:p>
        </w:tc>
        <w:tc>
          <w:tcPr>
            <w:tcW w:type="dxa" w:w="3168"/>
            <w:shd w:fill="F7FAFC"/>
            <w:tcMar>
              <w:top w:w="80" w:type="dxa"/>
              <w:bottom w:w="80" w:type="dxa"/>
              <w:left w:w="120" w:type="dxa"/>
              <w:right w:w="120" w:type="dxa"/>
            </w:tcMar>
          </w:tcPr>
          <w:p>
            <w:r>
              <w:rPr>
                <w:rFonts w:ascii="Calibri" w:hAnsi="Calibri"/>
                <w:color w:val="1A202C"/>
                <w:sz w:val="18"/>
              </w:rPr>
              <w:t>7-Pathway Multimodal Fusion</w:t>
            </w:r>
          </w:p>
        </w:tc>
        <w:tc>
          <w:tcPr>
            <w:tcW w:type="dxa" w:w="2160"/>
            <w:shd w:fill="F7FAFC"/>
            <w:tcMar>
              <w:top w:w="80" w:type="dxa"/>
              <w:bottom w:w="80" w:type="dxa"/>
              <w:left w:w="120" w:type="dxa"/>
              <w:right w:w="120" w:type="dxa"/>
            </w:tcMar>
          </w:tcPr>
          <w:p>
            <w:r>
              <w:rPr>
                <w:rFonts w:ascii="Calibri" w:hAnsi="Calibri"/>
                <w:color w:val="1A202C"/>
                <w:sz w:val="18"/>
              </w:rPr>
              <w:t>Integration Test</w:t>
            </w:r>
          </w:p>
        </w:tc>
        <w:tc>
          <w:tcPr>
            <w:tcW w:type="dxa" w:w="2880"/>
            <w:shd w:fill="F7FAFC"/>
            <w:tcMar>
              <w:top w:w="80" w:type="dxa"/>
              <w:bottom w:w="80" w:type="dxa"/>
              <w:left w:w="120" w:type="dxa"/>
              <w:right w:w="120" w:type="dxa"/>
            </w:tcMar>
          </w:tcPr>
          <w:p>
            <w:r>
              <w:rPr>
                <w:rFonts w:ascii="Calibri" w:hAnsi="Calibri"/>
                <w:color w:val="1A202C"/>
                <w:sz w:val="18"/>
              </w:rPr>
              <w:t>Stacking Meta-Learner routes active pathway cleanly.</w:t>
            </w:r>
          </w:p>
        </w:tc>
      </w:tr>
      <w:tr>
        <w:tc>
          <w:tcPr>
            <w:tcW w:type="dxa" w:w="1440"/>
            <w:shd w:fill="FFFFFF"/>
            <w:tcMar>
              <w:top w:w="80" w:type="dxa"/>
              <w:bottom w:w="80" w:type="dxa"/>
              <w:left w:w="120" w:type="dxa"/>
              <w:right w:w="120" w:type="dxa"/>
            </w:tcMar>
          </w:tcPr>
          <w:p>
            <w:r>
              <w:rPr>
                <w:rFonts w:ascii="Calibri" w:hAnsi="Calibri"/>
                <w:color w:val="1A202C"/>
                <w:sz w:val="18"/>
              </w:rPr>
              <w:t>AC-13</w:t>
            </w:r>
          </w:p>
        </w:tc>
        <w:tc>
          <w:tcPr>
            <w:tcW w:type="dxa" w:w="3168"/>
            <w:shd w:fill="FFFFFF"/>
            <w:tcMar>
              <w:top w:w="80" w:type="dxa"/>
              <w:bottom w:w="80" w:type="dxa"/>
              <w:left w:w="120" w:type="dxa"/>
              <w:right w:w="120" w:type="dxa"/>
            </w:tcMar>
          </w:tcPr>
          <w:p>
            <w:r>
              <w:rPr>
                <w:rFonts w:ascii="Calibri" w:hAnsi="Calibri"/>
                <w:color w:val="1A202C"/>
                <w:sz w:val="18"/>
              </w:rPr>
              <w:t>5-Disease Risk Predictions</w:t>
            </w:r>
          </w:p>
        </w:tc>
        <w:tc>
          <w:tcPr>
            <w:tcW w:type="dxa" w:w="2160"/>
            <w:shd w:fill="FFFFFF"/>
            <w:tcMar>
              <w:top w:w="80" w:type="dxa"/>
              <w:bottom w:w="80" w:type="dxa"/>
              <w:left w:w="120" w:type="dxa"/>
              <w:right w:w="120" w:type="dxa"/>
            </w:tcMar>
          </w:tcPr>
          <w:p>
            <w:r>
              <w:rPr>
                <w:rFonts w:ascii="Calibri" w:hAnsi="Calibri"/>
                <w:color w:val="1A202C"/>
                <w:sz w:val="18"/>
              </w:rPr>
              <w:t>Inference Test</w:t>
            </w:r>
          </w:p>
        </w:tc>
        <w:tc>
          <w:tcPr>
            <w:tcW w:type="dxa" w:w="2880"/>
            <w:shd w:fill="FFFFFF"/>
            <w:tcMar>
              <w:top w:w="80" w:type="dxa"/>
              <w:bottom w:w="80" w:type="dxa"/>
              <w:left w:w="120" w:type="dxa"/>
              <w:right w:w="120" w:type="dxa"/>
            </w:tcMar>
          </w:tcPr>
          <w:p>
            <w:r>
              <w:rPr>
                <w:rFonts w:ascii="Calibri" w:hAnsi="Calibri"/>
                <w:color w:val="1A202C"/>
                <w:sz w:val="18"/>
              </w:rPr>
              <w:t>Outputs valid probabilities for all 5 target conditions.</w:t>
            </w:r>
          </w:p>
        </w:tc>
      </w:tr>
      <w:tr>
        <w:tc>
          <w:tcPr>
            <w:tcW w:type="dxa" w:w="1440"/>
            <w:shd w:fill="F7FAFC"/>
            <w:tcMar>
              <w:top w:w="80" w:type="dxa"/>
              <w:bottom w:w="80" w:type="dxa"/>
              <w:left w:w="120" w:type="dxa"/>
              <w:right w:w="120" w:type="dxa"/>
            </w:tcMar>
          </w:tcPr>
          <w:p>
            <w:r>
              <w:rPr>
                <w:rFonts w:ascii="Calibri" w:hAnsi="Calibri"/>
                <w:color w:val="1A202C"/>
                <w:sz w:val="18"/>
              </w:rPr>
              <w:t>AC-14</w:t>
            </w:r>
          </w:p>
        </w:tc>
        <w:tc>
          <w:tcPr>
            <w:tcW w:type="dxa" w:w="3168"/>
            <w:shd w:fill="F7FAFC"/>
            <w:tcMar>
              <w:top w:w="80" w:type="dxa"/>
              <w:bottom w:w="80" w:type="dxa"/>
              <w:left w:w="120" w:type="dxa"/>
              <w:right w:w="120" w:type="dxa"/>
            </w:tcMar>
          </w:tcPr>
          <w:p>
            <w:r>
              <w:rPr>
                <w:rFonts w:ascii="Calibri" w:hAnsi="Calibri"/>
                <w:color w:val="1A202C"/>
                <w:sz w:val="18"/>
              </w:rPr>
              <w:t>Risk Category Thresholding</w:t>
            </w:r>
          </w:p>
        </w:tc>
        <w:tc>
          <w:tcPr>
            <w:tcW w:type="dxa" w:w="2160"/>
            <w:shd w:fill="F7FAFC"/>
            <w:tcMar>
              <w:top w:w="80" w:type="dxa"/>
              <w:bottom w:w="80" w:type="dxa"/>
              <w:left w:w="120" w:type="dxa"/>
              <w:right w:w="120" w:type="dxa"/>
            </w:tcMar>
          </w:tcPr>
          <w:p>
            <w:r>
              <w:rPr>
                <w:rFonts w:ascii="Calibri" w:hAnsi="Calibri"/>
                <w:color w:val="1A202C"/>
                <w:sz w:val="18"/>
              </w:rPr>
              <w:t>UI Test</w:t>
            </w:r>
          </w:p>
        </w:tc>
        <w:tc>
          <w:tcPr>
            <w:tcW w:type="dxa" w:w="2880"/>
            <w:shd w:fill="F7FAFC"/>
            <w:tcMar>
              <w:top w:w="80" w:type="dxa"/>
              <w:bottom w:w="80" w:type="dxa"/>
              <w:left w:w="120" w:type="dxa"/>
              <w:right w:w="120" w:type="dxa"/>
            </w:tcMar>
          </w:tcPr>
          <w:p>
            <w:r>
              <w:rPr>
                <w:rFonts w:ascii="Calibri" w:hAnsi="Calibri"/>
                <w:color w:val="1A202C"/>
                <w:sz w:val="18"/>
              </w:rPr>
              <w:t>Scores mapped correctly to LOW, MODERATE, HIGH.</w:t>
            </w:r>
          </w:p>
        </w:tc>
      </w:tr>
      <w:tr>
        <w:tc>
          <w:tcPr>
            <w:tcW w:type="dxa" w:w="1440"/>
            <w:shd w:fill="FFFFFF"/>
            <w:tcMar>
              <w:top w:w="80" w:type="dxa"/>
              <w:bottom w:w="80" w:type="dxa"/>
              <w:left w:w="120" w:type="dxa"/>
              <w:right w:w="120" w:type="dxa"/>
            </w:tcMar>
          </w:tcPr>
          <w:p>
            <w:r>
              <w:rPr>
                <w:rFonts w:ascii="Calibri" w:hAnsi="Calibri"/>
                <w:color w:val="1A202C"/>
                <w:sz w:val="18"/>
              </w:rPr>
              <w:t>AC-15</w:t>
            </w:r>
          </w:p>
        </w:tc>
        <w:tc>
          <w:tcPr>
            <w:tcW w:type="dxa" w:w="3168"/>
            <w:shd w:fill="FFFFFF"/>
            <w:tcMar>
              <w:top w:w="80" w:type="dxa"/>
              <w:bottom w:w="80" w:type="dxa"/>
              <w:left w:w="120" w:type="dxa"/>
              <w:right w:w="120" w:type="dxa"/>
            </w:tcMar>
          </w:tcPr>
          <w:p>
            <w:r>
              <w:rPr>
                <w:rFonts w:ascii="Calibri" w:hAnsi="Calibri"/>
                <w:color w:val="1A202C"/>
                <w:sz w:val="18"/>
              </w:rPr>
              <w:t>TreeSHAP Feature Attributions</w:t>
            </w:r>
          </w:p>
        </w:tc>
        <w:tc>
          <w:tcPr>
            <w:tcW w:type="dxa" w:w="2160"/>
            <w:shd w:fill="FFFFFF"/>
            <w:tcMar>
              <w:top w:w="80" w:type="dxa"/>
              <w:bottom w:w="80" w:type="dxa"/>
              <w:left w:w="120" w:type="dxa"/>
              <w:right w:w="120" w:type="dxa"/>
            </w:tcMar>
          </w:tcPr>
          <w:p>
            <w:r>
              <w:rPr>
                <w:rFonts w:ascii="Calibri" w:hAnsi="Calibri"/>
                <w:color w:val="1A202C"/>
                <w:sz w:val="18"/>
              </w:rPr>
              <w:t>XAI Test</w:t>
            </w:r>
          </w:p>
        </w:tc>
        <w:tc>
          <w:tcPr>
            <w:tcW w:type="dxa" w:w="2880"/>
            <w:shd w:fill="FFFFFF"/>
            <w:tcMar>
              <w:top w:w="80" w:type="dxa"/>
              <w:bottom w:w="80" w:type="dxa"/>
              <w:left w:w="120" w:type="dxa"/>
              <w:right w:w="120" w:type="dxa"/>
            </w:tcMar>
          </w:tcPr>
          <w:p>
            <w:r>
              <w:rPr>
                <w:rFonts w:ascii="Calibri" w:hAnsi="Calibri"/>
                <w:color w:val="1A202C"/>
                <w:sz w:val="18"/>
              </w:rPr>
              <w:t>Calculates exact Shapley values for top features.</w:t>
            </w:r>
          </w:p>
        </w:tc>
      </w:tr>
      <w:tr>
        <w:tc>
          <w:tcPr>
            <w:tcW w:type="dxa" w:w="1440"/>
            <w:shd w:fill="F7FAFC"/>
            <w:tcMar>
              <w:top w:w="80" w:type="dxa"/>
              <w:bottom w:w="80" w:type="dxa"/>
              <w:left w:w="120" w:type="dxa"/>
              <w:right w:w="120" w:type="dxa"/>
            </w:tcMar>
          </w:tcPr>
          <w:p>
            <w:r>
              <w:rPr>
                <w:rFonts w:ascii="Calibri" w:hAnsi="Calibri"/>
                <w:color w:val="1A202C"/>
                <w:sz w:val="18"/>
              </w:rPr>
              <w:t>AC-16</w:t>
            </w:r>
          </w:p>
        </w:tc>
        <w:tc>
          <w:tcPr>
            <w:tcW w:type="dxa" w:w="3168"/>
            <w:shd w:fill="F7FAFC"/>
            <w:tcMar>
              <w:top w:w="80" w:type="dxa"/>
              <w:bottom w:w="80" w:type="dxa"/>
              <w:left w:w="120" w:type="dxa"/>
              <w:right w:w="120" w:type="dxa"/>
            </w:tcMar>
          </w:tcPr>
          <w:p>
            <w:r>
              <w:rPr>
                <w:rFonts w:ascii="Calibri" w:hAnsi="Calibri"/>
                <w:color w:val="1A202C"/>
                <w:sz w:val="18"/>
              </w:rPr>
              <w:t>PostgreSQL Data Persistence</w:t>
            </w:r>
          </w:p>
        </w:tc>
        <w:tc>
          <w:tcPr>
            <w:tcW w:type="dxa" w:w="2160"/>
            <w:shd w:fill="F7FAFC"/>
            <w:tcMar>
              <w:top w:w="80" w:type="dxa"/>
              <w:bottom w:w="80" w:type="dxa"/>
              <w:left w:w="120" w:type="dxa"/>
              <w:right w:w="120" w:type="dxa"/>
            </w:tcMar>
          </w:tcPr>
          <w:p>
            <w:r>
              <w:rPr>
                <w:rFonts w:ascii="Calibri" w:hAnsi="Calibri"/>
                <w:color w:val="1A202C"/>
                <w:sz w:val="18"/>
              </w:rPr>
              <w:t>DB Test</w:t>
            </w:r>
          </w:p>
        </w:tc>
        <w:tc>
          <w:tcPr>
            <w:tcW w:type="dxa" w:w="2880"/>
            <w:shd w:fill="F7FAFC"/>
            <w:tcMar>
              <w:top w:w="80" w:type="dxa"/>
              <w:bottom w:w="80" w:type="dxa"/>
              <w:left w:w="120" w:type="dxa"/>
              <w:right w:w="120" w:type="dxa"/>
            </w:tcMar>
          </w:tcPr>
          <w:p>
            <w:r>
              <w:rPr>
                <w:rFonts w:ascii="Calibri" w:hAnsi="Calibri"/>
                <w:color w:val="1A202C"/>
                <w:sz w:val="18"/>
              </w:rPr>
              <w:t>Assessment snapshots stored completely in DB.</w:t>
            </w:r>
          </w:p>
        </w:tc>
      </w:tr>
      <w:tr>
        <w:tc>
          <w:tcPr>
            <w:tcW w:type="dxa" w:w="1440"/>
            <w:shd w:fill="FFFFFF"/>
            <w:tcMar>
              <w:top w:w="80" w:type="dxa"/>
              <w:bottom w:w="80" w:type="dxa"/>
              <w:left w:w="120" w:type="dxa"/>
              <w:right w:w="120" w:type="dxa"/>
            </w:tcMar>
          </w:tcPr>
          <w:p>
            <w:r>
              <w:rPr>
                <w:rFonts w:ascii="Calibri" w:hAnsi="Calibri"/>
                <w:color w:val="1A202C"/>
                <w:sz w:val="18"/>
              </w:rPr>
              <w:t>AC-17</w:t>
            </w:r>
          </w:p>
        </w:tc>
        <w:tc>
          <w:tcPr>
            <w:tcW w:type="dxa" w:w="3168"/>
            <w:shd w:fill="FFFFFF"/>
            <w:tcMar>
              <w:top w:w="80" w:type="dxa"/>
              <w:bottom w:w="80" w:type="dxa"/>
              <w:left w:w="120" w:type="dxa"/>
              <w:right w:w="120" w:type="dxa"/>
            </w:tcMar>
          </w:tcPr>
          <w:p>
            <w:r>
              <w:rPr>
                <w:rFonts w:ascii="Calibri" w:hAnsi="Calibri"/>
                <w:color w:val="1A202C"/>
                <w:sz w:val="18"/>
              </w:rPr>
              <w:t>Medical RAG Evidence Search</w:t>
            </w:r>
          </w:p>
        </w:tc>
        <w:tc>
          <w:tcPr>
            <w:tcW w:type="dxa" w:w="2160"/>
            <w:shd w:fill="FFFFFF"/>
            <w:tcMar>
              <w:top w:w="80" w:type="dxa"/>
              <w:bottom w:w="80" w:type="dxa"/>
              <w:left w:w="120" w:type="dxa"/>
              <w:right w:w="120" w:type="dxa"/>
            </w:tcMar>
          </w:tcPr>
          <w:p>
            <w:r>
              <w:rPr>
                <w:rFonts w:ascii="Calibri" w:hAnsi="Calibri"/>
                <w:color w:val="1A202C"/>
                <w:sz w:val="18"/>
              </w:rPr>
              <w:t>RAG Test</w:t>
            </w:r>
          </w:p>
        </w:tc>
        <w:tc>
          <w:tcPr>
            <w:tcW w:type="dxa" w:w="2880"/>
            <w:shd w:fill="FFFFFF"/>
            <w:tcMar>
              <w:top w:w="80" w:type="dxa"/>
              <w:bottom w:w="80" w:type="dxa"/>
              <w:left w:w="120" w:type="dxa"/>
              <w:right w:w="120" w:type="dxa"/>
            </w:tcMar>
          </w:tcPr>
          <w:p>
            <w:r>
              <w:rPr>
                <w:rFonts w:ascii="Calibri" w:hAnsi="Calibri"/>
                <w:color w:val="1A202C"/>
                <w:sz w:val="18"/>
              </w:rPr>
              <w:t>FAISS vector store returns top-3 clinical guidelines.</w:t>
            </w:r>
          </w:p>
        </w:tc>
      </w:tr>
      <w:tr>
        <w:tc>
          <w:tcPr>
            <w:tcW w:type="dxa" w:w="1440"/>
            <w:shd w:fill="F7FAFC"/>
            <w:tcMar>
              <w:top w:w="80" w:type="dxa"/>
              <w:bottom w:w="80" w:type="dxa"/>
              <w:left w:w="120" w:type="dxa"/>
              <w:right w:w="120" w:type="dxa"/>
            </w:tcMar>
          </w:tcPr>
          <w:p>
            <w:r>
              <w:rPr>
                <w:rFonts w:ascii="Calibri" w:hAnsi="Calibri"/>
                <w:color w:val="1A202C"/>
                <w:sz w:val="18"/>
              </w:rPr>
              <w:t>AC-18</w:t>
            </w:r>
          </w:p>
        </w:tc>
        <w:tc>
          <w:tcPr>
            <w:tcW w:type="dxa" w:w="3168"/>
            <w:shd w:fill="F7FAFC"/>
            <w:tcMar>
              <w:top w:w="80" w:type="dxa"/>
              <w:bottom w:w="80" w:type="dxa"/>
              <w:left w:w="120" w:type="dxa"/>
              <w:right w:w="120" w:type="dxa"/>
            </w:tcMar>
          </w:tcPr>
          <w:p>
            <w:r>
              <w:rPr>
                <w:rFonts w:ascii="Calibri" w:hAnsi="Calibri"/>
                <w:color w:val="1A202C"/>
                <w:sz w:val="18"/>
              </w:rPr>
              <w:t>Generative AI Report Synthesis</w:t>
            </w:r>
          </w:p>
        </w:tc>
        <w:tc>
          <w:tcPr>
            <w:tcW w:type="dxa" w:w="2160"/>
            <w:shd w:fill="F7FAFC"/>
            <w:tcMar>
              <w:top w:w="80" w:type="dxa"/>
              <w:bottom w:w="80" w:type="dxa"/>
              <w:left w:w="120" w:type="dxa"/>
              <w:right w:w="120" w:type="dxa"/>
            </w:tcMar>
          </w:tcPr>
          <w:p>
            <w:r>
              <w:rPr>
                <w:rFonts w:ascii="Calibri" w:hAnsi="Calibri"/>
                <w:color w:val="1A202C"/>
                <w:sz w:val="18"/>
              </w:rPr>
              <w:t>LLM Test</w:t>
            </w:r>
          </w:p>
        </w:tc>
        <w:tc>
          <w:tcPr>
            <w:tcW w:type="dxa" w:w="2880"/>
            <w:shd w:fill="F7FAFC"/>
            <w:tcMar>
              <w:top w:w="80" w:type="dxa"/>
              <w:bottom w:w="80" w:type="dxa"/>
              <w:left w:w="120" w:type="dxa"/>
              <w:right w:w="120" w:type="dxa"/>
            </w:tcMar>
          </w:tcPr>
          <w:p>
            <w:r>
              <w:rPr>
                <w:rFonts w:ascii="Calibri" w:hAnsi="Calibri"/>
                <w:color w:val="1A202C"/>
                <w:sz w:val="18"/>
              </w:rPr>
              <w:t>Synthesizes structured patient &amp; doctor briefings.</w:t>
            </w:r>
          </w:p>
        </w:tc>
      </w:tr>
      <w:tr>
        <w:tc>
          <w:tcPr>
            <w:tcW w:type="dxa" w:w="1440"/>
            <w:shd w:fill="FFFFFF"/>
            <w:tcMar>
              <w:top w:w="80" w:type="dxa"/>
              <w:bottom w:w="80" w:type="dxa"/>
              <w:left w:w="120" w:type="dxa"/>
              <w:right w:w="120" w:type="dxa"/>
            </w:tcMar>
          </w:tcPr>
          <w:p>
            <w:r>
              <w:rPr>
                <w:rFonts w:ascii="Calibri" w:hAnsi="Calibri"/>
                <w:color w:val="1A202C"/>
                <w:sz w:val="18"/>
              </w:rPr>
              <w:t>AC-19</w:t>
            </w:r>
          </w:p>
        </w:tc>
        <w:tc>
          <w:tcPr>
            <w:tcW w:type="dxa" w:w="3168"/>
            <w:shd w:fill="FFFFFF"/>
            <w:tcMar>
              <w:top w:w="80" w:type="dxa"/>
              <w:bottom w:w="80" w:type="dxa"/>
              <w:left w:w="120" w:type="dxa"/>
              <w:right w:w="120" w:type="dxa"/>
            </w:tcMar>
          </w:tcPr>
          <w:p>
            <w:r>
              <w:rPr>
                <w:rFonts w:ascii="Calibri" w:hAnsi="Calibri"/>
                <w:color w:val="1A202C"/>
                <w:sz w:val="18"/>
              </w:rPr>
              <w:t>AI Safety Guardrail Enforcement</w:t>
            </w:r>
          </w:p>
        </w:tc>
        <w:tc>
          <w:tcPr>
            <w:tcW w:type="dxa" w:w="2160"/>
            <w:shd w:fill="FFFFFF"/>
            <w:tcMar>
              <w:top w:w="80" w:type="dxa"/>
              <w:bottom w:w="80" w:type="dxa"/>
              <w:left w:w="120" w:type="dxa"/>
              <w:right w:w="120" w:type="dxa"/>
            </w:tcMar>
          </w:tcPr>
          <w:p>
            <w:r>
              <w:rPr>
                <w:rFonts w:ascii="Calibri" w:hAnsi="Calibri"/>
                <w:color w:val="1A202C"/>
                <w:sz w:val="18"/>
              </w:rPr>
              <w:t>Safety Test</w:t>
            </w:r>
          </w:p>
        </w:tc>
        <w:tc>
          <w:tcPr>
            <w:tcW w:type="dxa" w:w="2880"/>
            <w:shd w:fill="FFFFFF"/>
            <w:tcMar>
              <w:top w:w="80" w:type="dxa"/>
              <w:bottom w:w="80" w:type="dxa"/>
              <w:left w:w="120" w:type="dxa"/>
              <w:right w:w="120" w:type="dxa"/>
            </w:tcMar>
          </w:tcPr>
          <w:p>
            <w:r>
              <w:rPr>
                <w:rFonts w:ascii="Calibri" w:hAnsi="Calibri"/>
                <w:color w:val="1A202C"/>
                <w:sz w:val="18"/>
              </w:rPr>
              <w:t>Rejects reports containing diagnostic assertions.</w:t>
            </w:r>
          </w:p>
        </w:tc>
      </w:tr>
      <w:tr>
        <w:tc>
          <w:tcPr>
            <w:tcW w:type="dxa" w:w="1440"/>
            <w:shd w:fill="F7FAFC"/>
            <w:tcMar>
              <w:top w:w="80" w:type="dxa"/>
              <w:bottom w:w="80" w:type="dxa"/>
              <w:left w:w="120" w:type="dxa"/>
              <w:right w:w="120" w:type="dxa"/>
            </w:tcMar>
          </w:tcPr>
          <w:p>
            <w:r>
              <w:rPr>
                <w:rFonts w:ascii="Calibri" w:hAnsi="Calibri"/>
                <w:color w:val="1A202C"/>
                <w:sz w:val="18"/>
              </w:rPr>
              <w:t>AC-20</w:t>
            </w:r>
          </w:p>
        </w:tc>
        <w:tc>
          <w:tcPr>
            <w:tcW w:type="dxa" w:w="3168"/>
            <w:shd w:fill="F7FAFC"/>
            <w:tcMar>
              <w:top w:w="80" w:type="dxa"/>
              <w:bottom w:w="80" w:type="dxa"/>
              <w:left w:w="120" w:type="dxa"/>
              <w:right w:w="120" w:type="dxa"/>
            </w:tcMar>
          </w:tcPr>
          <w:p>
            <w:r>
              <w:rPr>
                <w:rFonts w:ascii="Calibri" w:hAnsi="Calibri"/>
                <w:color w:val="1A202C"/>
                <w:sz w:val="18"/>
              </w:rPr>
              <w:t>PDF Report Generation</w:t>
            </w:r>
          </w:p>
        </w:tc>
        <w:tc>
          <w:tcPr>
            <w:tcW w:type="dxa" w:w="2160"/>
            <w:shd w:fill="F7FAFC"/>
            <w:tcMar>
              <w:top w:w="80" w:type="dxa"/>
              <w:bottom w:w="80" w:type="dxa"/>
              <w:left w:w="120" w:type="dxa"/>
              <w:right w:w="120" w:type="dxa"/>
            </w:tcMar>
          </w:tcPr>
          <w:p>
            <w:r>
              <w:rPr>
                <w:rFonts w:ascii="Calibri" w:hAnsi="Calibri"/>
                <w:color w:val="1A202C"/>
                <w:sz w:val="18"/>
              </w:rPr>
              <w:t>Render Test</w:t>
            </w:r>
          </w:p>
        </w:tc>
        <w:tc>
          <w:tcPr>
            <w:tcW w:type="dxa" w:w="2880"/>
            <w:shd w:fill="F7FAFC"/>
            <w:tcMar>
              <w:top w:w="80" w:type="dxa"/>
              <w:bottom w:w="80" w:type="dxa"/>
              <w:left w:w="120" w:type="dxa"/>
              <w:right w:w="120" w:type="dxa"/>
            </w:tcMar>
          </w:tcPr>
          <w:p>
            <w:r>
              <w:rPr>
                <w:rFonts w:ascii="Calibri" w:hAnsi="Calibri"/>
                <w:color w:val="1A202C"/>
                <w:sz w:val="18"/>
              </w:rPr>
              <w:t>Generates styled, downloadable PDF assessment report.</w:t>
            </w:r>
          </w:p>
        </w:tc>
      </w:tr>
      <w:tr>
        <w:tc>
          <w:tcPr>
            <w:tcW w:type="dxa" w:w="1440"/>
            <w:shd w:fill="FFFFFF"/>
            <w:tcMar>
              <w:top w:w="80" w:type="dxa"/>
              <w:bottom w:w="80" w:type="dxa"/>
              <w:left w:w="120" w:type="dxa"/>
              <w:right w:w="120" w:type="dxa"/>
            </w:tcMar>
          </w:tcPr>
          <w:p>
            <w:r>
              <w:rPr>
                <w:rFonts w:ascii="Calibri" w:hAnsi="Calibri"/>
                <w:color w:val="1A202C"/>
                <w:sz w:val="18"/>
              </w:rPr>
              <w:t>AC-21</w:t>
            </w:r>
          </w:p>
        </w:tc>
        <w:tc>
          <w:tcPr>
            <w:tcW w:type="dxa" w:w="3168"/>
            <w:shd w:fill="FFFFFF"/>
            <w:tcMar>
              <w:top w:w="80" w:type="dxa"/>
              <w:bottom w:w="80" w:type="dxa"/>
              <w:left w:w="120" w:type="dxa"/>
              <w:right w:w="120" w:type="dxa"/>
            </w:tcMar>
          </w:tcPr>
          <w:p>
            <w:r>
              <w:rPr>
                <w:rFonts w:ascii="Calibri" w:hAnsi="Calibri"/>
                <w:color w:val="1A202C"/>
                <w:sz w:val="18"/>
              </w:rPr>
              <w:t>Assessment History Retrieval</w:t>
            </w:r>
          </w:p>
        </w:tc>
        <w:tc>
          <w:tcPr>
            <w:tcW w:type="dxa" w:w="2160"/>
            <w:shd w:fill="FFFFFF"/>
            <w:tcMar>
              <w:top w:w="80" w:type="dxa"/>
              <w:bottom w:w="80" w:type="dxa"/>
              <w:left w:w="120" w:type="dxa"/>
              <w:right w:w="120" w:type="dxa"/>
            </w:tcMar>
          </w:tcPr>
          <w:p>
            <w:r>
              <w:rPr>
                <w:rFonts w:ascii="Calibri" w:hAnsi="Calibri"/>
                <w:color w:val="1A202C"/>
                <w:sz w:val="18"/>
              </w:rPr>
              <w:t>UI Test</w:t>
            </w:r>
          </w:p>
        </w:tc>
        <w:tc>
          <w:tcPr>
            <w:tcW w:type="dxa" w:w="2880"/>
            <w:shd w:fill="FFFFFF"/>
            <w:tcMar>
              <w:top w:w="80" w:type="dxa"/>
              <w:bottom w:w="80" w:type="dxa"/>
              <w:left w:w="120" w:type="dxa"/>
              <w:right w:w="120" w:type="dxa"/>
            </w:tcMar>
          </w:tcPr>
          <w:p>
            <w:r>
              <w:rPr>
                <w:rFonts w:ascii="Calibri" w:hAnsi="Calibri"/>
                <w:color w:val="1A202C"/>
                <w:sz w:val="18"/>
              </w:rPr>
              <w:t>Displays chronological history timeline.</w:t>
            </w:r>
          </w:p>
        </w:tc>
      </w:tr>
      <w:tr>
        <w:tc>
          <w:tcPr>
            <w:tcW w:type="dxa" w:w="1440"/>
            <w:shd w:fill="F7FAFC"/>
            <w:tcMar>
              <w:top w:w="80" w:type="dxa"/>
              <w:bottom w:w="80" w:type="dxa"/>
              <w:left w:w="120" w:type="dxa"/>
              <w:right w:w="120" w:type="dxa"/>
            </w:tcMar>
          </w:tcPr>
          <w:p>
            <w:r>
              <w:rPr>
                <w:rFonts w:ascii="Calibri" w:hAnsi="Calibri"/>
                <w:color w:val="1A202C"/>
                <w:sz w:val="18"/>
              </w:rPr>
              <w:t>AC-22</w:t>
            </w:r>
          </w:p>
        </w:tc>
        <w:tc>
          <w:tcPr>
            <w:tcW w:type="dxa" w:w="3168"/>
            <w:shd w:fill="F7FAFC"/>
            <w:tcMar>
              <w:top w:w="80" w:type="dxa"/>
              <w:bottom w:w="80" w:type="dxa"/>
              <w:left w:w="120" w:type="dxa"/>
              <w:right w:w="120" w:type="dxa"/>
            </w:tcMar>
          </w:tcPr>
          <w:p>
            <w:r>
              <w:rPr>
                <w:rFonts w:ascii="Calibri" w:hAnsi="Calibri"/>
                <w:color w:val="1A202C"/>
                <w:sz w:val="18"/>
              </w:rPr>
              <w:t>Doctor Review Workflow</w:t>
            </w:r>
          </w:p>
        </w:tc>
        <w:tc>
          <w:tcPr>
            <w:tcW w:type="dxa" w:w="2160"/>
            <w:shd w:fill="F7FAFC"/>
            <w:tcMar>
              <w:top w:w="80" w:type="dxa"/>
              <w:bottom w:w="80" w:type="dxa"/>
              <w:left w:w="120" w:type="dxa"/>
              <w:right w:w="120" w:type="dxa"/>
            </w:tcMar>
          </w:tcPr>
          <w:p>
            <w:r>
              <w:rPr>
                <w:rFonts w:ascii="Calibri" w:hAnsi="Calibri"/>
                <w:color w:val="1A202C"/>
                <w:sz w:val="18"/>
              </w:rPr>
              <w:t>Portal Test</w:t>
            </w:r>
          </w:p>
        </w:tc>
        <w:tc>
          <w:tcPr>
            <w:tcW w:type="dxa" w:w="2880"/>
            <w:shd w:fill="F7FAFC"/>
            <w:tcMar>
              <w:top w:w="80" w:type="dxa"/>
              <w:bottom w:w="80" w:type="dxa"/>
              <w:left w:w="120" w:type="dxa"/>
              <w:right w:w="120" w:type="dxa"/>
            </w:tcMar>
          </w:tcPr>
          <w:p>
            <w:r>
              <w:rPr>
                <w:rFonts w:ascii="Calibri" w:hAnsi="Calibri"/>
                <w:color w:val="1A202C"/>
                <w:sz w:val="18"/>
              </w:rPr>
              <w:t>Verified doctor inspects assessment &amp; adds review note.</w:t>
            </w:r>
          </w:p>
        </w:tc>
      </w:tr>
      <w:tr>
        <w:tc>
          <w:tcPr>
            <w:tcW w:type="dxa" w:w="1440"/>
            <w:shd w:fill="FFFFFF"/>
            <w:tcMar>
              <w:top w:w="80" w:type="dxa"/>
              <w:bottom w:w="80" w:type="dxa"/>
              <w:left w:w="120" w:type="dxa"/>
              <w:right w:w="120" w:type="dxa"/>
            </w:tcMar>
          </w:tcPr>
          <w:p>
            <w:r>
              <w:rPr>
                <w:rFonts w:ascii="Calibri" w:hAnsi="Calibri"/>
                <w:color w:val="1A202C"/>
                <w:sz w:val="18"/>
              </w:rPr>
              <w:t>AC-23</w:t>
            </w:r>
          </w:p>
        </w:tc>
        <w:tc>
          <w:tcPr>
            <w:tcW w:type="dxa" w:w="3168"/>
            <w:shd w:fill="FFFFFF"/>
            <w:tcMar>
              <w:top w:w="80" w:type="dxa"/>
              <w:bottom w:w="80" w:type="dxa"/>
              <w:left w:w="120" w:type="dxa"/>
              <w:right w:w="120" w:type="dxa"/>
            </w:tcMar>
          </w:tcPr>
          <w:p>
            <w:r>
              <w:rPr>
                <w:rFonts w:ascii="Calibri" w:hAnsi="Calibri"/>
                <w:color w:val="1A202C"/>
                <w:sz w:val="18"/>
              </w:rPr>
              <w:t>Docker Container Deployment</w:t>
            </w:r>
          </w:p>
        </w:tc>
        <w:tc>
          <w:tcPr>
            <w:tcW w:type="dxa" w:w="2160"/>
            <w:shd w:fill="FFFFFF"/>
            <w:tcMar>
              <w:top w:w="80" w:type="dxa"/>
              <w:bottom w:w="80" w:type="dxa"/>
              <w:left w:w="120" w:type="dxa"/>
              <w:right w:w="120" w:type="dxa"/>
            </w:tcMar>
          </w:tcPr>
          <w:p>
            <w:r>
              <w:rPr>
                <w:rFonts w:ascii="Calibri" w:hAnsi="Calibri"/>
                <w:color w:val="1A202C"/>
                <w:sz w:val="18"/>
              </w:rPr>
              <w:t>Ops Test</w:t>
            </w:r>
          </w:p>
        </w:tc>
        <w:tc>
          <w:tcPr>
            <w:tcW w:type="dxa" w:w="2880"/>
            <w:shd w:fill="FFFFFF"/>
            <w:tcMar>
              <w:top w:w="80" w:type="dxa"/>
              <w:bottom w:w="80" w:type="dxa"/>
              <w:left w:w="120" w:type="dxa"/>
              <w:right w:w="120" w:type="dxa"/>
            </w:tcMar>
          </w:tcPr>
          <w:p>
            <w:r>
              <w:rPr>
                <w:rFonts w:ascii="Calibri" w:hAnsi="Calibri"/>
                <w:color w:val="1A202C"/>
                <w:sz w:val="18"/>
              </w:rPr>
              <w:t>Entire stack launches cleanly via `docker compose up`.</w:t>
            </w:r>
          </w:p>
        </w:tc>
      </w:tr>
    </w:tbl>
    <w:p>
      <w:pPr>
        <w:keepNext/>
        <w:spacing w:before="280" w:after="120"/>
      </w:pPr>
      <w:r>
        <w:rPr>
          <w:rFonts w:ascii="Calibri" w:hAnsi="Calibri"/>
          <w:b/>
          <w:color w:val="1B365D"/>
          <w:sz w:val="32"/>
        </w:rPr>
        <w:t>23. CONCLUSION</w:t>
      </w:r>
    </w:p>
    <w:p>
      <w:pPr>
        <w:spacing w:before="0" w:after="100" w:line="276" w:lineRule="auto"/>
      </w:pPr>
      <w:r>
        <w:rPr>
          <w:rFonts w:ascii="Calibri" w:hAnsi="Calibri"/>
          <w:color w:val="1A202C"/>
          <w:sz w:val="21"/>
        </w:rPr>
        <w:t>This Software Requirements Specification establishes a rigorous, comprehensive blueprint for the TeleMed platform. By synthesizing clinical biomarkers, continuous wearable sensor telemetry, and gut microbiome multi-omics into an adaptive stacking fusion architecture—complemented by TreeSHAP explainability and Medical RAG report generation—TeleMed provides a state-of-the-art foundation for AI-assisted digital health decision support. This document fulfills all academic requirements for III/I B.Tech Computer Science and Engineering evaluation.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Page </w:t>
    </w:r>
    <w:fldSimple w:instr="PAGE"/>
    <w:r>
      <w:rPr>
        <w:rFonts w:ascii="Calibri" w:hAnsi="Calibri"/>
        <w:color w:val="718096"/>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TeleMed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