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Performance Improvement Plan (PIP) Policy — v2</w:t>
      </w:r>
    </w:p>
    <w:p>
      <w:r>
        <w:rPr>
          <w:b/>
        </w:rPr>
        <w:t xml:space="preserve">Owner: People Ops   |   Effective: 2024-01-01</w:t>
      </w:r>
    </w:p>
    <w:p>
      <w:r>
        <w:rPr>
          <w:b/>
          <w:sz w:val="26"/>
        </w:rPr>
        <w:t xml:space="preserve">Criteria</w:t>
      </w:r>
    </w:p>
    <w:p>
      <w:r>
        <w:t xml:space="preserve">A PIP is initiated when an employee falls below role expectations for two consecutive review cycles.</w:t>
      </w:r>
    </w:p>
    <w:p>
      <w:r>
        <w:rPr>
          <w:b/>
          <w:sz w:val="26"/>
        </w:rPr>
        <w:t xml:space="preserve">Process</w:t>
      </w:r>
    </w:p>
    <w:p>
      <w:r>
        <w:t xml:space="preserve">30/60/90-day checkpoints with the manager and People Ops. Documented goals and support.</w:t>
      </w:r>
    </w:p>
    <w:p>
      <w:r>
        <w:rPr>
          <w:b/>
          <w:sz w:val="26"/>
        </w:rPr>
        <w:t xml:space="preserve">Termination for cause (separate track)</w:t>
      </w:r>
    </w:p>
    <w:p>
      <w:r>
        <w:t xml:space="preserve">Data falsification, safety violations, or misconduct bypass the PIP and are handled as termination-for-cause (see HR/cases).</w:t>
      </w:r>
    </w:p>
    <w:sectPr/>
  </w:body>
</w:document>
</file>