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Northline Logistics LLC — Service Proposal (Rev 2 — CURRENT)</w:t>
      </w:r>
    </w:p>
    <w:p>
      <w:r>
        <w:rPr>
          <w:b/>
        </w:rPr>
        <w:t xml:space="preserve">Prepared for: Verdant Organics</w:t>
      </w:r>
    </w:p>
    <w:p>
      <w:r>
        <w:t xml:space="preserve">Date: 2026-02-24    |    Status: LIVE    |    Serving hub: CMH</w:t>
      </w:r>
    </w:p>
    <w:p>
      <w:r>
        <w:t xml:space="preserve">Prepared by Northline Sales &amp; Business Development. Confidential.</w:t>
      </w:r>
    </w:p>
    <w:p>
      <w:r>
        <w:rPr>
          <w:b/>
          <w:sz w:val="26"/>
        </w:rPr>
        <w:t xml:space="preserve">1. Executive summary</w:t>
      </w:r>
    </w:p>
    <w:p>
      <w:r>
        <w:t xml:space="preserve">Northline Logistics proposes an integrated third-party logistics program for Verdant Organics, combining reefer (cold-chain) warehousing at the Columbus Hub. This proposal sets out the scope, the service levels we commit to, the commercial terms, and the implementation plan. Our objective is a measurable On-Time Delivery performance of 97% (cold-chain) with full visibility across every lane.</w:t>
      </w:r>
    </w:p>
    <w:p>
      <w:r>
        <w:rPr>
          <w:b/>
          <w:sz w:val="26"/>
        </w:rPr>
        <w:t xml:space="preserve">2. Scope of services</w:t>
      </w:r>
    </w:p>
    <w:p>
      <w:r>
        <w:t xml:space="preserve">• Inbound receiving, put-away and cycle-counted inventory management.</w:t>
      </w:r>
    </w:p>
    <w:p>
      <w:r>
        <w:t xml:space="preserve">• Order fulfillment and pick/pack with barcode verification.</w:t>
      </w:r>
    </w:p>
    <w:p>
      <w:r>
        <w:t xml:space="preserve">• Outbound transportation via our carrier panel and asset last-mile fleet.</w:t>
      </w:r>
    </w:p>
    <w:p>
      <w:r>
        <w:t xml:space="preserve">• Weekly performance reporting and a quarterly business review (QBR).</w:t>
      </w:r>
    </w:p>
    <w:p>
      <w:r>
        <w:t xml:space="preserve">• A named delivery program manager as the single point of accountability.</w:t>
      </w:r>
    </w:p>
    <w:p>
      <w:r>
        <w:rPr>
          <w:b/>
          <w:sz w:val="26"/>
        </w:rPr>
        <w:t xml:space="preserve">3. Service levels</w:t>
      </w:r>
    </w:p>
    <w:p>
      <w:r>
        <w:t xml:space="preserve">On-Time Delivery (OTD): 97% (cold-chain), measured weekly and reported at the lane level.</w:t>
      </w:r>
    </w:p>
    <w:p>
      <w:r>
        <w:t xml:space="preserve">Inventory accuracy: 99.0%+ on cycle counts. Order accuracy: 99.5%+.</w:t>
      </w:r>
    </w:p>
    <w:p>
      <w:r>
        <w:t xml:space="preserve">Service credits apply per the schedule in the executed Statement of Work if a quarter falls below the committed OTD.</w:t>
      </w:r>
    </w:p>
    <w:p>
      <w:r>
        <w:rPr>
          <w:b/>
          <w:sz w:val="26"/>
        </w:rPr>
        <w:t xml:space="preserve">4. Commercial terms</w:t>
      </w:r>
    </w:p>
    <w:p>
      <w:r>
        <w:t xml:space="preserve">Proposed monthly fee: $52,000 / month.</w:t>
      </w:r>
    </w:p>
    <w:p>
      <w:r>
        <w:t xml:space="preserve">Fees are billed monthly in arrears. Volume above the contracted band is billed at the per-unit overage rate defined in the SOW.</w:t>
      </w:r>
    </w:p>
    <w:p>
      <w:r>
        <w:rPr>
          <w:b/>
          <w:sz w:val="26"/>
        </w:rPr>
        <w:t xml:space="preserve">5. Assumptions &amp; dependencies</w:t>
      </w:r>
    </w:p>
    <w:p>
      <w:r>
        <w:t xml:space="preserve">• Volumes and SKU counts as shared during discovery; material deviations trigger a pricing review.</w:t>
      </w:r>
    </w:p>
    <w:p>
      <w:r>
        <w:t xml:space="preserve">• Client provides ASN/EDI feeds or uses the Northline portal for order intake.</w:t>
      </w:r>
    </w:p>
    <w:p>
      <w:r>
        <w:t xml:space="preserve">• Carrier fuel surcharges are passed through at cost.</w:t>
      </w:r>
    </w:p>
    <w:p>
      <w:r>
        <w:rPr>
          <w:b/>
          <w:sz w:val="26"/>
        </w:rPr>
        <w:t xml:space="preserve">6. Implementation timeline</w:t>
      </w:r>
    </w:p>
    <w:p>
      <w:r>
        <w:t xml:space="preserve">Weeks 1–2: contracting and systems setup. Weeks 3–4: inventory onboarding and test orders. Week 5: go-live with hypercare. Week 8: first performance review.</w:t>
      </w:r>
    </w:p>
    <w:p>
      <w:r>
        <w:rPr>
          <w:b/>
          <w:sz w:val="26"/>
        </w:rPr>
        <w:t xml:space="preserve">7. Term &amp; renewal</w:t>
      </w:r>
    </w:p>
    <w:p>
      <w:r>
        <w:t xml:space="preserve">Initial term of 12–24 months with auto-renewal unless either party gives 60 days' notice.</w:t>
      </w:r>
    </w:p>
    <w:p>
      <w:r>
        <w:rPr>
          <w:b/>
          <w:sz w:val="26"/>
        </w:rPr>
        <w:t xml:space="preserve">8. Next steps</w:t>
      </w:r>
    </w:p>
    <w:p>
      <w:r>
        <w:t xml:space="preserve">Countersign the attached Statement of Work to lock pricing and begin onboarding. This proposal is an estimate and is superseded by the executed SOW.</w:t>
      </w:r>
    </w:p>
    <w:p>
      <w:r>
        <w:rPr>
          <w:b/>
        </w:rPr>
        <w:t xml:space="preserve">OPEN RISK: Columbus reefer docks (D01–D06) are already 90%+ utilized. Capacity sign-off from Warehouse Ops is required before we commit to the 97% cold-chain SLA.</w:t>
      </w:r>
    </w:p>
    <w:sectPr/>
  </w:body>
</w:document>
</file>