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Win/Loss Review — Sterling Grocery Group (CL-004)</w:t>
      </w:r>
    </w:p>
    <w:p>
      <w:r>
        <w:rPr>
          <w:b/>
        </w:rPr>
        <w:t xml:space="preserve">Outcome: LOST / CHURNED   |   Churn date: 2025-08-31   |   Last MRR: $64,000</w:t>
      </w:r>
    </w:p>
    <w:p>
      <w:r>
        <w:rPr>
          <w:b/>
          <w:sz w:val="26"/>
        </w:rPr>
        <w:t xml:space="preserve">Headline reason</w:t>
      </w:r>
    </w:p>
    <w:p>
      <w:r>
        <w:t xml:space="preserve">Lost to a competitor on price at renewal.</w:t>
      </w:r>
    </w:p>
    <w:p>
      <w:r>
        <w:rPr>
          <w:b/>
          <w:sz w:val="26"/>
        </w:rPr>
        <w:t xml:space="preserve">Root cause (deeper)</w:t>
      </w:r>
    </w:p>
    <w:p>
      <w:r>
        <w:t xml:space="preserve">Two consecutive quarters of OTD breaches (2025-Q1 93.1%, 2025-Q2 92.4% vs 95% target) eroded trust and removed our leverage to hold rate. Price was the stated reason; service was the underlying cause. See sterling_otd_history.csv.</w:t>
      </w:r>
    </w:p>
    <w:sectPr/>
  </w:body>
</w:document>
</file>