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7E3E2">
      <w:pPr>
        <w:jc w:val="center"/>
        <w:rPr>
          <w:rFonts w:hint="eastAsia" w:eastAsia="华文行楷"/>
          <w:b/>
          <w:bCs/>
          <w:sz w:val="52"/>
        </w:rPr>
      </w:pPr>
    </w:p>
    <w:p w14:paraId="7D2E4BC9">
      <w:pPr>
        <w:jc w:val="center"/>
        <w:rPr>
          <w:rFonts w:hint="eastAsia" w:eastAsia="华文行楷"/>
          <w:b/>
          <w:bCs/>
          <w:sz w:val="52"/>
        </w:rPr>
      </w:pPr>
      <w:r>
        <w:rPr>
          <w:rFonts w:hint="eastAsia" w:eastAsia="华文行楷"/>
          <w:b/>
          <w:bCs/>
          <w:sz w:val="52"/>
        </w:rPr>
        <w:t>中国科学技术大学软件学院</w:t>
      </w:r>
    </w:p>
    <w:p w14:paraId="741E536E"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软件工程实验项目环节</w:t>
      </w:r>
    </w:p>
    <w:p w14:paraId="4A739514"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开题报告</w:t>
      </w:r>
    </w:p>
    <w:p w14:paraId="4F2AEC51">
      <w:pPr>
        <w:jc w:val="center"/>
        <w:rPr>
          <w:rFonts w:hint="eastAsia"/>
          <w:b/>
          <w:bCs/>
          <w:sz w:val="52"/>
        </w:rPr>
      </w:pPr>
    </w:p>
    <w:p w14:paraId="3CB8C747">
      <w:pPr>
        <w:ind w:firstLine="1561" w:firstLineChars="299"/>
        <w:rPr>
          <w:rFonts w:hint="eastAsia"/>
          <w:b/>
          <w:bCs/>
          <w:sz w:val="52"/>
          <w:u w:val="single"/>
        </w:rPr>
      </w:pPr>
    </w:p>
    <w:p w14:paraId="17C1BF32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项 目 名 称：</w:t>
      </w:r>
      <w:r>
        <w:rPr>
          <w:rFonts w:hint="eastAsia"/>
          <w:b/>
          <w:bCs/>
          <w:sz w:val="36"/>
          <w:u w:val="single"/>
        </w:rPr>
        <w:t>基于RAG的轻量级</w:t>
      </w:r>
    </w:p>
    <w:p w14:paraId="7ED090D1">
      <w:pPr>
        <w:spacing w:line="480" w:lineRule="auto"/>
        <w:ind w:firstLine="4048" w:firstLineChars="1120"/>
        <w:rPr>
          <w:b/>
          <w:bCs/>
          <w:sz w:val="36"/>
          <w:u w:val="single"/>
        </w:rPr>
      </w:pPr>
      <w:r>
        <w:rPr>
          <w:rFonts w:hint="eastAsia"/>
          <w:b/>
          <w:bCs/>
          <w:sz w:val="36"/>
          <w:u w:val="single"/>
        </w:rPr>
        <w:t xml:space="preserve">企业工艺生成 </w:t>
      </w:r>
    </w:p>
    <w:p w14:paraId="22508FD9">
      <w:pPr>
        <w:spacing w:line="480" w:lineRule="auto"/>
        <w:ind w:firstLine="1789" w:firstLineChars="495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t>成 员 名 单：</w:t>
      </w:r>
      <w:r>
        <w:rPr>
          <w:rFonts w:hint="eastAsia"/>
          <w:b/>
          <w:bCs/>
          <w:sz w:val="36"/>
          <w:u w:val="single"/>
        </w:rPr>
        <w:t xml:space="preserve"> 邢翔宇、吴奇鑫、温赞</w:t>
      </w:r>
    </w:p>
    <w:p w14:paraId="07AB3D4B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导       师：</w:t>
      </w:r>
      <w:r>
        <w:rPr>
          <w:rFonts w:hint="eastAsia"/>
          <w:b/>
          <w:bCs/>
          <w:sz w:val="36"/>
          <w:u w:val="single"/>
        </w:rPr>
        <w:t xml:space="preserve">    丁箐   </w:t>
      </w:r>
      <w:r>
        <w:rPr>
          <w:rFonts w:hint="eastAsia"/>
          <w:b/>
          <w:bCs/>
          <w:sz w:val="36"/>
          <w:u w:val="single"/>
        </w:rPr>
        <w:tab/>
      </w:r>
    </w:p>
    <w:p w14:paraId="4F5B2855">
      <w:pPr>
        <w:spacing w:line="480" w:lineRule="auto"/>
        <w:ind w:firstLine="1789" w:firstLineChars="495"/>
        <w:rPr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工 程 领 域：</w:t>
      </w:r>
      <w:r>
        <w:rPr>
          <w:rFonts w:hint="eastAsia"/>
          <w:b/>
          <w:bCs/>
          <w:sz w:val="36"/>
          <w:u w:val="single"/>
        </w:rPr>
        <w:t xml:space="preserve">  软件工程  </w:t>
      </w:r>
    </w:p>
    <w:p w14:paraId="772726A8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研 究 方 向：</w:t>
      </w:r>
      <w:r>
        <w:rPr>
          <w:rFonts w:hint="eastAsia"/>
          <w:b/>
          <w:bCs/>
          <w:sz w:val="36"/>
          <w:u w:val="single"/>
        </w:rPr>
        <w:t xml:space="preserve">            </w:t>
      </w:r>
    </w:p>
    <w:p w14:paraId="3402FCCF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开 题 时 间：</w:t>
      </w:r>
      <w:r>
        <w:rPr>
          <w:rFonts w:hint="eastAsia"/>
          <w:b/>
          <w:bCs/>
          <w:sz w:val="36"/>
          <w:u w:val="single"/>
        </w:rPr>
        <w:t xml:space="preserve"> 2026年10月30日</w:t>
      </w:r>
    </w:p>
    <w:p w14:paraId="71A95BC0">
      <w:pPr>
        <w:spacing w:line="480" w:lineRule="auto"/>
        <w:ind w:firstLine="1789" w:firstLineChars="495"/>
        <w:rPr>
          <w:rFonts w:hint="eastAsia"/>
          <w:b/>
          <w:bCs/>
          <w:sz w:val="36"/>
          <w:u w:val="single"/>
        </w:rPr>
      </w:pPr>
    </w:p>
    <w:p w14:paraId="0931CAB1">
      <w:pPr>
        <w:spacing w:before="468" w:beforeLines="150"/>
        <w:jc w:val="center"/>
        <w:rPr>
          <w:rFonts w:hint="eastAsia"/>
          <w:b/>
          <w:bCs/>
          <w:sz w:val="36"/>
          <w:u w:val="single"/>
        </w:rPr>
      </w:pPr>
    </w:p>
    <w:p w14:paraId="5639982E">
      <w:pPr>
        <w:jc w:val="center"/>
        <w:rPr>
          <w:rFonts w:hint="eastAsia" w:eastAsia="楷体_GB2312"/>
          <w:b/>
          <w:bCs/>
          <w:sz w:val="36"/>
        </w:rPr>
      </w:pPr>
      <w:r>
        <w:rPr>
          <w:rFonts w:hint="eastAsia" w:eastAsia="楷体_GB2312"/>
          <w:b/>
          <w:bCs/>
          <w:sz w:val="36"/>
        </w:rPr>
        <w:t>中国科学技术大学软件学院</w:t>
      </w:r>
    </w:p>
    <w:p w14:paraId="7A8FF92B">
      <w:pPr>
        <w:jc w:val="center"/>
        <w:rPr>
          <w:rFonts w:hint="eastAsia" w:eastAsia="楷体_GB2312"/>
          <w:b/>
          <w:bCs/>
          <w:sz w:val="36"/>
        </w:rPr>
      </w:pPr>
      <w:r>
        <w:rPr>
          <w:rFonts w:hint="eastAsia" w:eastAsia="楷体_GB2312"/>
          <w:b/>
          <w:bCs/>
          <w:sz w:val="36"/>
        </w:rPr>
        <w:t>填表日期： 2026年 10月 30日</w:t>
      </w:r>
    </w:p>
    <w:p w14:paraId="0056EC5F">
      <w:pPr>
        <w:outlineLvl w:val="0"/>
        <w:rPr>
          <w:rFonts w:hint="eastAsia"/>
          <w:b/>
          <w:bCs/>
          <w:sz w:val="32"/>
        </w:rPr>
      </w:pPr>
      <w:r>
        <w:rPr>
          <w:rFonts w:eastAsia="楷体_GB2312"/>
          <w:b/>
          <w:bCs/>
          <w:sz w:val="36"/>
        </w:rPr>
        <w:br w:type="page"/>
      </w:r>
      <w:r>
        <w:rPr>
          <w:rFonts w:hint="eastAsia"/>
          <w:b/>
          <w:bCs/>
          <w:sz w:val="32"/>
        </w:rPr>
        <w:t>一、 简况</w:t>
      </w:r>
    </w:p>
    <w:tbl>
      <w:tblPr>
        <w:tblStyle w:val="6"/>
        <w:tblW w:w="46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"/>
        <w:gridCol w:w="842"/>
        <w:gridCol w:w="263"/>
        <w:gridCol w:w="1469"/>
        <w:gridCol w:w="3787"/>
        <w:gridCol w:w="1427"/>
      </w:tblGrid>
      <w:tr w14:paraId="59F81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6" w:type="pct"/>
            <w:vMerge w:val="restart"/>
            <w:textDirection w:val="tbRlV"/>
            <w:vAlign w:val="center"/>
          </w:tcPr>
          <w:p w14:paraId="21B6B4D5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513" w:type="pct"/>
            <w:tcBorders>
              <w:bottom w:val="single" w:color="auto" w:sz="4" w:space="0"/>
            </w:tcBorders>
            <w:vAlign w:val="center"/>
          </w:tcPr>
          <w:p w14:paraId="79440B5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中文</w:t>
            </w:r>
          </w:p>
        </w:tc>
        <w:tc>
          <w:tcPr>
            <w:tcW w:w="4231" w:type="pct"/>
            <w:gridSpan w:val="4"/>
            <w:tcBorders>
              <w:bottom w:val="single" w:color="auto" w:sz="4" w:space="0"/>
            </w:tcBorders>
            <w:vAlign w:val="center"/>
          </w:tcPr>
          <w:p w14:paraId="4921AD47">
            <w:pPr>
              <w:spacing w:before="0" w:after="60" w:line="288" w:lineRule="auto"/>
              <w:ind w:left="60" w:right="120" w:firstLine="42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基于RAG的轻量级企业工艺生成</w:t>
            </w:r>
          </w:p>
        </w:tc>
      </w:tr>
      <w:tr w14:paraId="6D0C1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6" w:type="pct"/>
            <w:vMerge w:val="continue"/>
            <w:tcBorders>
              <w:bottom w:val="single" w:color="auto" w:sz="4" w:space="0"/>
            </w:tcBorders>
            <w:textDirection w:val="tbRlV"/>
            <w:vAlign w:val="center"/>
          </w:tcPr>
          <w:p w14:paraId="1EBF13AC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513" w:type="pct"/>
            <w:tcBorders>
              <w:bottom w:val="single" w:color="auto" w:sz="4" w:space="0"/>
            </w:tcBorders>
            <w:vAlign w:val="center"/>
          </w:tcPr>
          <w:p w14:paraId="23626203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英文</w:t>
            </w:r>
          </w:p>
        </w:tc>
        <w:tc>
          <w:tcPr>
            <w:tcW w:w="4231" w:type="pct"/>
            <w:gridSpan w:val="4"/>
            <w:tcBorders>
              <w:bottom w:val="single" w:color="auto" w:sz="4" w:space="0"/>
            </w:tcBorders>
            <w:vAlign w:val="center"/>
          </w:tcPr>
          <w:p w14:paraId="3986A70D">
            <w:pPr>
              <w:spacing w:before="0" w:after="60" w:line="288" w:lineRule="auto"/>
              <w:ind w:left="60" w:right="120" w:firstLine="42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RAG-Based Lightweight Enterprise Process Generation</w:t>
            </w:r>
            <w:bookmarkStart w:id="0" w:name="_GoBack"/>
            <w:bookmarkEnd w:id="0"/>
          </w:p>
        </w:tc>
      </w:tr>
      <w:tr w14:paraId="1295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6" w:type="pct"/>
            <w:vMerge w:val="restart"/>
            <w:textDirection w:val="tbRlV"/>
            <w:vAlign w:val="center"/>
          </w:tcPr>
          <w:p w14:paraId="03C7B33F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项目组成员名单</w:t>
            </w:r>
          </w:p>
        </w:tc>
        <w:tc>
          <w:tcPr>
            <w:tcW w:w="673" w:type="pct"/>
            <w:gridSpan w:val="2"/>
            <w:tcBorders>
              <w:bottom w:val="single" w:color="auto" w:sz="4" w:space="0"/>
            </w:tcBorders>
            <w:vAlign w:val="center"/>
          </w:tcPr>
          <w:p w14:paraId="1F3438DA">
            <w:pPr>
              <w:ind w:firstLine="211" w:firstLineChars="10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895" w:type="pct"/>
            <w:tcBorders>
              <w:bottom w:val="single" w:color="auto" w:sz="4" w:space="0"/>
            </w:tcBorders>
            <w:vAlign w:val="center"/>
          </w:tcPr>
          <w:p w14:paraId="3175C92E">
            <w:pPr>
              <w:ind w:firstLine="211" w:firstLineChars="10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307" w:type="pct"/>
            <w:tcBorders>
              <w:bottom w:val="single" w:color="auto" w:sz="4" w:space="0"/>
            </w:tcBorders>
          </w:tcPr>
          <w:p w14:paraId="0EB3B637">
            <w:pPr>
              <w:spacing w:line="400" w:lineRule="atLeast"/>
              <w:jc w:val="center"/>
            </w:pPr>
            <w:r>
              <w:rPr>
                <w:rFonts w:hint="eastAsia" w:cs="宋体"/>
              </w:rPr>
              <w:t>项目中的分工</w:t>
            </w:r>
          </w:p>
        </w:tc>
        <w:tc>
          <w:tcPr>
            <w:tcW w:w="869" w:type="pct"/>
            <w:tcBorders>
              <w:bottom w:val="single" w:color="auto" w:sz="4" w:space="0"/>
            </w:tcBorders>
          </w:tcPr>
          <w:p w14:paraId="1F6220EB">
            <w:pPr>
              <w:spacing w:line="400" w:lineRule="atLeast"/>
              <w:jc w:val="center"/>
            </w:pPr>
            <w:r>
              <w:rPr>
                <w:rFonts w:hint="eastAsia" w:cs="宋体"/>
              </w:rPr>
              <w:t>签</w:t>
            </w:r>
            <w:r>
              <w:t xml:space="preserve">  </w:t>
            </w:r>
            <w:r>
              <w:rPr>
                <w:rFonts w:hint="eastAsia" w:cs="宋体"/>
              </w:rPr>
              <w:t>章</w:t>
            </w:r>
          </w:p>
        </w:tc>
      </w:tr>
      <w:tr w14:paraId="7884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6" w:type="pct"/>
            <w:vMerge w:val="continue"/>
            <w:textDirection w:val="tbRlV"/>
            <w:vAlign w:val="center"/>
          </w:tcPr>
          <w:p w14:paraId="0E9D7144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673" w:type="pct"/>
            <w:gridSpan w:val="2"/>
            <w:tcBorders>
              <w:bottom w:val="single" w:color="auto" w:sz="4" w:space="0"/>
            </w:tcBorders>
            <w:vAlign w:val="center"/>
          </w:tcPr>
          <w:p w14:paraId="34CF47AE">
            <w:pPr>
              <w:spacing w:before="0" w:after="6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邢翔宇</w:t>
            </w:r>
          </w:p>
        </w:tc>
        <w:tc>
          <w:tcPr>
            <w:tcW w:w="895" w:type="pct"/>
            <w:tcBorders>
              <w:bottom w:val="single" w:color="auto" w:sz="4" w:space="0"/>
            </w:tcBorders>
            <w:vAlign w:val="center"/>
          </w:tcPr>
          <w:p w14:paraId="5D1F0531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2307" w:type="pct"/>
            <w:tcBorders>
              <w:bottom w:val="single" w:color="auto" w:sz="4" w:space="0"/>
            </w:tcBorders>
            <w:vAlign w:val="center"/>
          </w:tcPr>
          <w:p w14:paraId="0A171586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869" w:type="pct"/>
            <w:tcBorders>
              <w:bottom w:val="single" w:color="auto" w:sz="4" w:space="0"/>
            </w:tcBorders>
            <w:vAlign w:val="center"/>
          </w:tcPr>
          <w:p w14:paraId="32A17EA9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</w:tr>
      <w:tr w14:paraId="73340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6" w:type="pct"/>
            <w:vMerge w:val="continue"/>
            <w:textDirection w:val="tbRlV"/>
            <w:vAlign w:val="center"/>
          </w:tcPr>
          <w:p w14:paraId="1EFB5BE7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673" w:type="pct"/>
            <w:gridSpan w:val="2"/>
            <w:tcBorders>
              <w:bottom w:val="single" w:color="auto" w:sz="4" w:space="0"/>
            </w:tcBorders>
            <w:vAlign w:val="center"/>
          </w:tcPr>
          <w:p w14:paraId="1E1AD7BE">
            <w:pPr>
              <w:spacing w:before="0" w:after="6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吴奇鑫</w:t>
            </w:r>
          </w:p>
        </w:tc>
        <w:tc>
          <w:tcPr>
            <w:tcW w:w="895" w:type="pct"/>
            <w:tcBorders>
              <w:bottom w:val="single" w:color="auto" w:sz="4" w:space="0"/>
            </w:tcBorders>
            <w:vAlign w:val="center"/>
          </w:tcPr>
          <w:p w14:paraId="4EBBB341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2307" w:type="pct"/>
            <w:tcBorders>
              <w:bottom w:val="single" w:color="auto" w:sz="4" w:space="0"/>
            </w:tcBorders>
            <w:vAlign w:val="center"/>
          </w:tcPr>
          <w:p w14:paraId="11D8B130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869" w:type="pct"/>
            <w:tcBorders>
              <w:bottom w:val="single" w:color="auto" w:sz="4" w:space="0"/>
            </w:tcBorders>
            <w:vAlign w:val="center"/>
          </w:tcPr>
          <w:p w14:paraId="4112397B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</w:tr>
      <w:tr w14:paraId="6746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6" w:type="pct"/>
            <w:vMerge w:val="continue"/>
            <w:textDirection w:val="tbRlV"/>
            <w:vAlign w:val="center"/>
          </w:tcPr>
          <w:p w14:paraId="2D55468F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673" w:type="pct"/>
            <w:gridSpan w:val="2"/>
            <w:tcBorders>
              <w:bottom w:val="single" w:color="auto" w:sz="4" w:space="0"/>
            </w:tcBorders>
            <w:vAlign w:val="center"/>
          </w:tcPr>
          <w:p w14:paraId="430BABB8">
            <w:pPr>
              <w:spacing w:before="0" w:after="6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温赞</w:t>
            </w:r>
          </w:p>
        </w:tc>
        <w:tc>
          <w:tcPr>
            <w:tcW w:w="895" w:type="pct"/>
            <w:tcBorders>
              <w:bottom w:val="single" w:color="auto" w:sz="4" w:space="0"/>
            </w:tcBorders>
            <w:vAlign w:val="center"/>
          </w:tcPr>
          <w:p w14:paraId="51FEECBF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2307" w:type="pct"/>
            <w:tcBorders>
              <w:bottom w:val="single" w:color="auto" w:sz="4" w:space="0"/>
            </w:tcBorders>
            <w:vAlign w:val="center"/>
          </w:tcPr>
          <w:p w14:paraId="3BCD3BF8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869" w:type="pct"/>
            <w:tcBorders>
              <w:bottom w:val="single" w:color="auto" w:sz="4" w:space="0"/>
            </w:tcBorders>
            <w:vAlign w:val="center"/>
          </w:tcPr>
          <w:p w14:paraId="4B82781A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</w:tr>
      <w:tr w14:paraId="46D4F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6" w:type="pct"/>
            <w:vMerge w:val="continue"/>
            <w:textDirection w:val="tbRlV"/>
            <w:vAlign w:val="center"/>
          </w:tcPr>
          <w:p w14:paraId="1266C7FC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673" w:type="pct"/>
            <w:gridSpan w:val="2"/>
            <w:tcBorders>
              <w:bottom w:val="single" w:color="auto" w:sz="4" w:space="0"/>
            </w:tcBorders>
            <w:vAlign w:val="center"/>
          </w:tcPr>
          <w:p w14:paraId="0C12D043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895" w:type="pct"/>
            <w:tcBorders>
              <w:bottom w:val="single" w:color="auto" w:sz="4" w:space="0"/>
            </w:tcBorders>
            <w:vAlign w:val="center"/>
          </w:tcPr>
          <w:p w14:paraId="48CC5948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2307" w:type="pct"/>
            <w:tcBorders>
              <w:bottom w:val="single" w:color="auto" w:sz="4" w:space="0"/>
            </w:tcBorders>
            <w:vAlign w:val="center"/>
          </w:tcPr>
          <w:p w14:paraId="6289E8CF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  <w:tc>
          <w:tcPr>
            <w:tcW w:w="869" w:type="pct"/>
            <w:tcBorders>
              <w:bottom w:val="single" w:color="auto" w:sz="4" w:space="0"/>
            </w:tcBorders>
            <w:vAlign w:val="center"/>
          </w:tcPr>
          <w:p w14:paraId="5FB53C3E">
            <w:pPr>
              <w:ind w:firstLine="211" w:firstLineChars="100"/>
              <w:rPr>
                <w:rFonts w:hint="eastAsia"/>
                <w:b/>
                <w:bCs/>
              </w:rPr>
            </w:pPr>
          </w:p>
        </w:tc>
      </w:tr>
      <w:tr w14:paraId="1E5D6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6" w:type="pct"/>
            <w:tcBorders>
              <w:bottom w:val="single" w:color="auto" w:sz="4" w:space="0"/>
            </w:tcBorders>
            <w:textDirection w:val="tbRlV"/>
            <w:vAlign w:val="center"/>
          </w:tcPr>
          <w:p w14:paraId="732FA4C8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 英 文 摘 要</w:t>
            </w:r>
          </w:p>
        </w:tc>
        <w:tc>
          <w:tcPr>
            <w:tcW w:w="4744" w:type="pct"/>
            <w:gridSpan w:val="5"/>
            <w:tcBorders>
              <w:bottom w:val="single" w:color="auto" w:sz="4" w:space="0"/>
            </w:tcBorders>
            <w:vAlign w:val="center"/>
          </w:tcPr>
          <w:p w14:paraId="2D7B064E">
            <w:pPr>
              <w:spacing w:before="0" w:after="20" w:line="240" w:lineRule="auto"/>
              <w:ind w:left="100" w:right="140" w:firstLine="42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面向企业工艺知识分散、查询依赖个人经验以及通用大模型缺乏可核查依据等问题，本项目拟设计并实现基于检索增强生成（RAG）的轻量级企业工艺生成系统。系统以经授权的文本型 PDF 工艺资料为知识来源，通过逐页解析、清洗和分块建立带文档及页码信息的知识库；结合稠密向量检索与 BM25 词法检索，采用倒数排名融合和重排序获取相关证据，再由大模型基于受控上下文生成知识问答及零件加工指令草案。系统计划提供文档管理、多轮对话、引用定位和评估功能，通过引用白名单、证据不足提示与人工审核降低无依据生成的风险。项目采用前后端分离和单后台工作进程，以 Vue 3、FastAPI、SQLite、Qdrant 等组件构建原型，并以多文档测试集、检索对比和人工评分验证可用性与引用质量。系统输出仅供工艺人员审核，不直接用于生产控制。</w:t>
            </w:r>
          </w:p>
          <w:p w14:paraId="638F288B">
            <w:pPr>
              <w:spacing w:before="0" w:after="20" w:line="240" w:lineRule="auto"/>
              <w:ind w:left="100" w:right="140" w:firstLine="42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This project proposes a lightweight retrieval-augmented generation system for enterprise manufacturing process knowledge. Authorized text-based PDF documents are parsed by page and indexed with source metadata. Dense retrieval and BM25 are combined using reciprocal rank fusion and reranking. A language model then generates answers and draft machining instructions grounded in retrieved evidence. The system is planned to support document management, multi-turn dialogue, source tracing and evaluation. Insufficient evidence is explicitly identified, and all generated instructions require human review. The prototype will be evaluated using a multi-document question set, retrieval comparisons and human assessment.</w:t>
            </w:r>
          </w:p>
        </w:tc>
      </w:tr>
      <w:tr w14:paraId="5DCC4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6" w:type="pct"/>
            <w:vMerge w:val="restart"/>
            <w:textDirection w:val="tbRlV"/>
            <w:vAlign w:val="center"/>
          </w:tcPr>
          <w:p w14:paraId="0073B02B">
            <w:pPr>
              <w:ind w:left="113" w:right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主题词</w:t>
            </w:r>
          </w:p>
        </w:tc>
        <w:tc>
          <w:tcPr>
            <w:tcW w:w="4744" w:type="pct"/>
            <w:gridSpan w:val="5"/>
            <w:tcBorders>
              <w:bottom w:val="single" w:color="auto" w:sz="4" w:space="0"/>
            </w:tcBorders>
            <w:vAlign w:val="center"/>
          </w:tcPr>
          <w:p w14:paraId="713A1F3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主题词数量不多于三个，主题词之间空一格（英文用“/ ”分隔）</w:t>
            </w:r>
          </w:p>
        </w:tc>
      </w:tr>
      <w:tr w14:paraId="34C57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6" w:type="pct"/>
            <w:vMerge w:val="continue"/>
          </w:tcPr>
          <w:p w14:paraId="7FCB755A">
            <w:pPr>
              <w:rPr>
                <w:b/>
                <w:bCs/>
              </w:rPr>
            </w:pPr>
          </w:p>
        </w:tc>
        <w:tc>
          <w:tcPr>
            <w:tcW w:w="513" w:type="pct"/>
            <w:vAlign w:val="center"/>
          </w:tcPr>
          <w:p w14:paraId="3B62046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中文</w:t>
            </w:r>
          </w:p>
        </w:tc>
        <w:tc>
          <w:tcPr>
            <w:tcW w:w="4231" w:type="pct"/>
            <w:gridSpan w:val="4"/>
            <w:vAlign w:val="center"/>
          </w:tcPr>
          <w:p w14:paraId="5DD853FD">
            <w:pPr>
              <w:spacing w:before="0" w:after="60" w:line="288" w:lineRule="auto"/>
              <w:ind w:left="60" w:right="120" w:firstLine="42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检索增强生成  工艺知识  来源溯源</w:t>
            </w:r>
          </w:p>
        </w:tc>
      </w:tr>
      <w:tr w14:paraId="2C078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6" w:type="pct"/>
            <w:vMerge w:val="continue"/>
            <w:tcBorders>
              <w:bottom w:val="single" w:color="auto" w:sz="4" w:space="0"/>
            </w:tcBorders>
          </w:tcPr>
          <w:p w14:paraId="1580F684">
            <w:pPr>
              <w:rPr>
                <w:b/>
                <w:bCs/>
              </w:rPr>
            </w:pPr>
          </w:p>
        </w:tc>
        <w:tc>
          <w:tcPr>
            <w:tcW w:w="513" w:type="pct"/>
            <w:tcBorders>
              <w:bottom w:val="single" w:color="auto" w:sz="4" w:space="0"/>
            </w:tcBorders>
            <w:vAlign w:val="center"/>
          </w:tcPr>
          <w:p w14:paraId="0F7DF2F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英文</w:t>
            </w:r>
          </w:p>
        </w:tc>
        <w:tc>
          <w:tcPr>
            <w:tcW w:w="4231" w:type="pct"/>
            <w:gridSpan w:val="4"/>
            <w:tcBorders>
              <w:bottom w:val="single" w:color="auto" w:sz="4" w:space="0"/>
            </w:tcBorders>
            <w:vAlign w:val="center"/>
          </w:tcPr>
          <w:p w14:paraId="52769ACC">
            <w:pPr>
              <w:spacing w:before="0" w:after="60" w:line="288" w:lineRule="auto"/>
              <w:ind w:left="60" w:right="120" w:firstLine="42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Retrieval-Augmented Generation / Process Knowledge / Source Tracing</w:t>
            </w:r>
          </w:p>
        </w:tc>
      </w:tr>
    </w:tbl>
    <w:p w14:paraId="37D1400B">
      <w:pPr>
        <w:outlineLvl w:val="0"/>
        <w:rPr>
          <w:b/>
          <w:bCs/>
          <w:sz w:val="32"/>
        </w:rPr>
      </w:pPr>
      <w:r>
        <w:rPr>
          <w:b/>
          <w:bCs/>
          <w:sz w:val="32"/>
        </w:rPr>
        <w:br w:type="page"/>
      </w:r>
      <w:r>
        <w:rPr>
          <w:rFonts w:hint="eastAsia"/>
          <w:b/>
          <w:bCs/>
          <w:sz w:val="32"/>
        </w:rPr>
        <w:t>二、选题依据</w:t>
      </w:r>
    </w:p>
    <w:tbl>
      <w:tblPr>
        <w:tblStyle w:val="6"/>
        <w:tblW w:w="47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0"/>
      </w:tblGrid>
      <w:tr w14:paraId="03CE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</w:tcPr>
          <w:p w14:paraId="7192B412">
            <w:pPr>
              <w:spacing w:before="0" w:beforeLines="50" w:after="80" w:line="276" w:lineRule="auto"/>
              <w:ind w:firstLine="0"/>
              <w:jc w:val="both"/>
              <w:rPr>
                <w:rFonts w:hint="eastAsia"/>
                <w:b/>
                <w:bCs/>
              </w:rPr>
            </w:pPr>
            <w:r>
              <w:rPr>
                <w:rFonts w:ascii="宋体" w:hAnsi="宋体" w:eastAsia="宋体"/>
                <w:b/>
                <w:sz w:val="21"/>
              </w:rPr>
              <w:t>1. 研究背景、调研结论与选题价值</w:t>
            </w:r>
          </w:p>
          <w:p w14:paraId="7192B412">
            <w:pPr>
              <w:spacing w:before="0" w:beforeLines="50" w:after="80" w:line="276" w:lineRule="auto"/>
              <w:ind w:firstLine="420"/>
              <w:jc w:val="both"/>
              <w:rPr>
                <w:rFonts w:hint="eastAsia"/>
                <w:b/>
                <w:bCs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工艺规划连接产品设计与制造执行，涉及加工方法、设备、工装、工艺参数和质量要求。NIST 的加工与测量工艺规划活动模型说明，这类知识需要贯通多个环节和数据来源[1]；我国“十四五”智能制造发展规划提出以工艺、装备和数据支撑知识驱动的制造体系[2]。企业资料分散、人工查阅成本较高，因此本课题面向文档知识复用与可核查的加工草案辅助编制。</w:t>
            </w:r>
          </w:p>
          <w:p w14:paraId="6E017BA4">
            <w:pPr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国内外技术调研表明，RAG 将语言模型与外部检索记忆结合，可通过更新资料补充知识，并为回答提供来源[3]。相关综述将研究重点归纳为检索优化、上下文组织、生成控制和评估协同[4]。稠密检索适合语义改写查询[5]，BM25 有助于匹配术语、型号及数值[6]，RRF 可融合不同检索排名[7]。本项目采用双路召回和重排序，具体增益通过固定题集对比验证。</w:t>
            </w:r>
          </w:p>
          <w:p w14:paraId="7F9E2D62">
            <w:pPr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现有通用问答方案难以保证内部资料覆盖、工艺术语召回和参数适用条件一致；仅展示来源，也不能证明来源支持全部结论。工艺文档中的表格、数值与单位容易在解析和分块时丢失关联。因此，本项目保留 PDF 物理页码和原文片段，对关键条件缺失、证据不足和冲突内容进行提示，并保留人工审核环节。</w:t>
            </w:r>
          </w:p>
          <w:p w14:paraId="1037FCA5">
            <w:pPr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课题的工程价值在于形成“文档管理—知识检索—草案生成—引用核查—评估改进”的闭环。工作量包括需求与建模、前后端实现、索引与任务管理、检索生成及测试交付。主要难点是解析质量、检索排序、版本一致性和引用支持性；首版限定文本型 PDF、单知识库与低并发，不开展 CAD 自动理解、模型训练或生产控制。</w:t>
            </w:r>
          </w:p>
          <w:p w14:paraId="07293924">
            <w:pPr>
              <w:spacing w:before="0" w:beforeLines="50" w:after="60" w:line="288" w:lineRule="auto"/>
              <w:jc w:val="both"/>
              <w:rPr>
                <w:rFonts w:hint="eastAsia"/>
                <w:b/>
                <w:bCs/>
              </w:rPr>
            </w:pPr>
            <w:r>
              <w:rPr>
                <w:rFonts w:ascii="宋体" w:hAnsi="宋体" w:eastAsia="宋体"/>
                <w:b/>
                <w:sz w:val="21"/>
              </w:rPr>
              <w:t>2. 参考文献：</w:t>
            </w:r>
          </w:p>
          <w:p w14:paraId="0FB0AB86">
            <w:pPr>
              <w:spacing w:before="0" w:after="0" w:line="240" w:lineRule="auto"/>
              <w:ind w:firstLine="0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[1] Zhao F, Proctor F M, Horst J A. A Machining and Measurement Process Planning Activity Model for Manufacturing System Interoperability Analysis: NISTIR 7734[R]. NIST, 2010.</w:t>
            </w:r>
          </w:p>
          <w:p w14:paraId="4DABFC57">
            <w:pPr>
              <w:spacing w:before="0" w:after="0" w:line="240" w:lineRule="auto"/>
              <w:ind w:firstLine="0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[2] 工业和信息化部等. “十四五”智能制造发展规划[Z]. 2021.</w:t>
            </w:r>
          </w:p>
          <w:p w14:paraId="16323F19">
            <w:pPr>
              <w:spacing w:before="0" w:after="0" w:line="240" w:lineRule="auto"/>
              <w:ind w:firstLine="0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[3] Lewis P, Perez E, Piktus A, et al. Retrieval-Augmented Generation for Knowledge-Intensive NLP Tasks[C]. NeurIPS, 2020: 9459–9474.</w:t>
            </w:r>
          </w:p>
          <w:p w14:paraId="63FDF49F">
            <w:pPr>
              <w:spacing w:before="0" w:after="0" w:line="240" w:lineRule="auto"/>
              <w:ind w:firstLine="0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[4] Gao Y, Xiong Y, Gao X, et al. Retrieval-Augmented Generation for Large Language Models: A Survey[EB/OL]. arXiv:2312.10997, 2023.</w:t>
            </w:r>
          </w:p>
          <w:p w14:paraId="74BDE1B1">
            <w:pPr>
              <w:spacing w:before="0" w:after="0" w:line="240" w:lineRule="auto"/>
              <w:ind w:firstLine="0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[5] Karpukhin V, Oguz B, Min S, et al. Dense Passage Retrieval for Open-Domain Question Answering[C]. EMNLP, 2020: 6769–6781.</w:t>
            </w:r>
          </w:p>
          <w:p w14:paraId="5734776C">
            <w:pPr>
              <w:spacing w:before="0" w:after="0" w:line="240" w:lineRule="auto"/>
              <w:ind w:firstLine="0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[6] Robertson S, Zaragoza H. The Probabilistic Relevance Framework: BM25 and Beyond[J]. Foundations and Trends in Information Retrieval, 2009, 3(4): 333–389.</w:t>
            </w:r>
          </w:p>
          <w:p w14:paraId="25F3C462">
            <w:pPr>
              <w:spacing w:before="0" w:after="0" w:line="240" w:lineRule="auto"/>
              <w:ind w:firstLine="0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[7] Cormack G V, Clarke C L A, Buettcher S. Reciprocal Rank Fusion outperforms Condorcet and individual Rank Learning Methods[C]. SIGIR, 2009: 758–759.</w:t>
            </w:r>
          </w:p>
        </w:tc>
      </w:tr>
    </w:tbl>
    <w:p w14:paraId="5381DAD1">
      <w:pPr>
        <w:ind w:left="315" w:firstLine="315"/>
        <w:rPr>
          <w:rFonts w:hint="eastAsia"/>
          <w:b/>
          <w:bCs/>
          <w:sz w:val="32"/>
        </w:rPr>
      </w:pPr>
      <w:r>
        <w:br w:type="page"/>
      </w:r>
      <w:r>
        <w:rPr>
          <w:rFonts w:hint="eastAsia"/>
          <w:b/>
          <w:bCs/>
          <w:sz w:val="32"/>
        </w:rPr>
        <w:t>三、课题内容及具体方案</w:t>
      </w:r>
    </w:p>
    <w:tbl>
      <w:tblPr>
        <w:tblStyle w:val="6"/>
        <w:tblW w:w="47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0"/>
      </w:tblGrid>
      <w:tr w14:paraId="03CE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0" w:hRule="atLeast"/>
          <w:jc w:val="center"/>
        </w:trPr>
        <w:tc>
          <w:tcPr>
            <w:tcW w:w="5000" w:type="pct"/>
          </w:tcPr>
          <w:p>
            <w:pPr>
              <w:keepNext w:val="0"/>
              <w:keepLines/>
              <w:spacing w:before="0" w:after="80" w:line="276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1．课题内容</w:t>
            </w:r>
          </w:p>
          <w:p>
            <w:pPr>
              <w:keepNext w:val="0"/>
              <w:keepLines/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拟构建基于 RAG 的轻量级企业工艺生成系统，以授权文本型 PDF 为知识来源，实现文档上传与索引、知识问答、加工指令草案、多轮追问、页级引用及效果评估。输出包含工序、设备刀具、参数、检验与安全要求；缺失的材料、公差或设备条件标记为待确认，草案由工艺人员审核。</w:t>
            </w:r>
          </w:p>
          <w:p>
            <w:pPr>
              <w:keepNext w:val="0"/>
              <w:keepLines/>
              <w:spacing w:before="0" w:after="80" w:line="276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系统需求分析</w:t>
            </w:r>
          </w:p>
          <w:p>
            <w:pPr>
              <w:keepNext w:val="0"/>
              <w:keepLines/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1）角色与边界。工艺人员进行问答、生成草案和核查引用；知识库管理员维护文档、处理失败任务；评估人员运行测试并记录评分。系统用例图见图3-1。首版权限可归并为管理员与普通用户；会话按用户隔离，不实现复杂组织权限。</w:t>
            </w:r>
          </w:p>
          <w:p>
            <w:pPr>
              <w:keepNext w:val="0"/>
              <w:keepLines/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（2）核心功能。文档管理应支持 PDF 校验、异步处理、状态查询、重试、重建及删除；检索链路应包含稠密召回、BM25、RRF 融合、重排序与上下文预算；生成支持普通问答和结构化草案；引用保存文档、物理页码与原文快照；评估保存题集、配置、回答和人工评分。</w:t>
            </w:r>
          </w:p>
          <w:p>
            <w:pPr>
              <w:keepNext w:val="0"/>
              <w:keepLines/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（3）质量约束。仅 READY 文档参与检索；引用编号只能绑定实际上下文；证据不足时不编造工艺参数。任务失败应可恢复，删除后新查询不得命中文档。容量与响应时延以实际硬件和测试条件验证，文件、接口及模型密钥由服务端受控管理。</w:t>
            </w:r>
          </w:p>
          <w:p>
            <w:pPr>
              <w:keepNext w:val="0"/>
              <w:keepLines/>
              <w:spacing w:before="0" w:after="80" w:line="276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系统概要设计</w:t>
            </w:r>
          </w:p>
          <w:p>
            <w:pPr>
              <w:keepNext w:val="0"/>
              <w:keepLines/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（1）构件划分。采用前后端分离的单体后端与单后台 Worker。Vue 3 提供工作台；FastAPI 承担认证、文档、消息和评估服务；RAG 编排检索、重排序、生成与引用校验；SQLite 保存权威元数据，Qdrant 和 BM25 保存可重建索引，本地目录保存 PDF。模块依赖见图3-2。</w:t>
            </w:r>
          </w:p>
          <w:p>
            <w:pPr>
              <w:keepNext w:val="0"/>
              <w:keepLines/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（2）领域模型。User 关联上传文档和会话；Document 管理 IndexVersion 与处理任务；索引版本组织 Chunk；Conversation 包含 Message，消息保存 Citation 快照。DocumentStatus 描述处理状态，活动版本关联用于选择可用索引。类图中的组合、关联及多重性见图3-3；分块的物理删除不应破坏历史引用快照。</w:t>
            </w:r>
          </w:p>
          <w:p>
            <w:pPr>
              <w:keepNext w:val="0"/>
              <w:keepLines/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3）在线流程。验证权限及请求幂等后读取历史，构造独立检索问题并固定文档版本；并行执行双路召回，融合重排后构建上下文。证据充分时调用大模型并校验输出，证据不足时形成缺失说明；保存消息及引用后返回。首版加工指令采用校验完成后整体展示，时序见图3-4。</w:t>
            </w:r>
          </w:p>
          <w:p>
            <w:pPr>
              <w:keepNext w:val="0"/>
              <w:keepLines/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（4）离线流程。上传校验后创建持久任务，执行解析、分块、嵌入和双路索引构建；一致性检查通过后发布版本并置为 READY。异常记录失败阶段，未完成版本不可检索，流程见图3-5。重建保留旧版本，索引发布与回收协议在开发前细化。</w:t>
            </w:r>
          </w:p>
          <w:p>
            <w:pPr>
              <w:keepNext w:val="0"/>
              <w:keepLines/>
              <w:spacing w:before="0" w:after="80" w:line="276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拟采用的开发方法、环境，测试方案等</w:t>
            </w:r>
          </w:p>
          <w:p>
            <w:pPr>
              <w:keepNext w:val="0"/>
              <w:keepLines/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采用迭代式开发，先完成真实 PDF 到回答与引用的端到端链路，再完善管理、会话和评估。计划使用 Python、FastAPI、Vue 3、SQLite、Qdrant 与大模型 API，锁定依赖并通过 Docker Compose 部署。准备不少于3份授权 PDF 和不少于30道初步测试题，覆盖参数、跨页、多文档、追问、无答案与冲突资料。</w:t>
            </w:r>
          </w:p>
          <w:p>
            <w:pPr>
              <w:keepNext w:val="0"/>
              <w:keepLines/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测试分为单元、集成和端到端验证，检查权限、任务恢复、索引一致性及引用定位；效果比较仅稠密、仅 BM25、混合召回、混合加重排序四种方案。人工评价正确性、完整性和引用支持性，独立记录严重参数错误。80%有效回答率、100%引用可核查率及零无依据关键参数是建议验收目标，需冻结题集与配置后验证。</w:t>
            </w:r>
          </w:p>
          <w:p>
            <w:pPr>
              <w:keepNext w:val="0"/>
              <w:keepLines/>
              <w:spacing w:before="0" w:after="80" w:line="276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技术难度及特色分析</w:t>
            </w:r>
          </w:p>
          <w:p>
            <w:pPr>
              <w:keepNext w:val="0"/>
              <w:keepLines/>
              <w:spacing w:before="0" w:after="80" w:line="27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特色为工艺术语与语义双路互补、页级证据追溯、结构化草案及人工审核闭环。重点验证复杂表格和参数的解析、跨页上下文完整性、索引发布一致性与多轮指代。引用存在性由程序校验，引用是否支持结论仍需人工评估；系统不直接生成机床控制指令。</w:t>
            </w:r>
          </w:p>
        </w:tc>
      </w:tr>
    </w:tbl>
    <w:p>
      <w:pPr>
        <w:pageBreakBefore/>
        <w:spacing w:before="0" w:after="80" w:line="276" w:lineRule="auto"/>
        <w:ind w:firstLine="0"/>
        <w:jc w:val="both"/>
      </w:pPr>
      <w:r>
        <w:rPr>
          <w:rFonts w:ascii="宋体" w:hAnsi="宋体" w:eastAsia="宋体"/>
          <w:b/>
          <w:sz w:val="21"/>
        </w:rPr>
        <w:t>三、课题内容及具体方案（续）</w:t>
      </w:r>
    </w:p>
    <w:tbl>
      <w:tblPr>
        <w:tblStyle w:val="6"/>
        <w:tblW w:w="8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0"/>
      </w:tblGrid>
      <w:tr w14:paraId="03CE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0" w:type="dxa"/>
          </w:tcPr>
          <w:p>
            <w:pPr>
              <w:spacing w:before="0" w:after="40" w:line="240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系统用例图</w:t>
            </w:r>
          </w:p>
          <w:p>
            <w:pPr>
              <w:spacing w:before="0" w:after="40" w:line="24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参与者位于系统边界之外；实线表示参与者与用例的关联。虚线包含关系指向必需的检索用例，扩展关系指向被扩展用例，表示追问、查看来源或导出结果等可选行为。</w:t>
            </w:r>
          </w:p>
          <w:p>
            <w:pPr>
              <w:spacing w:before="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43141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系统用例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4314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图3-1 系统用例图</w:t>
            </w:r>
          </w:p>
        </w:tc>
      </w:tr>
    </w:tbl>
    <w:p>
      <w:pPr>
        <w:pageBreakBefore/>
        <w:spacing w:before="0" w:after="80" w:line="276" w:lineRule="auto"/>
        <w:ind w:firstLine="0"/>
        <w:jc w:val="both"/>
      </w:pPr>
      <w:r>
        <w:rPr>
          <w:rFonts w:ascii="宋体" w:hAnsi="宋体" w:eastAsia="宋体"/>
          <w:b/>
          <w:sz w:val="21"/>
        </w:rPr>
        <w:t>三、课题内容及具体方案（续）</w:t>
      </w:r>
    </w:p>
    <w:tbl>
      <w:tblPr>
        <w:tblStyle w:val="6"/>
        <w:tblW w:w="8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0"/>
      </w:tblGrid>
      <w:tr w14:paraId="03CE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0" w:type="dxa"/>
          </w:tcPr>
          <w:p>
            <w:pPr>
              <w:spacing w:before="0" w:after="40" w:line="240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系统构件图</w:t>
            </w:r>
          </w:p>
          <w:p>
            <w:pPr>
              <w:spacing w:before="0" w:after="40" w:line="24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按表现、应用服务、领域能力和基础设施分层；虚线箭头由依赖方指向被依赖方。文档接口通过持久任务调度 Worker，消息与评估服务复用 RAG 能力。</w:t>
            </w:r>
          </w:p>
          <w:p>
            <w:pPr>
              <w:spacing w:before="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32198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系统构件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2198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图3-2 系统构件图</w:t>
            </w:r>
          </w:p>
        </w:tc>
      </w:tr>
    </w:tbl>
    <w:p>
      <w:pPr>
        <w:pageBreakBefore/>
        <w:spacing w:before="0" w:after="80" w:line="276" w:lineRule="auto"/>
        <w:ind w:firstLine="0"/>
        <w:jc w:val="both"/>
      </w:pPr>
      <w:r>
        <w:rPr>
          <w:rFonts w:ascii="宋体" w:hAnsi="宋体" w:eastAsia="宋体"/>
          <w:b/>
          <w:sz w:val="21"/>
        </w:rPr>
        <w:t>三、课题内容及具体方案（续）</w:t>
      </w:r>
    </w:p>
    <w:tbl>
      <w:tblPr>
        <w:tblStyle w:val="6"/>
        <w:tblW w:w="8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0"/>
      </w:tblGrid>
      <w:tr w14:paraId="03CE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0" w:type="dxa"/>
          </w:tcPr>
          <w:p>
            <w:pPr>
              <w:spacing w:before="0" w:after="40" w:line="240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核心领域类图</w:t>
            </w:r>
          </w:p>
          <w:p>
            <w:pPr>
              <w:spacing w:before="0" w:after="40" w:line="24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类框展示属性和主要操作；关联端标记多重性，实心菱形标识组成关系。引用保留快照，原始分块删除后来源关联可为空。该图为概要领域模型，不替代最终数据库迁移设计。</w:t>
            </w:r>
          </w:p>
          <w:p>
            <w:pPr>
              <w:spacing w:before="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46584" cy="5715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核心领域类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6584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图3-3 核心领域类图</w:t>
            </w:r>
          </w:p>
        </w:tc>
      </w:tr>
    </w:tbl>
    <w:p>
      <w:pPr>
        <w:sectPr>
          <w:type w:val="nextPage"/>
          <w:footerReference r:id="rId3" w:type="default"/>
          <w:footerReference r:id="rId4" w:type="even"/>
          <w:pgSz w:w="10433" w:h="14742"/>
          <w:pgMar w:top="907" w:right="851" w:bottom="907" w:left="851" w:header="851" w:footer="992" w:gutter="0"/>
          <w:cols w:space="720" w:num="1"/>
          <w:titlePg/>
          <w:docGrid w:type="lines" w:linePitch="312" w:charSpace="0"/>
        </w:sectPr>
      </w:pPr>
    </w:p>
    <w:p>
      <w:pPr>
        <w:pageBreakBefore w:val="0"/>
        <w:spacing w:before="0" w:after="80" w:line="276" w:lineRule="auto"/>
        <w:ind w:firstLine="0"/>
        <w:jc w:val="both"/>
      </w:pPr>
      <w:r>
        <w:rPr>
          <w:rFonts w:ascii="宋体" w:hAnsi="宋体" w:eastAsia="宋体"/>
          <w:b/>
          <w:sz w:val="21"/>
        </w:rPr>
        <w:t>三、课题内容及具体方案（续）</w:t>
      </w:r>
    </w:p>
    <w:tbl>
      <w:tblPr>
        <w:tblStyle w:val="6"/>
        <w:tblW w:w="8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0"/>
      </w:tblGrid>
      <w:tr w14:paraId="03CE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0" w:type="dxa"/>
          </w:tcPr>
          <w:p>
            <w:pPr>
              <w:spacing w:before="0" w:after="40" w:line="240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在线问答时序图</w:t>
            </w:r>
          </w:p>
          <w:p>
            <w:pPr>
              <w:spacing w:before="0" w:after="40" w:line="24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生命线按时间自上而下交互，实线表示调用，虚线表示返回。par 组合片段表示双路并行召回，alt 表示证据充分与不足两条备选路径。</w:t>
            </w:r>
          </w:p>
          <w:p>
            <w:pPr>
              <w:spacing w:before="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39224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在线问答时序图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922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图3-4 在线问答时序图</w:t>
            </w:r>
          </w:p>
        </w:tc>
      </w:tr>
    </w:tbl>
    <w:p>
      <w:pPr>
        <w:sectPr>
          <w:type w:val="nextPage"/>
          <w:footerReference r:id="rId3" w:type="default"/>
          <w:footerReference r:id="rId4" w:type="even"/>
          <w:pgSz w:w="10433" w:h="14742"/>
          <w:pgMar w:top="907" w:right="851" w:bottom="907" w:left="851" w:header="851" w:footer="992" w:gutter="0"/>
          <w:cols w:space="720" w:num="1"/>
          <w:titlePg/>
          <w:docGrid w:type="lines" w:linePitch="312" w:charSpace="0"/>
        </w:sectPr>
      </w:pPr>
    </w:p>
    <w:p>
      <w:pPr>
        <w:pageBreakBefore w:val="0"/>
        <w:spacing w:before="0" w:after="80" w:line="276" w:lineRule="auto"/>
        <w:ind w:firstLine="0"/>
        <w:jc w:val="both"/>
      </w:pPr>
      <w:r>
        <w:rPr>
          <w:rFonts w:ascii="宋体" w:hAnsi="宋体" w:eastAsia="宋体"/>
          <w:b/>
          <w:sz w:val="21"/>
        </w:rPr>
        <w:t>三、课题内容及具体方案（续）</w:t>
      </w:r>
    </w:p>
    <w:tbl>
      <w:tblPr>
        <w:tblStyle w:val="6"/>
        <w:tblW w:w="8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0"/>
      </w:tblGrid>
      <w:tr w14:paraId="03CE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80" w:type="dxa"/>
          </w:tcPr>
          <w:p>
            <w:pPr>
              <w:spacing w:before="0" w:after="40" w:line="240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文档处理活动图</w:t>
            </w:r>
          </w:p>
          <w:p>
            <w:pPr>
              <w:spacing w:before="0" w:after="40" w:line="240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起始与终止节点界定处理范围，带守卫条件的决策节点表示校验分支；同步条用于两路索引的分叉与汇合。发布前必须通过一致性检查，失败版本不能开放检索。</w:t>
            </w:r>
          </w:p>
          <w:p>
            <w:pPr>
              <w:spacing w:before="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3342" cy="5715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文档处理活动图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342" cy="57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图3-5 文档处理活动图</w:t>
            </w:r>
          </w:p>
        </w:tc>
      </w:tr>
    </w:tbl>
    <w:p w14:paraId="1D52F3BF">
      <w:pPr>
        <w:pageBreakBefore/>
        <w:outlineLvl w:val="0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四、工作进度的大致安排</w:t>
      </w:r>
    </w:p>
    <w:tbl>
      <w:tblPr>
        <w:tblStyle w:val="6"/>
        <w:tblW w:w="47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0"/>
      </w:tblGrid>
      <w:tr w14:paraId="12A8A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5000" w:type="pct"/>
          </w:tcPr>
          <w:p>
            <w:pPr>
              <w:spacing w:before="0" w:after="60" w:line="288" w:lineRule="auto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第一阶段：调研与开题（本学期第7—9周）。原定第7—8周的开题顺延至第9周，完成需求分析、技术调研、系统概要设计与可行性分析，明确项目范围和评估方法；阶段成果为开题报告及需求、设计文档。</w:t>
            </w:r>
          </w:p>
          <w:p>
            <w:pPr>
              <w:spacing w:before="0" w:after="60" w:line="288" w:lineRule="auto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第二阶段：核心功能开发（开题后至第一学期末）。搭建前后端与数据存储环境，实现 PDF 解析分块、向量与 BM25 索引、混合检索、重排序及基础问答，建立固定测试题集；阶段成果为可运行的核心原型与阶段测试记录。</w:t>
            </w:r>
          </w:p>
          <w:p>
            <w:pPr>
              <w:spacing w:before="0" w:after="60" w:line="288" w:lineRule="auto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第三阶段：系统集成与中期检查（寒假至第二学期开学前三周）。完善加工指令草案、多轮会话、引用定位和文档管理，开展前后端联调与初步评估，按课程要求参加中期检查；阶段成果为中期报告、系统演示及问题改进清单。</w:t>
            </w:r>
          </w:p>
          <w:p>
            <w:pPr>
              <w:spacing w:before="0" w:after="60" w:line="288" w:lineRule="auto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第四阶段：完善与评估（中期检查后至6月中旬）。修复中期发现的问题，完成多文档检索对比、人工评分、异常与权限测试，优化性能并完善部署和使用说明；阶段成果为功能完整的系统、测试评估报告及交付文档。</w:t>
            </w:r>
          </w:p>
          <w:p>
            <w:pPr>
              <w:spacing w:before="0" w:after="60" w:line="288" w:lineRule="auto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第五阶段：结题与答辩（6月末至7月初）。整理源代码、配置、演示数据和评估证据，完成结题报告与答辩材料，进行部署复核和演示演练；阶段成果为最终系统版本、结题报告及答辩材料。</w:t>
            </w:r>
          </w:p>
        </w:tc>
      </w:tr>
      <w:tr w14:paraId="34F1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7" w:hRule="atLeast"/>
        </w:trPr>
        <w:tc>
          <w:tcPr>
            <w:tcW w:w="5000" w:type="pct"/>
          </w:tcPr>
          <w:p w14:paraId="40D9DEC7">
            <w:pPr>
              <w:spacing w:before="0" w:after="60" w:line="288" w:lineRule="auto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预期成果及特色</w:t>
            </w:r>
          </w:p>
          <w:p w14:paraId="341C511E">
            <w:pPr>
              <w:spacing w:before="0" w:after="60" w:line="288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形成可部署的轻量级原型、需求与设计文档、测试题集和评估报告、使用部署说明及结题材料。预期实现面向工艺文档的混合检索、可定位引用和审核型指令草案；最终效果以实际开发与测试结果为准。</w:t>
            </w:r>
          </w:p>
        </w:tc>
      </w:tr>
      <w:tr w14:paraId="56056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</w:trPr>
        <w:tc>
          <w:tcPr>
            <w:tcW w:w="5000" w:type="pct"/>
          </w:tcPr>
          <w:p w14:paraId="36A0A72E">
            <w:pPr>
              <w:spacing w:before="156" w:beforeLines="5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24"/>
              </w:rPr>
              <w:t>导师意见（</w:t>
            </w:r>
            <w:r>
              <w:rPr>
                <w:rFonts w:hint="eastAsia"/>
                <w:b/>
                <w:bCs/>
              </w:rPr>
              <w:t>对选题和工作过程及成果进行说明，并给出成绩。</w:t>
            </w:r>
            <w:r>
              <w:rPr>
                <w:rFonts w:hint="eastAsia"/>
                <w:b/>
                <w:bCs/>
                <w:sz w:val="24"/>
              </w:rPr>
              <w:t>）</w:t>
            </w:r>
          </w:p>
          <w:p w14:paraId="4C3A67AD">
            <w:pPr>
              <w:rPr>
                <w:rFonts w:hint="eastAsia"/>
                <w:b/>
                <w:bCs/>
              </w:rPr>
            </w:pPr>
          </w:p>
          <w:p w14:paraId="77A83B20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0BF12E51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3E8A9E49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66E72D96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4DCCAFE1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40842327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284575E5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0BC8AD28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2CA79EA4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357DBB84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338F8ACD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24CC97C4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57E70402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54919758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7067E3E8">
            <w:pPr>
              <w:wordWrap w:val="0"/>
              <w:ind w:right="420"/>
              <w:rPr>
                <w:rFonts w:hint="eastAsia"/>
                <w:b/>
                <w:bCs/>
              </w:rPr>
            </w:pPr>
          </w:p>
          <w:p w14:paraId="5C9F2C6C">
            <w:pPr>
              <w:wordWrap w:val="0"/>
              <w:ind w:right="420" w:firstLine="1857" w:firstLineChars="881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导师签名：         </w:t>
            </w:r>
          </w:p>
          <w:p w14:paraId="61780FDD">
            <w:pPr>
              <w:tabs>
                <w:tab w:val="left" w:pos="6406"/>
              </w:tabs>
              <w:wordWrap w:val="0"/>
              <w:ind w:right="420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年    月    日</w:t>
            </w:r>
          </w:p>
        </w:tc>
      </w:tr>
      <w:tr w14:paraId="7EBBA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0" w:hRule="atLeast"/>
        </w:trPr>
        <w:tc>
          <w:tcPr>
            <w:tcW w:w="5000" w:type="pct"/>
          </w:tcPr>
          <w:p w14:paraId="2898200D">
            <w:pPr>
              <w:spacing w:before="156" w:beforeLines="50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答辩小组意见</w:t>
            </w:r>
          </w:p>
          <w:p w14:paraId="6F124A2B">
            <w:pPr>
              <w:rPr>
                <w:rFonts w:hint="eastAsia"/>
                <w:b/>
                <w:bCs/>
              </w:rPr>
            </w:pPr>
          </w:p>
          <w:p w14:paraId="2BB43D59">
            <w:pPr>
              <w:rPr>
                <w:rFonts w:hint="eastAsia"/>
                <w:b/>
                <w:bCs/>
              </w:rPr>
            </w:pPr>
          </w:p>
          <w:p w14:paraId="3CA23E33">
            <w:pPr>
              <w:rPr>
                <w:rFonts w:hint="eastAsia"/>
                <w:b/>
                <w:bCs/>
              </w:rPr>
            </w:pPr>
          </w:p>
          <w:p w14:paraId="3738ED37">
            <w:pPr>
              <w:rPr>
                <w:rFonts w:hint="eastAsia"/>
                <w:b/>
                <w:bCs/>
              </w:rPr>
            </w:pPr>
          </w:p>
          <w:p w14:paraId="1DF123C9">
            <w:pPr>
              <w:rPr>
                <w:rFonts w:hint="eastAsia"/>
                <w:b/>
                <w:bCs/>
              </w:rPr>
            </w:pPr>
          </w:p>
          <w:p w14:paraId="46F69077">
            <w:pPr>
              <w:rPr>
                <w:rFonts w:hint="eastAsia"/>
                <w:b/>
                <w:bCs/>
              </w:rPr>
            </w:pPr>
          </w:p>
          <w:p w14:paraId="7C10F2C7">
            <w:pPr>
              <w:rPr>
                <w:rFonts w:hint="eastAsia"/>
                <w:b/>
                <w:bCs/>
              </w:rPr>
            </w:pPr>
          </w:p>
          <w:p w14:paraId="313EBC6C">
            <w:pPr>
              <w:rPr>
                <w:rFonts w:hint="eastAsia"/>
                <w:b/>
                <w:bCs/>
              </w:rPr>
            </w:pPr>
          </w:p>
          <w:p w14:paraId="4ECF4616">
            <w:pPr>
              <w:rPr>
                <w:rFonts w:hint="eastAsia"/>
                <w:b/>
                <w:bCs/>
              </w:rPr>
            </w:pPr>
          </w:p>
          <w:p w14:paraId="00C0A572">
            <w:pPr>
              <w:rPr>
                <w:rFonts w:hint="eastAsia"/>
                <w:b/>
                <w:bCs/>
              </w:rPr>
            </w:pPr>
          </w:p>
          <w:p w14:paraId="7997A5A8">
            <w:pPr>
              <w:rPr>
                <w:rFonts w:hint="eastAsia"/>
                <w:b/>
                <w:bCs/>
              </w:rPr>
            </w:pPr>
          </w:p>
          <w:p w14:paraId="49BB146B">
            <w:pPr>
              <w:rPr>
                <w:rFonts w:hint="eastAsia"/>
                <w:b/>
                <w:bCs/>
              </w:rPr>
            </w:pPr>
          </w:p>
          <w:p w14:paraId="290B31F3">
            <w:pPr>
              <w:rPr>
                <w:rFonts w:hint="eastAsia"/>
                <w:b/>
                <w:bCs/>
              </w:rPr>
            </w:pPr>
          </w:p>
          <w:p w14:paraId="2D881264">
            <w:pPr>
              <w:rPr>
                <w:rFonts w:hint="eastAsia"/>
                <w:b/>
                <w:bCs/>
              </w:rPr>
            </w:pPr>
          </w:p>
          <w:p w14:paraId="58365B5F">
            <w:pPr>
              <w:rPr>
                <w:rFonts w:hint="eastAsia"/>
                <w:b/>
                <w:bCs/>
              </w:rPr>
            </w:pPr>
          </w:p>
          <w:p w14:paraId="385C2B92">
            <w:pPr>
              <w:ind w:right="420" w:firstLine="1889" w:firstLineChars="896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答辩组长签名：</w:t>
            </w:r>
          </w:p>
          <w:p w14:paraId="430054A2">
            <w:pPr>
              <w:ind w:right="420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年    月    日</w:t>
            </w:r>
          </w:p>
        </w:tc>
      </w:tr>
    </w:tbl>
    <w:p w14:paraId="00144731">
      <w:pPr>
        <w:rPr>
          <w:rFonts w:hint="eastAsia"/>
          <w:b/>
          <w:bCs/>
          <w:sz w:val="10"/>
        </w:rPr>
      </w:pPr>
    </w:p>
    <w:sectPr>
      <w:footerReference r:id="rId3" w:type="default"/>
      <w:footerReference r:id="rId4" w:type="even"/>
      <w:pgSz w:w="10433" w:h="14742"/>
      <w:pgMar w:top="907" w:right="851" w:bottom="907" w:left="851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Sarasa UI SC LiveMaker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C4BFA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  <w:lang w:val="en-US" w:eastAsia="zh-CN"/>
      </w:rPr>
      <w:t>4</w:t>
    </w:r>
    <w:r>
      <w:rPr>
        <w:rStyle w:val="9"/>
      </w:rPr>
      <w:fldChar w:fldCharType="end"/>
    </w:r>
  </w:p>
  <w:p w14:paraId="140B6A0C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5472F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08788C07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CC5859"/>
    <w:multiLevelType w:val="multilevel"/>
    <w:tmpl w:val="42CC5859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315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749DA"/>
    <w:rsid w:val="000158A6"/>
    <w:rsid w:val="000F7FBB"/>
    <w:rsid w:val="001F730F"/>
    <w:rsid w:val="00223EBE"/>
    <w:rsid w:val="0029364B"/>
    <w:rsid w:val="003F7A05"/>
    <w:rsid w:val="004E0307"/>
    <w:rsid w:val="00560148"/>
    <w:rsid w:val="00586218"/>
    <w:rsid w:val="006321FC"/>
    <w:rsid w:val="00654F35"/>
    <w:rsid w:val="007315CC"/>
    <w:rsid w:val="00865C27"/>
    <w:rsid w:val="008E25A1"/>
    <w:rsid w:val="009E0382"/>
    <w:rsid w:val="009F30D8"/>
    <w:rsid w:val="00A03F85"/>
    <w:rsid w:val="00AC0EA3"/>
    <w:rsid w:val="00AF6391"/>
    <w:rsid w:val="00B17201"/>
    <w:rsid w:val="00B44702"/>
    <w:rsid w:val="00B55E9C"/>
    <w:rsid w:val="00BC630F"/>
    <w:rsid w:val="00BF440E"/>
    <w:rsid w:val="00C3035F"/>
    <w:rsid w:val="00D04243"/>
    <w:rsid w:val="00D15A84"/>
    <w:rsid w:val="00D202F2"/>
    <w:rsid w:val="00D6413E"/>
    <w:rsid w:val="00DE1458"/>
    <w:rsid w:val="00E062FE"/>
    <w:rsid w:val="00E54A7F"/>
    <w:rsid w:val="00E70154"/>
    <w:rsid w:val="00E749DA"/>
    <w:rsid w:val="00E94B86"/>
    <w:rsid w:val="00ED12BC"/>
    <w:rsid w:val="2695315B"/>
    <w:rsid w:val="5F3D7B99"/>
    <w:rsid w:val="7526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Body Text"/>
    <w:basedOn w:val="1"/>
    <w:qFormat/>
    <w:uiPriority w:val="0"/>
    <w:pPr>
      <w:ind w:left="397" w:firstLine="170"/>
    </w:pPr>
    <w:rPr>
      <w:rFonts w:ascii="Century" w:hAnsi="Century" w:eastAsia="MS Mincho"/>
      <w:szCs w:val="20"/>
      <w:lang w:eastAsia="ja-JP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0"/>
    <w:rPr>
      <w:b/>
      <w:bCs/>
    </w:rPr>
  </w:style>
  <w:style w:type="character" w:styleId="9">
    <w:name w:val="page number"/>
    <w:basedOn w:val="7"/>
    <w:qFormat/>
    <w:uiPriority w:val="0"/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customStyle="1" w:styleId="11">
    <w:name w:val="页眉 字符"/>
    <w:basedOn w:val="7"/>
    <w:link w:val="5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ustc</Company>
  <Pages>6</Pages>
  <Words>2521</Words>
  <Characters>3916</Characters>
  <Lines>187</Lines>
  <Paragraphs>66</Paragraphs>
  <TotalTime>0</TotalTime>
  <ScaleCrop>false</ScaleCrop>
  <LinksUpToDate>false</LinksUpToDate>
  <CharactersWithSpaces>4268</CharactersWithSpaces>
  <Application>WPS Office_12.1.0.19302_F1E327BC-269C-435d-A152-05C5408002CA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2026-10-29T11:48:00Z</dcterms:created>
  <dc:creator>macintosh leung</dc:creator>
  <cp:lastModifiedBy>奇</cp:lastModifiedBy>
  <cp:lastPrinted>2006-02-12T02:55:00Z</cp:lastPrinted>
  <dcterms:modified xsi:type="dcterms:W3CDTF">2026-10-29T11:51:16Z</dcterms:modified>
  <dc:title>中国科学技术大学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eyJoZGlkIjoiMThjYzJhYTc4Mjg0MTU3ZDY4NDlkMGE3ZjllOGVhZTYiLCJ1c2VySWQiOiI1ODgxNTU3MDMifQ==</vt:lpwstr>
  </property>
  <property fmtid="{D5CDD505-2E9C-101B-9397-08002B2CF9AE}" pid="3" name="KSOProductBuildVer">
    <vt:lpwstr>2052-12.1.0.19302</vt:lpwstr>
  </property>
  <property fmtid="{D5CDD505-2E9C-101B-9397-08002B2CF9AE}" pid="4" name="ICV">
    <vt:lpwstr>6E903A3FABE247B89E61828F560B45B6_12</vt:lpwstr>
  </property>
</Properties>
</file>