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National Center for Charitable Statistics (NCCS) Business Master File (BMF)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National Center for Charitable Statistics (NCCS) Business Master File (BMF) dataset is a registry-style nonprofit dataset published by the Urban Institute. It is based on Internal Revenue Service (IRS) exempt-organization records and provides organization identity, address/geography fields, exempt status context, National Taxonomy of Exempt Entities (NTEE) classification, subsection information, and limited amount fields.</w:t>
      </w:r>
    </w:p>
    <w:p>
      <w:pPr>
        <w:spacing w:before="0" w:after="80"/>
      </w:pPr>
      <w:r>
        <w:t>In this project, NCCS BMF is used for annual nonprofit counts, organization geography, classification support, and project-region analysis. It also helps enrich classification fields for other datasets when those datasets do not contain a complete NTEE or subsection code. Like IRS Exempt Organizations (EO) BMF, this is a registry and classification source, not a full Form 990 financial-detail source.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National Center for Charitable Statistics at the Urban Institute.</w:t>
      </w:r>
    </w:p>
    <w:p>
      <w:pPr>
        <w:pStyle w:val="ListBullet"/>
      </w:pPr>
      <w:r>
        <w:t xml:space="preserve">Source pages: </w:t>
      </w:r>
      <w:r>
        <w:rPr>
          <w:rFonts w:ascii="Consolas" w:hAnsi="Consolas"/>
          <w:sz w:val="20"/>
        </w:rPr>
        <w:t>https://nccs.urban.org/nccs/datasets/bmf/</w:t>
      </w:r>
      <w:r>
        <w:t xml:space="preserve"> and </w:t>
      </w:r>
      <w:r>
        <w:rPr>
          <w:rFonts w:ascii="Consolas" w:hAnsi="Consolas"/>
          <w:sz w:val="20"/>
        </w:rPr>
        <w:t>https://nccs.urban.org/nccs/catalogs/catalog-bmf.html</w:t>
      </w:r>
      <w:r>
        <w:t>.</w:t>
      </w:r>
    </w:p>
    <w:p>
      <w:pPr>
        <w:pStyle w:val="ListBullet"/>
      </w:pPr>
      <w:r>
        <w:t>Source documentation: NCCS BMF catalog documentation and IRS EO BMF field documentation.</w:t>
      </w:r>
    </w:p>
    <w:p>
      <w:pPr>
        <w:pStyle w:val="ListBullet"/>
      </w:pPr>
      <w:r>
        <w:t xml:space="preserve">Source file families used: monthly NCCS BMF extracts and legacy NCCS BMF extracts covering </w:t>
      </w:r>
      <w:r>
        <w:rPr>
          <w:rFonts w:ascii="Consolas" w:hAnsi="Consolas"/>
          <w:sz w:val="20"/>
        </w:rPr>
        <w:t>2022-2024</w:t>
      </w:r>
      <w:r>
        <w:t xml:space="preserve"> records.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NCCS BMF is a public registry dataset derived from IRS exempt-organization records. It is not a voluntary survey and it does not contain complete Form 990 filing detail.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selects representative yearly BMF files, keeps records located in the project counties and regions, and builds the analysis-ready layer for </w:t>
      </w:r>
      <w:r>
        <w:rPr>
          <w:rFonts w:ascii="Consolas" w:hAnsi="Consolas"/>
          <w:sz w:val="20"/>
        </w:rPr>
        <w:t>2022-2024</w:t>
      </w:r>
      <w:r>
        <w:t>.</w:t>
      </w:r>
    </w:p>
    <w:p>
      <w:pPr>
        <w:spacing w:before="0" w:after="80"/>
      </w:pPr>
      <w:r>
        <w:t>Important limitations:</w:t>
      </w:r>
    </w:p>
    <w:p>
      <w:pPr>
        <w:pStyle w:val="ListBullet"/>
      </w:pPr>
      <w:r>
        <w:t>BMF is a registry and classification source, not a complete filing-level financial source.</w:t>
      </w:r>
    </w:p>
    <w:p>
      <w:pPr>
        <w:pStyle w:val="ListBullet"/>
      </w:pPr>
      <w:r>
        <w:t>Expense, net assets, surplus, net margin, months of reserves, contribution detail, and grant detail are not available in the current BMF analysis layer.</w:t>
      </w:r>
    </w:p>
    <w:p>
      <w:pPr>
        <w:pStyle w:val="ListBullet"/>
      </w:pPr>
      <w:r>
        <w:t>The 2022 legacy file links to an unavailable profile dictionary, so this package includes a generated header companion and documents that limitation.</w:t>
      </w:r>
    </w:p>
    <w:p>
      <w:pPr>
        <w:pStyle w:val="ListBullet"/>
      </w:pPr>
      <w:r>
        <w:t>Duplicate handling for analysis is applied in the final analysis layer; the upstream yearly project-region files remain source-faithful filtered outputs.</w:t>
      </w:r>
    </w:p>
    <w:p>
      <w:pPr>
        <w:pStyle w:val="Heading2"/>
      </w:pPr>
      <w:r>
        <w:t>Source Files Used</w:t>
      </w:r>
    </w:p>
    <w:p>
      <w:pPr>
        <w:spacing w:before="0" w:after="80"/>
      </w:pPr>
      <w:r>
        <w:t xml:space="preserve">The project uses selected yearly NCCS BMF source files covering </w:t>
      </w:r>
      <w:r>
        <w:rPr>
          <w:rFonts w:ascii="Consolas" w:hAnsi="Consolas"/>
          <w:sz w:val="20"/>
        </w:rPr>
        <w:t>2022-2024</w:t>
      </w:r>
      <w:r>
        <w:t xml:space="preserve"> records. Those files are downloaded from the public NCCS BMF source pages, then filtered to the project counties and benchmark regions.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annual comma-separated values (CSV) files are preserved as source inputs. After project-region filtering, the processing creates yearly project-region outputs, exact-year lookup files, row-level analysis outputs, geography metrics, and field metrics.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The cleaning process keeps the raw NCCS BMF files unchanged, then creates project-specific analysis files:</w:t>
      </w:r>
    </w:p>
    <w:p>
      <w:pPr>
        <w:pStyle w:val="ListBullet"/>
      </w:pPr>
      <w:r>
        <w:t xml:space="preserve">Selects the yearly source files used for the </w:t>
      </w:r>
      <w:r>
        <w:rPr>
          <w:rFonts w:ascii="Consolas" w:hAnsi="Consolas"/>
          <w:sz w:val="20"/>
        </w:rPr>
        <w:t>2022-2024</w:t>
      </w:r>
      <w:r>
        <w:t xml:space="preserve"> analysis window.</w:t>
      </w:r>
    </w:p>
    <w:p>
      <w:pPr>
        <w:pStyle w:val="ListBullet"/>
      </w:pPr>
      <w:r>
        <w:t>Standardizes employer identification numbers (EINs), Zone Improvement Plan (ZIP) codes, county Federal Information Processing Standards (FIPS) codes, region labels, and year fields.</w:t>
      </w:r>
    </w:p>
    <w:p>
      <w:pPr>
        <w:pStyle w:val="ListBullet"/>
      </w:pPr>
      <w:r>
        <w:t>Uses project geography reference files to keep only records located in the project counties and regions.</w:t>
      </w:r>
    </w:p>
    <w:p>
      <w:pPr>
        <w:pStyle w:val="ListBullet"/>
      </w:pPr>
      <w:r>
        <w:t>Writes one filtered yearly file for each selected year.</w:t>
      </w:r>
    </w:p>
    <w:p>
      <w:pPr>
        <w:pStyle w:val="ListBullet"/>
      </w:pPr>
      <w:r>
        <w:t>Creates exact-year lookup files so classification enrichment can use the right BMF year when possible.</w:t>
      </w:r>
    </w:p>
    <w:p>
      <w:pPr>
        <w:pStyle w:val="ListBullet"/>
      </w:pPr>
      <w:r>
        <w:t>Combines only the retained project-region files for the final analysis layer.</w:t>
      </w:r>
    </w:p>
    <w:p>
      <w:pPr>
        <w:pStyle w:val="ListBullet"/>
      </w:pPr>
      <w:r>
        <w:t>When duplicate organization-year records remain in the final analysis layer, keeps one record using documented tie-break rules.</w:t>
      </w:r>
    </w:p>
    <w:p>
      <w:pPr>
        <w:pStyle w:val="ListBullet"/>
      </w:pPr>
      <w:r>
        <w:t>Builds analyst-facing NTEE and subsection fields from NCCS BMF first, then uses fallback registry information where needed.</w:t>
      </w:r>
    </w:p>
    <w:p>
      <w:pPr>
        <w:pStyle w:val="ListBullet"/>
      </w:pPr>
      <w:r>
        <w:t>Creates helper flags for hospitals, universities, and political organizations based on classification and conservative name matching.</w:t>
      </w:r>
    </w:p>
    <w:p>
      <w:pPr>
        <w:pStyle w:val="ListBullet"/>
      </w:pPr>
      <w:r>
        <w:t>Leaves unsupported Form 990 financial fields blank because BMF does not contain the needed source information.</w:t>
      </w:r>
    </w:p>
    <w:p>
      <w:pPr>
        <w:pStyle w:val="Heading2"/>
      </w:pPr>
      <w:r>
        <w:t>Analysis-Ready CSV Deliverables</w:t>
      </w:r>
    </w:p>
    <w:p>
      <w:pPr>
        <w:pStyle w:val="ListBullet"/>
      </w:pPr>
      <w:r/>
      <w:r>
        <w:rPr>
          <w:rFonts w:ascii="Consolas" w:hAnsi="Consolas"/>
          <w:sz w:val="20"/>
        </w:rPr>
        <w:t>nccs_bmf_analysis_variables.csv</w:t>
      </w:r>
    </w:p>
    <w:p>
      <w:pPr>
        <w:pStyle w:val="ListBullet"/>
      </w:pPr>
      <w:r/>
      <w:r>
        <w:rPr>
          <w:rFonts w:ascii="Consolas" w:hAnsi="Consolas"/>
          <w:sz w:val="20"/>
        </w:rPr>
        <w:t>nccs_bmf_analysis_geography_metrics.csv</w:t>
      </w:r>
    </w:p>
    <w:p>
      <w:pPr>
        <w:pStyle w:val="ListBullet"/>
      </w:pPr>
      <w:r/>
      <w:r>
        <w:rPr>
          <w:rFonts w:ascii="Consolas" w:hAnsi="Consolas"/>
          <w:sz w:val="20"/>
        </w:rPr>
        <w:t>nccs_bmf_analysis_field_metrics.csv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>The deliverable package includes a separate data dictionary for the analysis-ready CSV files.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