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80"/>
      </w:pPr>
      <w:r>
        <w:rPr>
          <w:b/>
          <w:i w:val="0"/>
          <w:color w:val="666666"/>
        </w:rPr>
        <w:t>Philanthropic characteristics of the Black Hills Area and comparison to selected benchmark regions</w:t>
      </w:r>
    </w:p>
    <w:p>
      <w:pPr>
        <w:spacing w:after="100" w:line="252" w:lineRule="auto"/>
      </w:pPr>
      <w:r>
        <w:rPr>
          <w:b w:val="0"/>
          <w:i w:val="0"/>
          <w:color w:val="666666"/>
        </w:rPr>
        <w:t>Prepared by Statistics Without Borders for the Black Hills Area Community Foundation</w:t>
      </w:r>
    </w:p>
    <w:p>
      <w:pPr>
        <w:spacing w:after="100" w:line="252" w:lineRule="auto"/>
      </w:pPr>
      <w:r>
        <w:rPr>
          <w:b w:val="0"/>
          <w:i w:val="0"/>
          <w:color w:val="666666"/>
        </w:rPr>
        <w:t>Introduction and executive summary ................................ ................................ ............. 2</w:t>
      </w:r>
    </w:p>
    <w:p>
      <w:pPr>
        <w:spacing w:after="100" w:line="252" w:lineRule="auto"/>
      </w:pPr>
      <w:r>
        <w:rPr>
          <w:b w:val="0"/>
          <w:i w:val="0"/>
          <w:color w:val="666666"/>
        </w:rPr>
        <w:t>Executive summary ................................ ................................ ................................ ... 2</w:t>
      </w:r>
    </w:p>
    <w:p>
      <w:pPr>
        <w:spacing w:after="100" w:line="252" w:lineRule="auto"/>
      </w:pPr>
      <w:r>
        <w:rPr>
          <w:b w:val="0"/>
          <w:i w:val="0"/>
          <w:color w:val="666666"/>
        </w:rPr>
        <w:t>Study background and objectives ................................ ................................ ............... 2</w:t>
      </w:r>
    </w:p>
    <w:p>
      <w:pPr>
        <w:spacing w:after="100" w:line="252" w:lineRule="auto"/>
      </w:pPr>
      <w:r>
        <w:rPr>
          <w:b w:val="0"/>
          <w:i w:val="0"/>
          <w:color w:val="666666"/>
        </w:rPr>
        <w:t>Limitations ................................ ................................ ................................ ............... 2</w:t>
      </w:r>
    </w:p>
    <w:p>
      <w:pPr>
        <w:spacing w:after="100" w:line="252" w:lineRule="auto"/>
      </w:pPr>
      <w:r>
        <w:rPr>
          <w:b w:val="0"/>
          <w:i w:val="0"/>
          <w:color w:val="666666"/>
        </w:rPr>
        <w:t>Data sources ................................ ................................ ................................ ............ 3</w:t>
      </w:r>
    </w:p>
    <w:p>
      <w:pPr>
        <w:spacing w:after="100" w:line="252" w:lineRule="auto"/>
      </w:pPr>
      <w:r>
        <w:rPr>
          <w:b w:val="0"/>
          <w:i w:val="0"/>
          <w:color w:val="666666"/>
        </w:rPr>
        <w:t>Selection and demographic analysis of benchmark regions ................................ ............. 3</w:t>
      </w:r>
    </w:p>
    <w:p>
      <w:pPr>
        <w:spacing w:after="100" w:line="252" w:lineRule="auto"/>
      </w:pPr>
      <w:r>
        <w:rPr>
          <w:b w:val="0"/>
          <w:i w:val="0"/>
          <w:color w:val="666666"/>
        </w:rPr>
        <w:t>Benchmark region selection................................ ................................ .......................  4</w:t>
      </w:r>
    </w:p>
    <w:p>
      <w:pPr>
        <w:spacing w:after="100" w:line="252" w:lineRule="auto"/>
      </w:pPr>
      <w:r>
        <w:rPr>
          <w:b w:val="0"/>
          <w:i w:val="0"/>
          <w:color w:val="666666"/>
        </w:rPr>
        <w:t>Relevant details about data sources ................................ ................................ ........... 4</w:t>
      </w:r>
    </w:p>
    <w:p>
      <w:pPr>
        <w:spacing w:after="100" w:line="252" w:lineRule="auto"/>
      </w:pPr>
      <w:r>
        <w:rPr>
          <w:b w:val="0"/>
          <w:i w:val="0"/>
          <w:color w:val="666666"/>
        </w:rPr>
        <w:t>Results of benchmark regions analyses ................................ ................................ ...... 4</w:t>
      </w:r>
    </w:p>
    <w:p>
      <w:pPr>
        <w:spacing w:after="100" w:line="252" w:lineRule="auto"/>
      </w:pPr>
      <w:r>
        <w:rPr>
          <w:b w:val="0"/>
          <w:i w:val="0"/>
          <w:color w:val="666666"/>
        </w:rPr>
        <w:t>Characterization of donation activity ................................ ................................ ............. 4</w:t>
      </w:r>
    </w:p>
    <w:p>
      <w:pPr>
        <w:spacing w:after="100" w:line="252" w:lineRule="auto"/>
      </w:pPr>
      <w:r>
        <w:rPr>
          <w:b w:val="0"/>
          <w:i w:val="0"/>
          <w:color w:val="666666"/>
        </w:rPr>
        <w:t>Relevant details about data sources ................................ ................................ ........... 5</w:t>
      </w:r>
    </w:p>
    <w:p>
      <w:pPr>
        <w:spacing w:after="100" w:line="252" w:lineRule="auto"/>
      </w:pPr>
      <w:r>
        <w:rPr>
          <w:b w:val="0"/>
          <w:i w:val="0"/>
          <w:color w:val="666666"/>
        </w:rPr>
        <w:t>Results of donation activity analysis ................................ ................................ ........... 5</w:t>
      </w:r>
    </w:p>
    <w:p>
      <w:pPr>
        <w:spacing w:after="100" w:line="252" w:lineRule="auto"/>
      </w:pPr>
      <w:r>
        <w:rPr>
          <w:b w:val="0"/>
          <w:i w:val="0"/>
          <w:color w:val="666666"/>
        </w:rPr>
        <w:t>Characterization of non-profit organizations ................................ ................................ .. 5</w:t>
      </w:r>
    </w:p>
    <w:p>
      <w:pPr>
        <w:spacing w:after="100" w:line="252" w:lineRule="auto"/>
      </w:pPr>
      <w:r>
        <w:rPr>
          <w:b w:val="0"/>
          <w:i w:val="0"/>
          <w:color w:val="666666"/>
        </w:rPr>
        <w:t>Relevant details about data sources ................................ ................................ ........... 6</w:t>
      </w:r>
    </w:p>
    <w:p>
      <w:pPr>
        <w:spacing w:after="100" w:line="252" w:lineRule="auto"/>
      </w:pPr>
      <w:r>
        <w:rPr>
          <w:b w:val="0"/>
          <w:i w:val="0"/>
          <w:color w:val="666666"/>
        </w:rPr>
        <w:t>Results of non-profit organization analysis ................................ ................................ .. 6</w:t>
      </w:r>
    </w:p>
    <w:p>
      <w:pPr>
        <w:spacing w:after="100" w:line="252" w:lineRule="auto"/>
      </w:pPr>
      <w:r>
        <w:rPr>
          <w:b w:val="0"/>
          <w:i w:val="0"/>
          <w:color w:val="666666"/>
        </w:rPr>
        <w:t>Conclusions ................................ ................................ ................................ ................ 6</w:t>
      </w:r>
    </w:p>
    <w:p>
      <w:pPr>
        <w:pStyle w:val="Heading2"/>
        <w:spacing w:before="160" w:after="80"/>
      </w:pPr>
      <w:r>
        <w:rPr>
          <w:b/>
          <w:i w:val="0"/>
          <w:color w:val="666666"/>
        </w:rPr>
        <w:t>Introduction and executive summary</w:t>
      </w:r>
    </w:p>
    <w:p>
      <w:pPr>
        <w:pStyle w:val="Heading3"/>
        <w:spacing w:before="160" w:after="80"/>
      </w:pPr>
      <w:r>
        <w:rPr>
          <w:b/>
          <w:i w:val="0"/>
          <w:color w:val="666666"/>
        </w:rPr>
        <w:t>Executive summary</w:t>
      </w:r>
    </w:p>
    <w:p>
      <w:pPr>
        <w:spacing w:after="100" w:line="252" w:lineRule="auto"/>
      </w:pPr>
      <w:r>
        <w:rPr>
          <w:b w:val="0"/>
          <w:i w:val="0"/>
          <w:color w:val="666666"/>
        </w:rPr>
        <w:t>(Need to write it at the end based on conclusions)</w:t>
      </w:r>
    </w:p>
    <w:p>
      <w:pPr>
        <w:pStyle w:val="Heading3"/>
        <w:spacing w:before="160" w:after="80"/>
      </w:pPr>
      <w:r>
        <w:rPr>
          <w:b/>
          <w:i w:val="0"/>
          <w:color w:val="666666"/>
        </w:rPr>
        <w:t>Study background and objectives</w:t>
      </w:r>
    </w:p>
    <w:p>
      <w:pPr>
        <w:spacing w:after="100" w:line="252" w:lineRule="auto"/>
      </w:pPr>
      <w:r>
        <w:rPr>
          <w:b w:val="0"/>
          <w:i w:val="0"/>
          <w:color w:val="666666"/>
        </w:rPr>
        <w:t>The study objective is to describe, through publicly available quantitative data, the philanthropic landscape of the Black Hills region. The Black Hills region is compared to a set of benchmark regions selected to have similar demographic and qualitative characteristics, with the intention of identifying similarities and differences that may inform the strategy of Black Hills Area non-profit institutions.</w:t>
      </w:r>
    </w:p>
    <w:p>
      <w:pPr>
        <w:spacing w:after="100" w:line="252" w:lineRule="auto"/>
      </w:pPr>
      <w:r>
        <w:rPr>
          <w:b w:val="0"/>
          <w:i w:val="0"/>
          <w:color w:val="666666"/>
        </w:rPr>
        <w:t>The Black Hills area of South Dakota is made up of 7 counties in Western South Dakota (Butte, Meade, Lawrence, Pennington, Custer, Oglala Lakota, and Fall River Counties) and a small portion of Eastern Wyoming. This is a largely rural region with a strong tourism industry as well as agriculture, ranching, mining and is the home of Ellsworth Airforce Base. These characteristics were considered when selecting the benchmark regions for comparison, with a goal of identifying benchmark areas with broadly similar demographic, economic, historical, and cultural characteristics.</w:t>
      </w:r>
    </w:p>
    <w:p>
      <w:pPr>
        <w:spacing w:after="100" w:line="252" w:lineRule="auto"/>
      </w:pPr>
      <w:r>
        <w:rPr>
          <w:b w:val="0"/>
          <w:i w:val="0"/>
          <w:color w:val="666666"/>
        </w:rPr>
        <w:t>The philanthropic landscape of the Black Hills region is believed to be driven by its rural character and its tourism-driven economy. This study summarizes demographic characteristics, donor characteristics, and non-profit organization statistics in comparison with benchmark regions, with the intention of identifying similarities, differences, and correlations with philanthropic behavior.  The analysis covers the period after the COVID-19 epidemic of 2020- 2021, which represented a significant disturbance in economic activity.</w:t>
      </w:r>
    </w:p>
    <w:p>
      <w:pPr>
        <w:pStyle w:val="Heading3"/>
        <w:spacing w:before="160" w:after="80"/>
      </w:pPr>
      <w:r>
        <w:rPr>
          <w:b/>
          <w:i w:val="0"/>
          <w:color w:val="666666"/>
        </w:rPr>
        <w:t>Limitations</w:t>
      </w:r>
    </w:p>
    <w:p>
      <w:pPr>
        <w:spacing w:after="100" w:line="252" w:lineRule="auto"/>
      </w:pPr>
      <w:r>
        <w:rPr>
          <w:b w:val="0"/>
          <w:i w:val="0"/>
          <w:color w:val="666666"/>
        </w:rPr>
        <w:t>General limitations of the study are described here, while limitations specific to individual data sources are described in later sections. This study was restricted to analysis of publicly available data from open-access internet resources rather than being collected specifically to support the desired analyses. Most of the data are self-reported in the context of tax filings and no audits or other accuracy checking were performed. The desire to focus on the post-covid period meant that some datasets had as few as one year’s worth of available data. Multiple years were analyzed where available, as indicted.</w:t>
      </w:r>
    </w:p>
    <w:p>
      <w:pPr>
        <w:spacing w:after="100" w:line="252" w:lineRule="auto"/>
      </w:pPr>
      <w:r>
        <w:rPr>
          <w:b w:val="0"/>
          <w:i w:val="0"/>
          <w:color w:val="666666"/>
        </w:rPr>
        <w:t>Commented [AR1]: get client input here to describe what is unique about BHR</w:t>
      </w:r>
    </w:p>
    <w:p>
      <w:pPr>
        <w:spacing w:after="100" w:line="252" w:lineRule="auto"/>
      </w:pPr>
      <w:r>
        <w:rPr>
          <w:b w:val="0"/>
          <w:i w:val="0"/>
          <w:color w:val="666666"/>
        </w:rPr>
        <w:t>Commented [AR2R1]: Background section has been shared with Eric for input (May 17)</w:t>
      </w:r>
    </w:p>
    <w:p>
      <w:pPr>
        <w:spacing w:after="100" w:line="252" w:lineRule="auto"/>
      </w:pPr>
      <w:r>
        <w:rPr>
          <w:b w:val="0"/>
          <w:i w:val="0"/>
          <w:color w:val="666666"/>
        </w:rPr>
        <w:t>Commented [AR3R1]: Eric's minor changes have been incorporated.</w:t>
      </w:r>
    </w:p>
    <w:p>
      <w:pPr>
        <w:spacing w:after="100" w:line="252" w:lineRule="auto"/>
      </w:pPr>
      <w:r>
        <w:rPr>
          <w:b w:val="0"/>
          <w:i w:val="0"/>
          <w:color w:val="666666"/>
        </w:rPr>
        <w:t>Commented [AR4]: this can be a high level overview, with details pertaining to each section later</w:t>
      </w:r>
    </w:p>
    <w:p>
      <w:pPr>
        <w:spacing w:after="100" w:line="252" w:lineRule="auto"/>
      </w:pPr>
      <w:r>
        <w:rPr>
          <w:b w:val="0"/>
          <w:i w:val="0"/>
          <w:color w:val="666666"/>
        </w:rPr>
        <w:t>Commented [MM5]: Some of this may be a little picky, but these are my thoughts:</w:t>
      </w:r>
    </w:p>
    <w:p>
      <w:pPr>
        <w:spacing w:after="100" w:line="252" w:lineRule="auto"/>
      </w:pPr>
      <w:r>
        <w:rPr>
          <w:b w:val="0"/>
          <w:i w:val="0"/>
          <w:color w:val="666666"/>
        </w:rPr>
        <w:t>1) I think we know how the data were collected and processed (wouldn't say details were limited), the limitation is that we had no control over any of this. The limitation is that we had to take what we could get, in the form we found it.</w:t>
      </w:r>
    </w:p>
    <w:p>
      <w:pPr>
        <w:spacing w:after="100" w:line="252" w:lineRule="auto"/>
      </w:pPr>
      <w:r>
        <w:rPr>
          <w:b w:val="0"/>
          <w:i w:val="0"/>
          <w:color w:val="666666"/>
        </w:rPr>
        <w:t>2) 990 data and tax deductions are self reported but I am not sure that introduces bias.  990 is an informational form so presumably filers are honest.  Tax deductions may be exaggerated but I think we should assume filers are honest (maybe an heroic assumption).</w:t>
      </w:r>
    </w:p>
    <w:p>
      <w:pPr>
        <w:spacing w:after="100" w:line="252" w:lineRule="auto"/>
      </w:pPr>
      <w:r>
        <w:rPr>
          <w:b w:val="0"/>
          <w:i w:val="0"/>
          <w:color w:val="666666"/>
        </w:rPr>
        <w:t>3) Some donations to religious organizations would be in the data set (e.g., faith based charities) unless we excluded them.</w:t>
      </w:r>
    </w:p>
    <w:p>
      <w:pPr>
        <w:spacing w:after="100" w:line="252" w:lineRule="auto"/>
      </w:pPr>
      <w:r>
        <w:rPr>
          <w:b w:val="0"/>
          <w:i w:val="0"/>
          <w:color w:val="666666"/>
        </w:rPr>
        <w:t>4) We were additionally limited by needing to look beyond the period of Covid. Since Covid would have significantly affected charitable giving, we looked at only the time periods after the most intense period of the pandemic. This left us with at most three years of data (and less in some cases).</w:t>
      </w:r>
    </w:p>
    <w:p>
      <w:pPr>
        <w:spacing w:after="100" w:line="252" w:lineRule="auto"/>
      </w:pPr>
      <w:r>
        <w:rPr>
          <w:b w:val="0"/>
          <w:i w:val="0"/>
          <w:color w:val="666666"/>
        </w:rPr>
        <w:t>Commented [MM6R5]: To follow up on the religious organizations, I think we just need to be more specific. Houses of worship and some auxiliary organizations don't have to report but some organizations that would be considered "religious" do. Houses of worship are the important category that is excluded.</w:t>
      </w:r>
    </w:p>
    <w:p>
      <w:pPr>
        <w:spacing w:after="100" w:line="252" w:lineRule="auto"/>
      </w:pPr>
      <w:r>
        <w:rPr>
          <w:b w:val="0"/>
          <w:i w:val="0"/>
          <w:color w:val="666666"/>
        </w:rPr>
        <w:t>Commented [AR7R5]: thanks michael i tried to address these</w:t>
      </w:r>
    </w:p>
    <w:p>
      <w:pPr>
        <w:spacing w:after="100" w:line="252" w:lineRule="auto"/>
      </w:pPr>
      <w:r>
        <w:rPr>
          <w:b w:val="0"/>
          <w:i w:val="0"/>
          <w:color w:val="666666"/>
        </w:rPr>
        <w:t>Several categories of philanthropic activity are known to be absent from these data due to falling outside the requirements for IRS reporting. For example, crowd-sourced donations such as GoFundMe, and informal donations to family or community members, do not appear in the data sources employed in the report.  Donations of any type that are paid by tax filers who don’t itemize deductions are not present in the analysis of donor characteristics. Non-itemizing filers constitute a large majority of taxpayers in the Black Hills and benchmark regions, so this is an especially noteworthy limitation. Similarly, non-profit organizations who are exempt from IRS reporting due to their size or function (ie, certain religious organizations) are not present in the organization-centered datasets and may make up a large proportion of non-profit organizations.</w:t>
      </w:r>
    </w:p>
    <w:p>
      <w:pPr>
        <w:spacing w:after="100" w:line="252" w:lineRule="auto"/>
      </w:pPr>
      <w:r>
        <w:rPr>
          <w:b w:val="0"/>
          <w:i w:val="0"/>
          <w:color w:val="666666"/>
        </w:rPr>
        <w:t>Correlations between demographic characteristics, donor behavior, and other variables may be identified, but causal relationships cannot be inferred.</w:t>
      </w:r>
    </w:p>
    <w:p>
      <w:pPr>
        <w:pStyle w:val="Heading3"/>
        <w:spacing w:before="160" w:after="80"/>
      </w:pPr>
      <w:r>
        <w:rPr>
          <w:b/>
          <w:i w:val="0"/>
          <w:color w:val="666666"/>
        </w:rPr>
        <w:t>Data sources</w:t>
      </w:r>
    </w:p>
    <w:p>
      <w:pPr>
        <w:spacing w:after="100" w:line="252" w:lineRule="auto"/>
      </w:pPr>
      <w:r>
        <w:rPr>
          <w:b w:val="0"/>
          <w:i w:val="0"/>
          <w:color w:val="666666"/>
        </w:rPr>
        <w:t>What data sources were used and why?</w:t>
      </w:r>
    </w:p>
    <w:p>
      <w:pPr>
        <w:spacing w:after="100" w:line="252" w:lineRule="auto"/>
      </w:pPr>
      <w:r>
        <w:rPr>
          <w:b w:val="0"/>
          <w:i w:val="0"/>
          <w:color w:val="666666"/>
        </w:rPr>
        <w:t>What are their limitations?</w:t>
      </w:r>
    </w:p>
    <w:p>
      <w:pPr>
        <w:spacing w:after="100" w:line="252" w:lineRule="auto"/>
      </w:pPr>
      <w:r>
        <w:rPr>
          <w:b w:val="0"/>
          <w:i w:val="0"/>
          <w:color w:val="666666"/>
        </w:rPr>
        <w:t>Note appendices for details.</w:t>
      </w:r>
    </w:p>
    <w:p>
      <w:pPr>
        <w:pStyle w:val="Heading4"/>
        <w:spacing w:after="100" w:line="252" w:lineRule="auto"/>
      </w:pPr>
      <w:r>
        <w:t>GivingTuesday 990 DataMart (data sources)</w:t>
      </w:r>
    </w:p>
    <w:p>
      <w:pPr>
        <w:spacing w:after="100" w:line="252" w:lineRule="auto"/>
      </w:pPr>
      <w:r>
        <w:t>The GivingTuesday 990 DataMart is the main source used for non-profit financial information in this report. It is based on public IRS filings submitted by tax-exempt organizations, including Form 990, Form 990-EZ, and Form 990-PF. These forms report information such as total revenue, contributions, program service revenue, expenses, assets, filing year, form type, and organization identifiers.</w:t>
      </w:r>
    </w:p>
    <w:p>
      <w:pPr>
        <w:spacing w:after="100" w:line="252" w:lineRule="auto"/>
      </w:pPr>
      <w:r>
        <w:t>The IRS form type matters because different organizations file different versions of the Form 990 family. Form 990 is the full annual return for larger non-profit organizations and provides the most detail. Form 990-EZ is a shorter return used by some smaller organizations and includes less detail. Form 990-PF is used by private foundations. Form 990-N, also called the e-Postcard, is used by very small organizations and contains only limited information, so those organizations are not included in the GivingTuesday financial analysis used here.</w:t>
      </w:r>
    </w:p>
    <w:p>
      <w:pPr>
        <w:spacing w:after="100" w:line="252" w:lineRule="auto"/>
      </w:pPr>
      <w:r>
        <w:t>The project uses the GivingTuesday Basic Fields files for Form 990, Form 990-EZ, and Form 990-PF, limited to organizations located in the Black Hills and benchmark-region counties. The GivingTuesday Combined Forms file was used to help identify which records belonged in the project dataset, but the final financial values described here come from the Basic Fields files. When GivingTuesday did not include all classification details needed to group organizations consistently, the project supplemented those details with public registry sources from NCCS and the IRS.</w:t>
      </w:r>
    </w:p>
    <w:p>
      <w:pPr>
        <w:spacing w:after="100" w:line="252" w:lineRule="auto"/>
      </w:pPr>
      <w:r>
        <w:t>The main strength of the GivingTuesday source is that it provides more financial detail than registry-only sources. This makes it useful for describing organization size, revenue sources, and overall financial composition. However, it should not be read as a complete count of every non-profit or every charitable activity in a region. Very small organizations that file only Form 990-N, organizations not required to file public Form 990-family returns, houses of worship and some related organizations, and informal giving are not fully represented.</w:t>
      </w:r>
    </w:p>
    <w:p>
      <w:pPr>
        <w:spacing w:after="100" w:line="252" w:lineRule="auto"/>
      </w:pPr>
      <w:r>
        <w:t>The source also has limits because the IRS forms do not all ask for the same level of detail. Organizations filing the full Form 990 report more detail about where contributions come from. Organizations filing Form 990-EZ or Form 990-PF report less detail in some areas. In addition, one Form 990 contribution line combines several donor types, including individual gifts, foundation grants, donor-advised fund distributions, corporate gifts, bequests, and other contributions. Because of this, the data cannot cleanly split every contribution dollar into individual giving versus institutional giving.</w:t>
      </w:r>
    </w:p>
    <w:p>
      <w:pPr>
        <w:spacing w:after="100" w:line="252" w:lineRule="auto"/>
      </w:pPr>
      <w:r>
        <w:t>For this reason, the report uses GivingTuesday as a practical view of reported non-profit finances on IRS filings. It does not capture all generosity in the region. The results are strongest when they describe broad regional patterns rather than when they try to assign every dollar to a specific donor type.</w:t>
      </w:r>
    </w:p>
    <w:p>
      <w:pPr>
        <w:spacing w:after="100" w:line="252" w:lineRule="auto"/>
      </w:pPr>
      <w:r>
        <w:t>The appendices provide additional detail on the source files and fields used.</w:t>
      </w:r>
    </w:p>
    <w:p>
      <w:pPr>
        <w:pStyle w:val="Heading2"/>
        <w:spacing w:before="160" w:after="80"/>
      </w:pPr>
      <w:r>
        <w:rPr>
          <w:b/>
          <w:i w:val="0"/>
          <w:color w:val="666666"/>
        </w:rPr>
        <w:t>Selection and demographic analysis of benchmark regions</w:t>
      </w:r>
    </w:p>
    <w:p>
      <w:pPr>
        <w:pStyle w:val="Heading3"/>
        <w:spacing w:before="160" w:after="80"/>
      </w:pPr>
      <w:r>
        <w:rPr>
          <w:b/>
          <w:i w:val="0"/>
          <w:color w:val="666666"/>
        </w:rPr>
        <w:t>Benchmark region selection</w:t>
      </w:r>
    </w:p>
    <w:p>
      <w:pPr>
        <w:spacing w:after="100" w:line="252" w:lineRule="auto"/>
      </w:pPr>
      <w:r>
        <w:rPr>
          <w:b w:val="0"/>
          <w:i w:val="0"/>
          <w:color w:val="666666"/>
        </w:rPr>
        <w:t>What were the objectives?</w:t>
      </w:r>
    </w:p>
    <w:p>
      <w:pPr>
        <w:spacing w:after="100" w:line="252" w:lineRule="auto"/>
      </w:pPr>
      <w:r>
        <w:rPr>
          <w:b w:val="0"/>
          <w:i w:val="0"/>
          <w:color w:val="666666"/>
        </w:rPr>
        <w:t>What regions were selected and why?</w:t>
      </w:r>
    </w:p>
    <w:p>
      <w:pPr>
        <w:pStyle w:val="Heading3"/>
        <w:spacing w:before="160" w:after="80"/>
      </w:pPr>
      <w:r>
        <w:rPr>
          <w:b/>
          <w:i w:val="0"/>
          <w:color w:val="666666"/>
        </w:rPr>
        <w:t>Relevant details about data sources</w:t>
      </w:r>
    </w:p>
    <w:p>
      <w:pPr>
        <w:spacing w:after="100" w:line="252" w:lineRule="auto"/>
      </w:pPr>
      <w:r>
        <w:rPr>
          <w:b w:val="0"/>
          <w:i w:val="0"/>
          <w:color w:val="666666"/>
        </w:rPr>
        <w:t>Anything the reader needs to know about how the data sources, availability, etc impact the interpretation of this section</w:t>
      </w:r>
    </w:p>
    <w:p>
      <w:pPr>
        <w:pStyle w:val="Heading3"/>
        <w:spacing w:before="160" w:after="80"/>
      </w:pPr>
      <w:r>
        <w:rPr>
          <w:b/>
          <w:i w:val="0"/>
          <w:color w:val="666666"/>
        </w:rPr>
        <w:t>Results of benchmark regions analyses</w:t>
      </w:r>
    </w:p>
    <w:p>
      <w:pPr>
        <w:spacing w:after="100" w:line="252" w:lineRule="auto"/>
      </w:pPr>
      <w:r>
        <w:rPr>
          <w:b w:val="0"/>
          <w:i w:val="0"/>
          <w:color w:val="666666"/>
        </w:rPr>
        <w:t>This section presents a comparative analysis of the demographic characteristics of the Black Hills region in relation to the selected benchmark regions. Analyses were carried out across key structural characteristics, including population size, labor market dynamics, occupational composition, and household income.</w:t>
      </w:r>
    </w:p>
    <w:p>
      <w:pPr>
        <w:pStyle w:val="Heading3"/>
        <w:spacing w:before="160" w:after="80"/>
      </w:pPr>
      <w:r>
        <w:rPr>
          <w:b/>
          <w:i w:val="0"/>
          <w:color w:val="666666"/>
        </w:rPr>
        <w:t>Population Size and Structure</w:t>
      </w:r>
    </w:p>
    <w:p>
      <w:pPr>
        <w:spacing w:after="100" w:line="252" w:lineRule="auto"/>
      </w:pPr>
      <w:r>
        <w:rPr>
          <w:b w:val="0"/>
          <w:i w:val="0"/>
          <w:color w:val="666666"/>
        </w:rPr>
        <w:t>The Black Hills region has a smaller total population compared to the Sioux Falls region (suggesting higher density in Sioux Falls) but has a higher total population than the other three benchmark regions (Figure 1a).</w:t>
      </w:r>
    </w:p>
    <w:p>
      <w:pPr>
        <w:spacing w:after="100" w:line="252" w:lineRule="auto"/>
      </w:pPr>
      <w:r>
        <w:rPr>
          <w:b w:val="0"/>
          <w:i w:val="0"/>
          <w:color w:val="666666"/>
        </w:rPr>
        <w:t>However, the population aged 16 and above in the Black Hills region shows a substantial proportion of the total population falling within the working age category, which is consistent with the patterns observed in the benchmark regions (Figure 1b).</w:t>
      </w:r>
    </w:p>
    <w:p>
      <w:pPr>
        <w:pStyle w:val="Heading3"/>
        <w:spacing w:before="160" w:after="80"/>
      </w:pPr>
      <w:r>
        <w:rPr>
          <w:b/>
          <w:i w:val="0"/>
          <w:color w:val="666666"/>
        </w:rPr>
        <w:t>Labor Market Characteristics</w:t>
      </w:r>
    </w:p>
    <w:p>
      <w:pPr>
        <w:spacing w:after="100" w:line="252" w:lineRule="auto"/>
      </w:pPr>
      <w:r>
        <w:rPr>
          <w:b w:val="0"/>
          <w:i w:val="0"/>
          <w:color w:val="666666"/>
        </w:rPr>
        <w:t>Considering the population aged 16 and above, a larger fraction of them is in the labor force, across all the regions, while the smaller fraction is categorized as not in labor force. The labor force category is also classified into Civilian labor force, which takes the majority, and the Military labor force which takes only a very small, negligible share. The labor force signifies individuals aged 16 and above that are either employed or actively seeking employment.</w:t>
      </w:r>
    </w:p>
    <w:p>
      <w:pPr>
        <w:spacing w:after="100" w:line="252" w:lineRule="auto"/>
      </w:pPr>
      <w:r>
        <w:rPr>
          <w:b w:val="0"/>
          <w:i w:val="0"/>
          <w:color w:val="666666"/>
        </w:rPr>
        <w:t>Within the civilian labor force, employment levels are consistently high across both the Black Hills and benchmark regions, with unemployment levels representing a relatively small proportion.</w:t>
      </w:r>
    </w:p>
    <w:p>
      <w:pPr>
        <w:spacing w:after="100" w:line="252" w:lineRule="auto"/>
      </w:pPr>
      <w:r>
        <w:rPr>
          <w:b w:val="0"/>
          <w:i w:val="0"/>
          <w:color w:val="666666"/>
        </w:rPr>
        <w:t>Overall, the Black Hills region demonstrates labor market participation patterns that are broadly comparable to the benchmark regions, indicating similar levels of workforce engagement, despite differences in population size.</w:t>
      </w:r>
    </w:p>
    <w:p>
      <w:pPr>
        <w:pStyle w:val="Heading3"/>
        <w:spacing w:before="160" w:after="80"/>
      </w:pPr>
      <w:r>
        <w:rPr>
          <w:b/>
          <w:i w:val="0"/>
          <w:color w:val="666666"/>
        </w:rPr>
        <w:t>Occupational Structure</w:t>
      </w:r>
    </w:p>
    <w:p>
      <w:pPr>
        <w:spacing w:after="100" w:line="252" w:lineRule="auto"/>
      </w:pPr>
      <w:r>
        <w:rPr>
          <w:b w:val="0"/>
          <w:i w:val="0"/>
          <w:color w:val="666666"/>
        </w:rPr>
        <w:t>The occupational distribution highlights how employment is spread across major sectors. In the Black Hills and benchmark region, employment is distributed across five major sectors which are: Natural resources, construction, and maintenance; Production, transportation, and material moving; Service occupations; Sales and office occupations; and Management, business, science, and arts occupations.</w:t>
      </w:r>
    </w:p>
    <w:p>
      <w:pPr>
        <w:spacing w:after="100" w:line="252" w:lineRule="auto"/>
      </w:pPr>
      <w:r>
        <w:rPr>
          <w:b w:val="0"/>
          <w:i w:val="0"/>
          <w:color w:val="666666"/>
        </w:rPr>
        <w:t>Compared to benchmark regions (Figure 3), the Black Hills shows a higher concentration in the natural resources, construction and maintenance occupations, with a slightly lower proportion of employment in the management, business, science, and arts occupations.</w:t>
      </w:r>
    </w:p>
    <w:p>
      <w:pPr>
        <w:pStyle w:val="Heading2"/>
        <w:spacing w:before="160" w:after="80"/>
      </w:pPr>
      <w:r>
        <w:rPr>
          <w:b/>
          <w:i w:val="0"/>
          <w:color w:val="666666"/>
        </w:rPr>
        <w:t>Characterization of donation activity</w:t>
      </w:r>
    </w:p>
    <w:p>
      <w:pPr>
        <w:pStyle w:val="Heading3"/>
        <w:spacing w:before="160" w:after="80"/>
      </w:pPr>
      <w:r>
        <w:rPr>
          <w:b/>
          <w:i w:val="0"/>
          <w:color w:val="666666"/>
        </w:rPr>
        <w:t>Relevant details about data sources</w:t>
      </w:r>
    </w:p>
    <w:p>
      <w:pPr>
        <w:spacing w:after="100" w:line="252" w:lineRule="auto"/>
      </w:pPr>
      <w:r>
        <w:rPr>
          <w:b w:val="0"/>
          <w:i w:val="0"/>
          <w:color w:val="666666"/>
        </w:rPr>
        <w:t>Anything the reader needs to know about how the data sources, availability, etc impact the interpretation of this section</w:t>
      </w:r>
    </w:p>
    <w:p>
      <w:pPr>
        <w:pStyle w:val="Heading3"/>
        <w:spacing w:before="160" w:after="80"/>
      </w:pPr>
      <w:r>
        <w:rPr>
          <w:b/>
          <w:i w:val="0"/>
          <w:color w:val="666666"/>
        </w:rPr>
        <w:t>Results of donation activity analysis</w:t>
      </w:r>
    </w:p>
    <w:p>
      <w:pPr>
        <w:spacing w:after="100" w:line="252" w:lineRule="auto"/>
      </w:pPr>
      <w:r>
        <w:rPr>
          <w:b w:val="0"/>
          <w:i w:val="0"/>
          <w:color w:val="666666"/>
        </w:rPr>
        <w:t>Main analysis content goes here</w:t>
      </w:r>
    </w:p>
    <w:p>
      <w:pPr>
        <w:pStyle w:val="Heading2"/>
        <w:spacing w:before="160" w:after="80"/>
      </w:pPr>
      <w:r>
        <w:rPr>
          <w:b/>
          <w:i w:val="0"/>
          <w:color w:val="666666"/>
        </w:rPr>
        <w:t>Characterization of non-profit organizations</w:t>
      </w:r>
    </w:p>
    <w:p>
      <w:pPr>
        <w:pStyle w:val="Heading3"/>
        <w:spacing w:before="160" w:after="80"/>
      </w:pPr>
      <w:r>
        <w:rPr>
          <w:b/>
          <w:i w:val="0"/>
          <w:color w:val="666666"/>
        </w:rPr>
        <w:t>Relevant details about data sources</w:t>
      </w:r>
    </w:p>
    <w:p>
      <w:pPr>
        <w:spacing w:after="100" w:line="252" w:lineRule="auto"/>
      </w:pPr>
      <w:r>
        <w:rPr>
          <w:b w:val="0"/>
          <w:i w:val="0"/>
          <w:color w:val="666666"/>
        </w:rPr>
        <w:t>Anything the reader needs to know about how the data sources, availability, etc impact the interpretation of this section</w:t>
      </w:r>
    </w:p>
    <w:p>
      <w:pPr>
        <w:pStyle w:val="Heading4"/>
        <w:spacing w:after="100" w:line="252" w:lineRule="auto"/>
      </w:pPr>
      <w:r>
        <w:t>Non-profit revenue analysis (relevant details)</w:t>
      </w:r>
    </w:p>
    <w:p>
      <w:pPr>
        <w:spacing w:after="100" w:line="252" w:lineRule="auto"/>
      </w:pPr>
      <w:r>
        <w:t>This section uses the GivingTuesday Form 990-family data described under Data sources (coverage limits, form types, and what is not in the file).</w:t>
      </w:r>
    </w:p>
    <w:p>
      <w:pPr>
        <w:spacing w:after="100" w:line="252" w:lineRule="auto"/>
      </w:pPr>
      <w:r>
        <w:t>For tax year 2022, after requiring positive total revenue, the analysis file includes 1,799 filing records for 1,797 organizations: 422 in the Black Hills and 1,377 in benchmark counties. The filing mix is 1,085 Form 990 records, 563 Form 990-EZ records, and 151 Form 990-PF records. Hospitals, universities, and political organizations are excluded for peer comparability (25 records removed from the 2022 universe).</w:t>
      </w:r>
    </w:p>
    <w:p>
      <w:pPr>
        <w:spacing w:after="100" w:line="252" w:lineRule="auto"/>
      </w:pPr>
      <w:r>
        <w:t>The revenue sources analyzed in this section are defined below.</w:t>
      </w:r>
    </w:p>
    <w:tbl>
      <w:tblPr>
        <w:tblStyle w:val="TableGrid"/>
        <w:tblLook w:firstColumn="1" w:firstRow="1" w:lastColumn="0" w:lastRow="0" w:noHBand="0" w:noVBand="1" w:val="04A0"/>
        <w:tblW w:type="dxa" w:w="10368"/>
        <w:tblLayout w:type="fixed"/>
      </w:tblPr>
      <w:tblGrid>
        <w:gridCol w:w="1763"/>
        <w:gridCol w:w="3421"/>
        <w:gridCol w:w="5184"/>
      </w:tblGrid>
      <w:tr>
        <w:tc>
          <w:tcPr>
            <w:tcW w:type="dxa" w:w="1763"/>
            <w:vAlign w:val="center"/>
            <w:tcMar>
              <w:top w:w="70" w:type="dxa"/>
              <w:start w:w="70" w:type="dxa"/>
              <w:bottom w:w="70" w:type="dxa"/>
              <w:end w:w="70" w:type="dxa"/>
            </w:tcMar>
            <w:shd w:fill="D9EAF7"/>
          </w:tcPr>
          <w:p>
            <w:pPr>
              <w:jc w:val="center"/>
            </w:pPr>
            <w:r/>
            <w:r>
              <w:rPr>
                <w:b/>
                <w:i w:val="0"/>
                <w:sz w:val="15"/>
              </w:rPr>
              <w:t>Revenue source</w:t>
            </w:r>
          </w:p>
        </w:tc>
        <w:tc>
          <w:tcPr>
            <w:tcW w:type="dxa" w:w="3421"/>
            <w:vAlign w:val="center"/>
            <w:tcMar>
              <w:top w:w="70" w:type="dxa"/>
              <w:start w:w="70" w:type="dxa"/>
              <w:bottom w:w="70" w:type="dxa"/>
              <w:end w:w="70" w:type="dxa"/>
            </w:tcMar>
            <w:shd w:fill="D9EAF7"/>
          </w:tcPr>
          <w:p>
            <w:pPr>
              <w:jc w:val="left"/>
            </w:pPr>
            <w:r/>
            <w:r>
              <w:rPr>
                <w:b/>
                <w:i w:val="0"/>
                <w:sz w:val="15"/>
              </w:rPr>
              <w:t>What it measures</w:t>
            </w:r>
          </w:p>
        </w:tc>
        <w:tc>
          <w:tcPr>
            <w:tcW w:type="dxa" w:w="5184"/>
            <w:vAlign w:val="center"/>
            <w:tcMar>
              <w:top w:w="70" w:type="dxa"/>
              <w:start w:w="70" w:type="dxa"/>
              <w:bottom w:w="70" w:type="dxa"/>
              <w:end w:w="70" w:type="dxa"/>
            </w:tcMar>
            <w:shd w:fill="D9EAF7"/>
          </w:tcPr>
          <w:p>
            <w:pPr>
              <w:jc w:val="left"/>
            </w:pPr>
            <w:r/>
            <w:r>
              <w:rPr>
                <w:b/>
                <w:i w:val="0"/>
                <w:sz w:val="15"/>
              </w:rPr>
              <w:t>How it is reported on IRS filings</w:t>
            </w:r>
          </w:p>
        </w:tc>
      </w:tr>
      <w:tr>
        <w:tc>
          <w:tcPr>
            <w:tcW w:type="dxa" w:w="1763"/>
            <w:vAlign w:val="center"/>
            <w:tcMar>
              <w:top w:w="70" w:type="dxa"/>
              <w:start w:w="70" w:type="dxa"/>
              <w:bottom w:w="70" w:type="dxa"/>
              <w:end w:w="70" w:type="dxa"/>
            </w:tcMar>
          </w:tcPr>
          <w:p>
            <w:pPr>
              <w:jc w:val="center"/>
            </w:pPr>
            <w:r/>
            <w:r>
              <w:rPr>
                <w:b w:val="0"/>
                <w:i w:val="0"/>
                <w:sz w:val="15"/>
              </w:rPr>
              <w:t>Total revenue</w:t>
            </w:r>
          </w:p>
        </w:tc>
        <w:tc>
          <w:tcPr>
            <w:tcW w:type="dxa" w:w="3421"/>
            <w:vAlign w:val="center"/>
            <w:tcMar>
              <w:top w:w="70" w:type="dxa"/>
              <w:start w:w="70" w:type="dxa"/>
              <w:bottom w:w="70" w:type="dxa"/>
              <w:end w:w="70" w:type="dxa"/>
            </w:tcMar>
          </w:tcPr>
          <w:p>
            <w:pPr>
              <w:jc w:val="left"/>
            </w:pPr>
            <w:r/>
            <w:r>
              <w:rPr>
                <w:b w:val="0"/>
                <w:i w:val="0"/>
                <w:sz w:val="15"/>
              </w:rPr>
              <w:t>All reported revenue for the organization in tax year 2022.</w:t>
            </w:r>
          </w:p>
        </w:tc>
        <w:tc>
          <w:tcPr>
            <w:tcW w:type="dxa" w:w="5184"/>
            <w:vAlign w:val="center"/>
            <w:tcMar>
              <w:top w:w="70" w:type="dxa"/>
              <w:start w:w="70" w:type="dxa"/>
              <w:bottom w:w="70" w:type="dxa"/>
              <w:end w:w="70" w:type="dxa"/>
            </w:tcMar>
          </w:tcPr>
          <w:p>
            <w:pPr>
              <w:jc w:val="left"/>
            </w:pPr>
            <w:r/>
            <w:r>
              <w:rPr>
                <w:b w:val="0"/>
                <w:i w:val="0"/>
                <w:sz w:val="15"/>
              </w:rPr>
              <w:t>Form 990, Form 990-EZ, and Form 990-PF totals.</w:t>
            </w:r>
          </w:p>
        </w:tc>
      </w:tr>
      <w:tr>
        <w:tc>
          <w:tcPr>
            <w:tcW w:type="dxa" w:w="1763"/>
            <w:vAlign w:val="center"/>
            <w:tcMar>
              <w:top w:w="70" w:type="dxa"/>
              <w:start w:w="70" w:type="dxa"/>
              <w:bottom w:w="70" w:type="dxa"/>
              <w:end w:w="70" w:type="dxa"/>
            </w:tcMar>
          </w:tcPr>
          <w:p>
            <w:pPr>
              <w:jc w:val="center"/>
            </w:pPr>
            <w:r/>
            <w:r>
              <w:rPr>
                <w:b w:val="0"/>
                <w:i w:val="0"/>
                <w:sz w:val="15"/>
              </w:rPr>
              <w:t>Total contributions</w:t>
            </w:r>
          </w:p>
        </w:tc>
        <w:tc>
          <w:tcPr>
            <w:tcW w:type="dxa" w:w="3421"/>
            <w:vAlign w:val="center"/>
            <w:tcMar>
              <w:top w:w="70" w:type="dxa"/>
              <w:start w:w="70" w:type="dxa"/>
              <w:bottom w:w="70" w:type="dxa"/>
              <w:end w:w="70" w:type="dxa"/>
            </w:tcMar>
          </w:tcPr>
          <w:p>
            <w:pPr>
              <w:jc w:val="left"/>
            </w:pPr>
            <w:r/>
            <w:r>
              <w:rPr>
                <w:b w:val="0"/>
                <w:i w:val="0"/>
                <w:sz w:val="15"/>
              </w:rPr>
              <w:t>Total reported contributions, gifts, grants, and similar amounts.</w:t>
            </w:r>
          </w:p>
        </w:tc>
        <w:tc>
          <w:tcPr>
            <w:tcW w:type="dxa" w:w="5184"/>
            <w:vAlign w:val="center"/>
            <w:tcMar>
              <w:top w:w="70" w:type="dxa"/>
              <w:start w:w="70" w:type="dxa"/>
              <w:bottom w:w="70" w:type="dxa"/>
              <w:end w:w="70" w:type="dxa"/>
            </w:tcMar>
          </w:tcPr>
          <w:p>
            <w:pPr>
              <w:jc w:val="left"/>
            </w:pPr>
            <w:r/>
            <w:r>
              <w:rPr>
                <w:b w:val="0"/>
                <w:i w:val="0"/>
                <w:sz w:val="15"/>
              </w:rPr>
              <w:t>Form 990, Form 990-EZ, and Form 990-PF totals.</w:t>
            </w:r>
          </w:p>
        </w:tc>
      </w:tr>
      <w:tr>
        <w:tc>
          <w:tcPr>
            <w:tcW w:type="dxa" w:w="1763"/>
            <w:vAlign w:val="center"/>
            <w:tcMar>
              <w:top w:w="70" w:type="dxa"/>
              <w:start w:w="70" w:type="dxa"/>
              <w:bottom w:w="70" w:type="dxa"/>
              <w:end w:w="70" w:type="dxa"/>
            </w:tcMar>
          </w:tcPr>
          <w:p>
            <w:pPr>
              <w:jc w:val="center"/>
            </w:pPr>
            <w:r/>
            <w:r>
              <w:rPr>
                <w:b w:val="0"/>
                <w:i w:val="0"/>
                <w:sz w:val="15"/>
              </w:rPr>
              <w:t>Program service revenue</w:t>
            </w:r>
          </w:p>
        </w:tc>
        <w:tc>
          <w:tcPr>
            <w:tcW w:type="dxa" w:w="3421"/>
            <w:vAlign w:val="center"/>
            <w:tcMar>
              <w:top w:w="70" w:type="dxa"/>
              <w:start w:w="70" w:type="dxa"/>
              <w:bottom w:w="70" w:type="dxa"/>
              <w:end w:w="70" w:type="dxa"/>
            </w:tcMar>
          </w:tcPr>
          <w:p>
            <w:pPr>
              <w:jc w:val="left"/>
            </w:pPr>
            <w:r/>
            <w:r>
              <w:rPr>
                <w:b w:val="0"/>
                <w:i w:val="0"/>
                <w:sz w:val="15"/>
              </w:rPr>
              <w:t>Money earned from services, programs, fees, or sales related to the organization's mission.</w:t>
            </w:r>
          </w:p>
        </w:tc>
        <w:tc>
          <w:tcPr>
            <w:tcW w:type="dxa" w:w="5184"/>
            <w:vAlign w:val="center"/>
            <w:tcMar>
              <w:top w:w="70" w:type="dxa"/>
              <w:start w:w="70" w:type="dxa"/>
              <w:bottom w:w="70" w:type="dxa"/>
              <w:end w:w="70" w:type="dxa"/>
            </w:tcMar>
          </w:tcPr>
          <w:p>
            <w:pPr>
              <w:jc w:val="left"/>
            </w:pPr>
            <w:r/>
            <w:r>
              <w:rPr>
                <w:b w:val="0"/>
                <w:i w:val="0"/>
                <w:sz w:val="15"/>
              </w:rPr>
              <w:t>Form 990 and Form 990-EZ; not comparable on Form 990-PF.</w:t>
            </w:r>
          </w:p>
        </w:tc>
      </w:tr>
      <w:tr>
        <w:tc>
          <w:tcPr>
            <w:tcW w:type="dxa" w:w="1763"/>
            <w:vAlign w:val="center"/>
            <w:tcMar>
              <w:top w:w="70" w:type="dxa"/>
              <w:start w:w="70" w:type="dxa"/>
              <w:bottom w:w="70" w:type="dxa"/>
              <w:end w:w="70" w:type="dxa"/>
            </w:tcMar>
          </w:tcPr>
          <w:p>
            <w:pPr>
              <w:jc w:val="center"/>
            </w:pPr>
            <w:r/>
            <w:r>
              <w:rPr>
                <w:b w:val="0"/>
                <w:i w:val="0"/>
                <w:sz w:val="15"/>
              </w:rPr>
              <w:t>Government grants received</w:t>
            </w:r>
          </w:p>
        </w:tc>
        <w:tc>
          <w:tcPr>
            <w:tcW w:type="dxa" w:w="3421"/>
            <w:vAlign w:val="center"/>
            <w:tcMar>
              <w:top w:w="70" w:type="dxa"/>
              <w:start w:w="70" w:type="dxa"/>
              <w:bottom w:w="70" w:type="dxa"/>
              <w:end w:w="70" w:type="dxa"/>
            </w:tcMar>
          </w:tcPr>
          <w:p>
            <w:pPr>
              <w:jc w:val="left"/>
            </w:pPr>
            <w:r/>
            <w:r>
              <w:rPr>
                <w:b w:val="0"/>
                <w:i w:val="0"/>
                <w:sz w:val="15"/>
              </w:rPr>
              <w:t>Funds reported from government sources.</w:t>
            </w:r>
          </w:p>
        </w:tc>
        <w:tc>
          <w:tcPr>
            <w:tcW w:type="dxa" w:w="5184"/>
            <w:vAlign w:val="center"/>
            <w:tcMar>
              <w:top w:w="70" w:type="dxa"/>
              <w:start w:w="70" w:type="dxa"/>
              <w:bottom w:w="70" w:type="dxa"/>
              <w:end w:w="70" w:type="dxa"/>
            </w:tcMar>
          </w:tcPr>
          <w:p>
            <w:pPr>
              <w:jc w:val="left"/>
            </w:pPr>
            <w:r/>
            <w:r>
              <w:rPr>
                <w:b w:val="0"/>
                <w:i w:val="0"/>
                <w:sz w:val="15"/>
              </w:rPr>
              <w:t>Form 990 Part VIII Line 1e; pairwise tests use Form 990 filers only.</w:t>
            </w:r>
          </w:p>
        </w:tc>
      </w:tr>
      <w:tr>
        <w:tc>
          <w:tcPr>
            <w:tcW w:type="dxa" w:w="1763"/>
            <w:vAlign w:val="center"/>
            <w:tcMar>
              <w:top w:w="70" w:type="dxa"/>
              <w:start w:w="70" w:type="dxa"/>
              <w:bottom w:w="70" w:type="dxa"/>
              <w:end w:w="70" w:type="dxa"/>
            </w:tcMar>
          </w:tcPr>
          <w:p>
            <w:pPr>
              <w:jc w:val="center"/>
            </w:pPr>
            <w:r/>
            <w:r>
              <w:rPr>
                <w:b w:val="0"/>
                <w:i w:val="0"/>
                <w:sz w:val="15"/>
              </w:rPr>
              <w:t>Federated campaign contributions</w:t>
            </w:r>
          </w:p>
        </w:tc>
        <w:tc>
          <w:tcPr>
            <w:tcW w:type="dxa" w:w="3421"/>
            <w:vAlign w:val="center"/>
            <w:tcMar>
              <w:top w:w="70" w:type="dxa"/>
              <w:start w:w="70" w:type="dxa"/>
              <w:bottom w:w="70" w:type="dxa"/>
              <w:end w:w="70" w:type="dxa"/>
            </w:tcMar>
          </w:tcPr>
          <w:p>
            <w:pPr>
              <w:jc w:val="left"/>
            </w:pPr>
            <w:r/>
            <w:r>
              <w:rPr>
                <w:b w:val="0"/>
                <w:i w:val="0"/>
                <w:sz w:val="15"/>
              </w:rPr>
              <w:t>Support reported through federated campaigns (for example, United Way-style allocations).</w:t>
            </w:r>
          </w:p>
        </w:tc>
        <w:tc>
          <w:tcPr>
            <w:tcW w:type="dxa" w:w="5184"/>
            <w:vAlign w:val="center"/>
            <w:tcMar>
              <w:top w:w="70" w:type="dxa"/>
              <w:start w:w="70" w:type="dxa"/>
              <w:bottom w:w="70" w:type="dxa"/>
              <w:end w:w="70" w:type="dxa"/>
            </w:tcMar>
          </w:tcPr>
          <w:p>
            <w:pPr>
              <w:jc w:val="left"/>
            </w:pPr>
            <w:r/>
            <w:r>
              <w:rPr>
                <w:b w:val="0"/>
                <w:i w:val="0"/>
                <w:sz w:val="15"/>
              </w:rPr>
              <w:t>Form 990 Part VIII Line 1a; pairwise tests use Form 990 filers only.</w:t>
            </w:r>
          </w:p>
        </w:tc>
      </w:tr>
      <w:tr>
        <w:tc>
          <w:tcPr>
            <w:tcW w:type="dxa" w:w="1763"/>
            <w:vAlign w:val="center"/>
            <w:tcMar>
              <w:top w:w="70" w:type="dxa"/>
              <w:start w:w="70" w:type="dxa"/>
              <w:bottom w:w="70" w:type="dxa"/>
              <w:end w:w="70" w:type="dxa"/>
            </w:tcMar>
          </w:tcPr>
          <w:p>
            <w:pPr>
              <w:jc w:val="center"/>
            </w:pPr>
            <w:r/>
            <w:r>
              <w:rPr>
                <w:b w:val="0"/>
                <w:i w:val="0"/>
                <w:sz w:val="15"/>
              </w:rPr>
              <w:t>Related organization contributions</w:t>
            </w:r>
          </w:p>
        </w:tc>
        <w:tc>
          <w:tcPr>
            <w:tcW w:type="dxa" w:w="3421"/>
            <w:vAlign w:val="center"/>
            <w:tcMar>
              <w:top w:w="70" w:type="dxa"/>
              <w:start w:w="70" w:type="dxa"/>
              <w:bottom w:w="70" w:type="dxa"/>
              <w:end w:w="70" w:type="dxa"/>
            </w:tcMar>
          </w:tcPr>
          <w:p>
            <w:pPr>
              <w:jc w:val="left"/>
            </w:pPr>
            <w:r/>
            <w:r>
              <w:rPr>
                <w:b w:val="0"/>
                <w:i w:val="0"/>
                <w:sz w:val="15"/>
              </w:rPr>
              <w:t>Contributions from related organizations or affiliates.</w:t>
            </w:r>
          </w:p>
        </w:tc>
        <w:tc>
          <w:tcPr>
            <w:tcW w:type="dxa" w:w="5184"/>
            <w:vAlign w:val="center"/>
            <w:tcMar>
              <w:top w:w="70" w:type="dxa"/>
              <w:start w:w="70" w:type="dxa"/>
              <w:bottom w:w="70" w:type="dxa"/>
              <w:end w:w="70" w:type="dxa"/>
            </w:tcMar>
          </w:tcPr>
          <w:p>
            <w:pPr>
              <w:jc w:val="left"/>
            </w:pPr>
            <w:r/>
            <w:r>
              <w:rPr>
                <w:b w:val="0"/>
                <w:i w:val="0"/>
                <w:sz w:val="15"/>
              </w:rPr>
              <w:t>Form 990 Part VIII Line 1d; pairwise tests use Form 990 filers only.</w:t>
            </w:r>
          </w:p>
        </w:tc>
      </w:tr>
      <w:tr>
        <w:tc>
          <w:tcPr>
            <w:tcW w:type="dxa" w:w="1763"/>
            <w:vAlign w:val="center"/>
            <w:tcMar>
              <w:top w:w="70" w:type="dxa"/>
              <w:start w:w="70" w:type="dxa"/>
              <w:bottom w:w="70" w:type="dxa"/>
              <w:end w:w="70" w:type="dxa"/>
            </w:tcMar>
          </w:tcPr>
          <w:p>
            <w:pPr>
              <w:jc w:val="center"/>
            </w:pPr>
            <w:r/>
            <w:r>
              <w:rPr>
                <w:b w:val="0"/>
                <w:i w:val="0"/>
                <w:sz w:val="15"/>
              </w:rPr>
              <w:t>Membership dues</w:t>
            </w:r>
          </w:p>
        </w:tc>
        <w:tc>
          <w:tcPr>
            <w:tcW w:type="dxa" w:w="3421"/>
            <w:vAlign w:val="center"/>
            <w:tcMar>
              <w:top w:w="70" w:type="dxa"/>
              <w:start w:w="70" w:type="dxa"/>
              <w:bottom w:w="70" w:type="dxa"/>
              <w:end w:w="70" w:type="dxa"/>
            </w:tcMar>
          </w:tcPr>
          <w:p>
            <w:pPr>
              <w:jc w:val="left"/>
            </w:pPr>
            <w:r/>
            <w:r>
              <w:rPr>
                <w:b w:val="0"/>
                <w:i w:val="0"/>
                <w:sz w:val="15"/>
              </w:rPr>
              <w:t>Membership dues reported on the return.</w:t>
            </w:r>
          </w:p>
        </w:tc>
        <w:tc>
          <w:tcPr>
            <w:tcW w:type="dxa" w:w="5184"/>
            <w:vAlign w:val="center"/>
            <w:tcMar>
              <w:top w:w="70" w:type="dxa"/>
              <w:start w:w="70" w:type="dxa"/>
              <w:bottom w:w="70" w:type="dxa"/>
              <w:end w:w="70" w:type="dxa"/>
            </w:tcMar>
          </w:tcPr>
          <w:p>
            <w:pPr>
              <w:jc w:val="left"/>
            </w:pPr>
            <w:r/>
            <w:r>
              <w:rPr>
                <w:b w:val="0"/>
                <w:i w:val="0"/>
                <w:sz w:val="15"/>
              </w:rPr>
              <w:t>Form 990 Part VIII Line 1b; pairwise tests use Form 990 filers only.</w:t>
            </w:r>
          </w:p>
        </w:tc>
      </w:tr>
      <w:tr>
        <w:tc>
          <w:tcPr>
            <w:tcW w:type="dxa" w:w="1763"/>
            <w:vAlign w:val="center"/>
            <w:tcMar>
              <w:top w:w="70" w:type="dxa"/>
              <w:start w:w="70" w:type="dxa"/>
              <w:bottom w:w="70" w:type="dxa"/>
              <w:end w:w="70" w:type="dxa"/>
            </w:tcMar>
          </w:tcPr>
          <w:p>
            <w:pPr>
              <w:jc w:val="center"/>
            </w:pPr>
            <w:r/>
            <w:r>
              <w:rPr>
                <w:b w:val="0"/>
                <w:i w:val="0"/>
                <w:sz w:val="15"/>
              </w:rPr>
              <w:t>Fundraising event contributions</w:t>
            </w:r>
          </w:p>
        </w:tc>
        <w:tc>
          <w:tcPr>
            <w:tcW w:type="dxa" w:w="3421"/>
            <w:vAlign w:val="center"/>
            <w:tcMar>
              <w:top w:w="70" w:type="dxa"/>
              <w:start w:w="70" w:type="dxa"/>
              <w:bottom w:w="70" w:type="dxa"/>
              <w:end w:w="70" w:type="dxa"/>
            </w:tcMar>
          </w:tcPr>
          <w:p>
            <w:pPr>
              <w:jc w:val="left"/>
            </w:pPr>
            <w:r/>
            <w:r>
              <w:rPr>
                <w:b w:val="0"/>
                <w:i w:val="0"/>
                <w:sz w:val="15"/>
              </w:rPr>
              <w:t>Contributions tied to fundraising events.</w:t>
            </w:r>
          </w:p>
        </w:tc>
        <w:tc>
          <w:tcPr>
            <w:tcW w:type="dxa" w:w="5184"/>
            <w:vAlign w:val="center"/>
            <w:tcMar>
              <w:top w:w="70" w:type="dxa"/>
              <w:start w:w="70" w:type="dxa"/>
              <w:bottom w:w="70" w:type="dxa"/>
              <w:end w:w="70" w:type="dxa"/>
            </w:tcMar>
          </w:tcPr>
          <w:p>
            <w:pPr>
              <w:jc w:val="left"/>
            </w:pPr>
            <w:r/>
            <w:r>
              <w:rPr>
                <w:b w:val="0"/>
                <w:i w:val="0"/>
                <w:sz w:val="15"/>
              </w:rPr>
              <w:t>Form 990 Part VIII Line 1c; pairwise tests use Form 990 filers only.</w:t>
            </w:r>
          </w:p>
        </w:tc>
      </w:tr>
      <w:tr>
        <w:tc>
          <w:tcPr>
            <w:tcW w:type="dxa" w:w="1763"/>
            <w:vAlign w:val="center"/>
            <w:tcMar>
              <w:top w:w="70" w:type="dxa"/>
              <w:start w:w="70" w:type="dxa"/>
              <w:bottom w:w="70" w:type="dxa"/>
              <w:end w:w="70" w:type="dxa"/>
            </w:tcMar>
          </w:tcPr>
          <w:p>
            <w:pPr>
              <w:jc w:val="center"/>
            </w:pPr>
            <w:r/>
            <w:r>
              <w:rPr>
                <w:b w:val="0"/>
                <w:i w:val="0"/>
                <w:sz w:val="15"/>
              </w:rPr>
              <w:t>Mixed / unclassified contributions</w:t>
            </w:r>
          </w:p>
        </w:tc>
        <w:tc>
          <w:tcPr>
            <w:tcW w:type="dxa" w:w="3421"/>
            <w:vAlign w:val="center"/>
            <w:tcMar>
              <w:top w:w="70" w:type="dxa"/>
              <w:start w:w="70" w:type="dxa"/>
              <w:bottom w:w="70" w:type="dxa"/>
              <w:end w:w="70" w:type="dxa"/>
            </w:tcMar>
          </w:tcPr>
          <w:p>
            <w:pPr>
              <w:jc w:val="left"/>
            </w:pPr>
            <w:r/>
            <w:r>
              <w:rPr>
                <w:b w:val="0"/>
                <w:i w:val="0"/>
                <w:sz w:val="15"/>
              </w:rPr>
              <w:t>Contribution dollars the forms do not break down cleanly by donor type.</w:t>
            </w:r>
          </w:p>
        </w:tc>
        <w:tc>
          <w:tcPr>
            <w:tcW w:type="dxa" w:w="5184"/>
            <w:vAlign w:val="center"/>
            <w:tcMar>
              <w:top w:w="70" w:type="dxa"/>
              <w:start w:w="70" w:type="dxa"/>
              <w:bottom w:w="70" w:type="dxa"/>
              <w:end w:w="70" w:type="dxa"/>
            </w:tcMar>
          </w:tcPr>
          <w:p>
            <w:pPr>
              <w:jc w:val="left"/>
            </w:pPr>
            <w:r/>
            <w:r>
              <w:rPr>
                <w:b w:val="0"/>
                <w:i w:val="0"/>
                <w:sz w:val="15"/>
              </w:rPr>
              <w:t>Form 990 Line 1f plus 990-EZ/PF contribution totals that cannot be split into Part VIII lines.</w:t>
            </w:r>
          </w:p>
        </w:tc>
      </w:tr>
      <w:tr>
        <w:tc>
          <w:tcPr>
            <w:tcW w:type="dxa" w:w="1763"/>
            <w:vAlign w:val="center"/>
            <w:tcMar>
              <w:top w:w="70" w:type="dxa"/>
              <w:start w:w="70" w:type="dxa"/>
              <w:bottom w:w="70" w:type="dxa"/>
              <w:end w:w="70" w:type="dxa"/>
            </w:tcMar>
          </w:tcPr>
          <w:p>
            <w:pPr>
              <w:jc w:val="center"/>
            </w:pPr>
            <w:r/>
            <w:r>
              <w:rPr>
                <w:b w:val="0"/>
                <w:i w:val="0"/>
                <w:sz w:val="15"/>
              </w:rPr>
              <w:t>Other revenue</w:t>
            </w:r>
          </w:p>
        </w:tc>
        <w:tc>
          <w:tcPr>
            <w:tcW w:type="dxa" w:w="3421"/>
            <w:vAlign w:val="center"/>
            <w:tcMar>
              <w:top w:w="70" w:type="dxa"/>
              <w:start w:w="70" w:type="dxa"/>
              <w:bottom w:w="70" w:type="dxa"/>
              <w:end w:w="70" w:type="dxa"/>
            </w:tcMar>
          </w:tcPr>
          <w:p>
            <w:pPr>
              <w:jc w:val="left"/>
            </w:pPr>
            <w:r/>
            <w:r>
              <w:rPr>
                <w:b w:val="0"/>
                <w:i w:val="0"/>
                <w:sz w:val="15"/>
              </w:rPr>
              <w:t>Remaining revenue after program service revenue and the contribution components above.</w:t>
            </w:r>
          </w:p>
        </w:tc>
        <w:tc>
          <w:tcPr>
            <w:tcW w:type="dxa" w:w="5184"/>
            <w:vAlign w:val="center"/>
            <w:tcMar>
              <w:top w:w="70" w:type="dxa"/>
              <w:start w:w="70" w:type="dxa"/>
              <w:bottom w:w="70" w:type="dxa"/>
              <w:end w:w="70" w:type="dxa"/>
            </w:tcMar>
          </w:tcPr>
          <w:p>
            <w:pPr>
              <w:jc w:val="left"/>
            </w:pPr>
            <w:r/>
            <w:r>
              <w:rPr>
                <w:b w:val="0"/>
                <w:i w:val="0"/>
                <w:sz w:val="15"/>
              </w:rPr>
              <w:t>Calculated as total revenue minus those components.</w:t>
            </w:r>
          </w:p>
        </w:tc>
      </w:tr>
    </w:tbl>
    <w:p>
      <w:pPr>
        <w:spacing w:after="100" w:line="252" w:lineRule="auto"/>
      </w:pPr>
      <w:r>
        <w:t>The data cannot cleanly separate individual giving from foundation grants, corporate gifts, bequests, or other institutional support. That limitation applies especially to mixed or unclassified contributions.</w:t>
      </w:r>
    </w:p>
    <w:p>
      <w:pPr>
        <w:spacing w:after="100" w:line="252" w:lineRule="auto"/>
      </w:pPr>
      <w:r>
        <w:t>A small number of very large organizations can affect how a region looks in the data. The findings below describe typical dollars among organizations that report a source, not a complete picture of every non-profit in the region.</w:t>
      </w:r>
    </w:p>
    <w:p>
      <w:pPr>
        <w:pStyle w:val="Heading3"/>
        <w:spacing w:before="160" w:after="80"/>
      </w:pPr>
      <w:r>
        <w:rPr>
          <w:b/>
          <w:i w:val="0"/>
          <w:color w:val="666666"/>
        </w:rPr>
        <w:t>Results of non-profit organization analysis</w:t>
      </w:r>
    </w:p>
    <w:p>
      <w:pPr>
        <w:spacing w:after="100" w:line="252" w:lineRule="auto"/>
      </w:pPr>
      <w:r>
        <w:rPr>
          <w:b w:val="0"/>
          <w:i w:val="0"/>
          <w:color w:val="666666"/>
        </w:rPr>
        <w:t>Main analysis content goes here</w:t>
      </w:r>
    </w:p>
    <w:p>
      <w:pPr>
        <w:spacing w:after="100" w:line="252" w:lineRule="auto"/>
      </w:pPr>
      <w:r>
        <w:t>We compared whether non-profit revenue sources differ between the Black Hills and the benchmark regions. For tax year 2022, the answer is yes. Black Hills differs from at least one benchmark region on several revenue sources. The pattern depends on which revenue source and which benchmark region are being compared.</w:t>
      </w:r>
    </w:p>
    <w:p>
      <w:pPr>
        <w:spacing w:after="100" w:line="252" w:lineRule="auto"/>
      </w:pPr>
      <w:r>
        <w:t>Each revenue source was analyzed separately using organization-level dollars reported on IRS Form 990-family filings. Comparisons included only organizations that reported more than zero dollars for that specific source in 2022. For each source, we compared the typical reported amount in Black Hills with the typical amount in Billings, Flagstaff, Sioux Falls, and Missoula. The typical amount is the median among organizations that reported that source. Statistical tests used a two-sided permutation test on the difference between those medians. We treated p &lt; 0.05 as evidence of a meaningful difference.</w:t>
      </w:r>
    </w:p>
    <w:p>
      <w:pPr>
        <w:spacing w:after="60"/>
        <w:jc w:val="center"/>
      </w:pPr>
      <w:r>
        <w:drawing>
          <wp:inline xmlns:a="http://schemas.openxmlformats.org/drawingml/2006/main" xmlns:pic="http://schemas.openxmlformats.org/drawingml/2006/picture">
            <wp:extent cx="6309360" cy="3026942"/>
            <wp:docPr id="1" name="Picture 1"/>
            <wp:cNvGraphicFramePr>
              <a:graphicFrameLocks noChangeAspect="1"/>
            </wp:cNvGraphicFramePr>
            <a:graphic>
              <a:graphicData uri="http://schemas.openxmlformats.org/drawingml/2006/picture">
                <pic:pic>
                  <pic:nvPicPr>
                    <pic:cNvPr id="0" name="client_2022_positive_median_overview_by_region.png"/>
                    <pic:cNvPicPr/>
                  </pic:nvPicPr>
                  <pic:blipFill>
                    <a:blip r:embed="rId9"/>
                    <a:stretch>
                      <a:fillRect/>
                    </a:stretch>
                  </pic:blipFill>
                  <pic:spPr>
                    <a:xfrm>
                      <a:off x="0" y="0"/>
                      <a:ext cx="6309360" cy="3026942"/>
                    </a:xfrm>
                    <a:prstGeom prst="rect"/>
                  </pic:spPr>
                </pic:pic>
              </a:graphicData>
            </a:graphic>
          </wp:inline>
        </w:drawing>
      </w:r>
    </w:p>
    <w:p>
      <w:pPr>
        <w:spacing w:after="100" w:line="252" w:lineRule="auto"/>
      </w:pPr>
      <w:r>
        <w:rPr>
          <w:i/>
        </w:rPr>
        <w:t>Figure 4. 2022 median reported dollars by revenue source and region. Each panel is one revenue source. Bar height is the typical amount among organizations in that region that reported a positive amount for that source. This figure does not show total dollars summed across all organizations in a region.</w:t>
      </w:r>
    </w:p>
    <w:p>
      <w:pPr>
        <w:pStyle w:val="Heading4"/>
        <w:spacing w:after="100" w:line="252" w:lineRule="auto"/>
      </w:pPr>
      <w:r>
        <w:t>How many organizations could we compare?</w:t>
      </w:r>
    </w:p>
    <w:p>
      <w:pPr>
        <w:spacing w:after="100" w:line="252" w:lineRule="auto"/>
      </w:pPr>
      <w:r>
        <w:t>Only organizations that reported income from a given revenue source were included in that source’s comparison. The number of organizations varies widely by source.</w:t>
      </w:r>
    </w:p>
    <w:p>
      <w:pPr>
        <w:spacing w:after="100" w:line="252" w:lineRule="auto"/>
      </w:pPr>
      <w:r>
        <w:t>The 422 Black Hills records above are all Form 990-family filers with positive total revenue in 2022. Comparisons for Form 990 Part VIII contribution lines (government grants, federated campaigns, related-organization contributions, membership dues, and fundraising events) use a smaller eligible pool: 256 Black Hills organization-years where those lines exist (primarily full Form 990). Reporting rates for those rare sources are shares of that pool, not of all 422 records. Program service revenue uses a slightly different eligible count because 990-EZ filers can report it; see the appendix tables for reporter counts by pair.</w:t>
      </w:r>
    </w:p>
    <w:p>
      <w:pPr>
        <w:spacing w:after="100" w:line="252" w:lineRule="auto"/>
      </w:pPr>
      <w:r>
        <w:t>For total revenue, total contributions, program service revenue, mixed or unclassified contributions, and other revenue, most pairwise comparisons involved dozens to hundreds of organizations with positive amounts on both sides. Those comparisons are more stable.</w:t>
      </w:r>
    </w:p>
    <w:p>
      <w:pPr>
        <w:spacing w:after="100" w:line="252" w:lineRule="auto"/>
      </w:pPr>
      <w:r>
        <w:t>Some Part VIII lines are reported by far fewer organizations. In 2022, about 7% of eligible Black Hills filings (the Form 990 subset) reported federated campaign contributions, with 18 organizations showing a positive amount. Some benchmark comparisons for that source involved as few as three to five organizations with positive amounts. Related-organization contributions were reported by about 4% of eligible Black Hills filings, with 10 organizations showing a positive amount. Fundraising event contributions and membership dues fell in between, with moderate sample sizes in some benchmark pairs.</w:t>
      </w:r>
    </w:p>
    <w:p>
      <w:pPr>
        <w:spacing w:after="100" w:line="252" w:lineRule="auto"/>
      </w:pPr>
      <w:r>
        <w:t>A statistically meaningful difference can still appear when the number of reporting organizations is small. For example, federated campaign contributions differed between Black Hills and Sioux Falls at p &lt; 0.05, but that comparison should be read with extra caution because relatively few organizations report that source. Related-organization contributions showed no statistically meaningful pairwise differences, and they also had the smallest reporting groups. An absence of detected difference for those sources may reflect limited data as much as a true lack of gap.</w:t>
      </w:r>
    </w:p>
    <w:p>
      <w:pPr>
        <w:pStyle w:val="Heading4"/>
        <w:spacing w:after="100" w:line="252" w:lineRule="auto"/>
      </w:pPr>
      <w:r>
        <w:t>Findings where Black Hills differed from a benchmark region (2022)</w:t>
      </w:r>
    </w:p>
    <w:p>
      <w:pPr>
        <w:spacing w:after="100" w:line="252" w:lineRule="auto"/>
      </w:pPr>
      <w:r>
        <w:t>Among organizations that reported a positive amount for the source, Black Hills showed a lower typical dollar amount than the benchmark region in each comparison below (permutation p &lt; 0.05). Significance is based on the two-sided permutation test, not on whether the 95% CI on the median gap excludes zero; some significant rows below have a CI that crosses zero.</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2232"/>
            <w:vAlign w:val="center"/>
            <w:tcMar>
              <w:top w:w="70" w:type="dxa"/>
              <w:start w:w="70" w:type="dxa"/>
              <w:bottom w:w="70" w:type="dxa"/>
              <w:end w:w="70" w:type="dxa"/>
            </w:tcMar>
            <w:shd w:fill="D9EAF7"/>
          </w:tcPr>
          <w:p>
            <w:pPr>
              <w:jc w:val="left"/>
            </w:pPr>
            <w:r/>
            <w:r>
              <w:rPr>
                <w:b/>
                <w:i w:val="0"/>
                <w:sz w:val="15"/>
              </w:rPr>
              <w:t>Revenue source</w:t>
            </w:r>
          </w:p>
        </w:tc>
        <w:tc>
          <w:tcPr>
            <w:tcW w:type="dxa" w:w="1512"/>
            <w:vAlign w:val="center"/>
            <w:tcMar>
              <w:top w:w="70" w:type="dxa"/>
              <w:start w:w="70" w:type="dxa"/>
              <w:bottom w:w="70" w:type="dxa"/>
              <w:end w:w="70" w:type="dxa"/>
            </w:tcMar>
            <w:shd w:fill="D9EAF7"/>
          </w:tcPr>
          <w:p>
            <w:pPr>
              <w:jc w:val="center"/>
            </w:pPr>
            <w:r/>
            <w:r>
              <w:rPr>
                <w:b/>
                <w:i w:val="0"/>
                <w:sz w:val="15"/>
              </w:rPr>
              <w:t>Benchmark region</w:t>
            </w:r>
          </w:p>
        </w:tc>
        <w:tc>
          <w:tcPr>
            <w:tcW w:type="dxa" w:w="2232"/>
            <w:vAlign w:val="center"/>
            <w:tcMar>
              <w:top w:w="70" w:type="dxa"/>
              <w:start w:w="70" w:type="dxa"/>
              <w:bottom w:w="70" w:type="dxa"/>
              <w:end w:w="70" w:type="dxa"/>
            </w:tcMar>
            <w:shd w:fill="D9EAF7"/>
          </w:tcPr>
          <w:p>
            <w:pPr>
              <w:jc w:val="left"/>
            </w:pPr>
            <w:r/>
            <w:r>
              <w:rPr>
                <w:b/>
                <w:i w:val="0"/>
                <w:sz w:val="15"/>
              </w:rPr>
              <w:t>Direction</w:t>
            </w:r>
          </w:p>
        </w:tc>
        <w:tc>
          <w:tcPr>
            <w:tcW w:type="dxa" w:w="1368"/>
            <w:vAlign w:val="center"/>
            <w:tcMar>
              <w:top w:w="70" w:type="dxa"/>
              <w:start w:w="70" w:type="dxa"/>
              <w:bottom w:w="70" w:type="dxa"/>
              <w:end w:w="70" w:type="dxa"/>
            </w:tcMar>
            <w:shd w:fill="D9EAF7"/>
          </w:tcPr>
          <w:p>
            <w:pPr>
              <w:jc w:val="center"/>
            </w:pPr>
            <w:r/>
            <w:r>
              <w:rPr>
                <w:b/>
                <w:i w:val="0"/>
                <w:sz w:val="15"/>
              </w:rPr>
              <w:t>Black Hills median</w:t>
            </w:r>
          </w:p>
        </w:tc>
        <w:tc>
          <w:tcPr>
            <w:tcW w:type="dxa" w:w="1440"/>
            <w:vAlign w:val="center"/>
            <w:tcMar>
              <w:top w:w="70" w:type="dxa"/>
              <w:start w:w="70" w:type="dxa"/>
              <w:bottom w:w="70" w:type="dxa"/>
              <w:end w:w="70" w:type="dxa"/>
            </w:tcMar>
            <w:shd w:fill="D9EAF7"/>
          </w:tcPr>
          <w:p>
            <w:pPr>
              <w:jc w:val="center"/>
            </w:pPr>
            <w:r/>
            <w:r>
              <w:rPr>
                <w:b/>
                <w:i w:val="0"/>
                <w:sz w:val="15"/>
              </w:rPr>
              <w:t>Benchmark median</w:t>
            </w:r>
          </w:p>
        </w:tc>
        <w:tc>
          <w:tcPr>
            <w:tcW w:type="dxa" w:w="3096"/>
            <w:vAlign w:val="center"/>
            <w:tcMar>
              <w:top w:w="70" w:type="dxa"/>
              <w:start w:w="70" w:type="dxa"/>
              <w:bottom w:w="70" w:type="dxa"/>
              <w:end w:w="70" w:type="dxa"/>
            </w:tcMar>
            <w:shd w:fill="D9EAF7"/>
          </w:tcPr>
          <w:p>
            <w:pPr>
              <w:jc w:val="left"/>
            </w:pPr>
            <w:r/>
            <w:r>
              <w:rPr>
                <w:b/>
                <w:i w:val="0"/>
                <w:sz w:val="15"/>
              </w:rPr>
              <w:t>Median gap (95% CI)</w:t>
            </w:r>
          </w:p>
        </w:tc>
        <w:tc>
          <w:tcPr>
            <w:tcW w:type="dxa" w:w="936"/>
            <w:vAlign w:val="center"/>
            <w:tcMar>
              <w:top w:w="70" w:type="dxa"/>
              <w:start w:w="70" w:type="dxa"/>
              <w:bottom w:w="70" w:type="dxa"/>
              <w:end w:w="70" w:type="dxa"/>
            </w:tcMar>
            <w:shd w:fill="D9EAF7"/>
          </w:tcPr>
          <w:p>
            <w:pPr>
              <w:jc w:val="center"/>
            </w:pPr>
            <w:r/>
            <w:r>
              <w:rPr>
                <w:b/>
                <w:i w:val="0"/>
                <w:sz w:val="15"/>
              </w:rPr>
              <w:t>p-value</w:t>
            </w:r>
          </w:p>
        </w:tc>
      </w:tr>
      <w:tr>
        <w:tc>
          <w:tcPr>
            <w:tcW w:type="dxa" w:w="2232"/>
            <w:vAlign w:val="center"/>
            <w:tcMar>
              <w:top w:w="70" w:type="dxa"/>
              <w:start w:w="70" w:type="dxa"/>
              <w:bottom w:w="70" w:type="dxa"/>
              <w:end w:w="70" w:type="dxa"/>
            </w:tcMar>
          </w:tcPr>
          <w:p>
            <w:pPr>
              <w:jc w:val="left"/>
            </w:pPr>
            <w:r/>
            <w:r>
              <w:rPr>
                <w:b w:val="0"/>
                <w:i w:val="0"/>
                <w:sz w:val="15"/>
              </w:rPr>
              <w:t>Federated campaign contributions</w:t>
            </w:r>
          </w:p>
        </w:tc>
        <w:tc>
          <w:tcPr>
            <w:tcW w:type="dxa" w:w="1512"/>
            <w:vAlign w:val="center"/>
            <w:tcMar>
              <w:top w:w="70" w:type="dxa"/>
              <w:start w:w="70" w:type="dxa"/>
              <w:bottom w:w="70" w:type="dxa"/>
              <w:end w:w="70" w:type="dxa"/>
            </w:tcMar>
          </w:tcPr>
          <w:p>
            <w:pPr>
              <w:jc w:val="center"/>
            </w:pPr>
            <w:r/>
            <w:r>
              <w:rPr>
                <w:b w:val="0"/>
                <w:i w:val="0"/>
                <w:sz w:val="15"/>
              </w:rPr>
              <w:t>Sioux Falls</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$30,096</w:t>
            </w:r>
          </w:p>
        </w:tc>
        <w:tc>
          <w:tcPr>
            <w:tcW w:type="dxa" w:w="1440"/>
            <w:vAlign w:val="center"/>
            <w:tcMar>
              <w:top w:w="70" w:type="dxa"/>
              <w:start w:w="70" w:type="dxa"/>
              <w:bottom w:w="70" w:type="dxa"/>
              <w:end w:w="70" w:type="dxa"/>
            </w:tcMar>
          </w:tcPr>
          <w:p>
            <w:pPr>
              <w:jc w:val="center"/>
            </w:pPr>
            <w:r/>
            <w:r>
              <w:rPr>
                <w:b w:val="0"/>
                <w:i w:val="0"/>
                <w:sz w:val="15"/>
              </w:rPr>
              <w:t>$150,655</w:t>
            </w:r>
          </w:p>
        </w:tc>
        <w:tc>
          <w:tcPr>
            <w:tcW w:type="dxa" w:w="3096"/>
            <w:vAlign w:val="center"/>
            <w:tcMar>
              <w:top w:w="70" w:type="dxa"/>
              <w:start w:w="70" w:type="dxa"/>
              <w:bottom w:w="70" w:type="dxa"/>
              <w:end w:w="70" w:type="dxa"/>
            </w:tcMar>
          </w:tcPr>
          <w:p>
            <w:pPr>
              <w:jc w:val="left"/>
            </w:pPr>
            <w:r/>
            <w:r>
              <w:rPr>
                <w:b w:val="0"/>
                <w:i w:val="0"/>
                <w:sz w:val="15"/>
              </w:rPr>
              <w:t>-$120,559 (95% CI -$251,704 to -$58,041)</w:t>
            </w:r>
          </w:p>
        </w:tc>
        <w:tc>
          <w:tcPr>
            <w:tcW w:type="dxa" w:w="936"/>
            <w:vAlign w:val="center"/>
            <w:tcMar>
              <w:top w:w="70" w:type="dxa"/>
              <w:start w:w="70" w:type="dxa"/>
              <w:bottom w:w="70" w:type="dxa"/>
              <w:end w:w="70" w:type="dxa"/>
            </w:tcMar>
          </w:tcPr>
          <w:p>
            <w:pPr>
              <w:jc w:val="center"/>
            </w:pPr>
            <w:r/>
            <w:r>
              <w:rPr>
                <w:b w:val="0"/>
                <w:i w:val="0"/>
                <w:sz w:val="15"/>
              </w:rPr>
              <w:t>0.005</w:t>
            </w:r>
          </w:p>
        </w:tc>
      </w:tr>
      <w:tr>
        <w:tc>
          <w:tcPr>
            <w:tcW w:type="dxa" w:w="2232"/>
            <w:vAlign w:val="center"/>
            <w:tcMar>
              <w:top w:w="70" w:type="dxa"/>
              <w:start w:w="70" w:type="dxa"/>
              <w:bottom w:w="70" w:type="dxa"/>
              <w:end w:w="70" w:type="dxa"/>
            </w:tcMar>
          </w:tcPr>
          <w:p>
            <w:pPr>
              <w:jc w:val="left"/>
            </w:pPr>
            <w:r/>
            <w:r>
              <w:rPr>
                <w:b w:val="0"/>
                <w:i w:val="0"/>
                <w:sz w:val="15"/>
              </w:rPr>
              <w:t>Fundraising event contributions</w:t>
            </w:r>
          </w:p>
        </w:tc>
        <w:tc>
          <w:tcPr>
            <w:tcW w:type="dxa" w:w="1512"/>
            <w:vAlign w:val="center"/>
            <w:tcMar>
              <w:top w:w="70" w:type="dxa"/>
              <w:start w:w="70" w:type="dxa"/>
              <w:bottom w:w="70" w:type="dxa"/>
              <w:end w:w="70" w:type="dxa"/>
            </w:tcMar>
          </w:tcPr>
          <w:p>
            <w:pPr>
              <w:jc w:val="center"/>
            </w:pPr>
            <w:r/>
            <w:r>
              <w:rPr>
                <w:b w:val="0"/>
                <w:i w:val="0"/>
                <w:sz w:val="15"/>
              </w:rPr>
              <w:t>Billings</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$12,427</w:t>
            </w:r>
          </w:p>
        </w:tc>
        <w:tc>
          <w:tcPr>
            <w:tcW w:type="dxa" w:w="1440"/>
            <w:vAlign w:val="center"/>
            <w:tcMar>
              <w:top w:w="70" w:type="dxa"/>
              <w:start w:w="70" w:type="dxa"/>
              <w:bottom w:w="70" w:type="dxa"/>
              <w:end w:w="70" w:type="dxa"/>
            </w:tcMar>
          </w:tcPr>
          <w:p>
            <w:pPr>
              <w:jc w:val="center"/>
            </w:pPr>
            <w:r/>
            <w:r>
              <w:rPr>
                <w:b w:val="0"/>
                <w:i w:val="0"/>
                <w:sz w:val="15"/>
              </w:rPr>
              <w:t>$38,516</w:t>
            </w:r>
          </w:p>
        </w:tc>
        <w:tc>
          <w:tcPr>
            <w:tcW w:type="dxa" w:w="3096"/>
            <w:vAlign w:val="center"/>
            <w:tcMar>
              <w:top w:w="70" w:type="dxa"/>
              <w:start w:w="70" w:type="dxa"/>
              <w:bottom w:w="70" w:type="dxa"/>
              <w:end w:w="70" w:type="dxa"/>
            </w:tcMar>
          </w:tcPr>
          <w:p>
            <w:pPr>
              <w:jc w:val="left"/>
            </w:pPr>
            <w:r/>
            <w:r>
              <w:rPr>
                <w:b w:val="0"/>
                <w:i w:val="0"/>
                <w:sz w:val="15"/>
              </w:rPr>
              <w:t>-$26,088 (95% CI -$64,852 to -$6,639)</w:t>
            </w:r>
          </w:p>
        </w:tc>
        <w:tc>
          <w:tcPr>
            <w:tcW w:type="dxa" w:w="936"/>
            <w:vAlign w:val="center"/>
            <w:tcMar>
              <w:top w:w="70" w:type="dxa"/>
              <w:start w:w="70" w:type="dxa"/>
              <w:bottom w:w="70" w:type="dxa"/>
              <w:end w:w="70" w:type="dxa"/>
            </w:tcMar>
          </w:tcPr>
          <w:p>
            <w:pPr>
              <w:jc w:val="center"/>
            </w:pPr>
            <w:r/>
            <w:r>
              <w:rPr>
                <w:b w:val="0"/>
                <w:i w:val="0"/>
                <w:sz w:val="15"/>
              </w:rPr>
              <w:t>0.009</w:t>
            </w:r>
          </w:p>
        </w:tc>
      </w:tr>
      <w:tr>
        <w:tc>
          <w:tcPr>
            <w:tcW w:type="dxa" w:w="2232"/>
            <w:vAlign w:val="center"/>
            <w:tcMar>
              <w:top w:w="70" w:type="dxa"/>
              <w:start w:w="70" w:type="dxa"/>
              <w:bottom w:w="70" w:type="dxa"/>
              <w:end w:w="70" w:type="dxa"/>
            </w:tcMar>
          </w:tcPr>
          <w:p>
            <w:pPr>
              <w:jc w:val="left"/>
            </w:pPr>
            <w:r/>
            <w:r>
              <w:rPr>
                <w:b w:val="0"/>
                <w:i w:val="0"/>
                <w:sz w:val="15"/>
              </w:rPr>
              <w:t>Fundraising event contributions</w:t>
            </w:r>
          </w:p>
        </w:tc>
        <w:tc>
          <w:tcPr>
            <w:tcW w:type="dxa" w:w="1512"/>
            <w:vAlign w:val="center"/>
            <w:tcMar>
              <w:top w:w="70" w:type="dxa"/>
              <w:start w:w="70" w:type="dxa"/>
              <w:bottom w:w="70" w:type="dxa"/>
              <w:end w:w="70" w:type="dxa"/>
            </w:tcMar>
          </w:tcPr>
          <w:p>
            <w:pPr>
              <w:jc w:val="center"/>
            </w:pPr>
            <w:r/>
            <w:r>
              <w:rPr>
                <w:b w:val="0"/>
                <w:i w:val="0"/>
                <w:sz w:val="15"/>
              </w:rPr>
              <w:t>Missoula</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$12,427</w:t>
            </w:r>
          </w:p>
        </w:tc>
        <w:tc>
          <w:tcPr>
            <w:tcW w:type="dxa" w:w="1440"/>
            <w:vAlign w:val="center"/>
            <w:tcMar>
              <w:top w:w="70" w:type="dxa"/>
              <w:start w:w="70" w:type="dxa"/>
              <w:bottom w:w="70" w:type="dxa"/>
              <w:end w:w="70" w:type="dxa"/>
            </w:tcMar>
          </w:tcPr>
          <w:p>
            <w:pPr>
              <w:jc w:val="center"/>
            </w:pPr>
            <w:r/>
            <w:r>
              <w:rPr>
                <w:b w:val="0"/>
                <w:i w:val="0"/>
                <w:sz w:val="15"/>
              </w:rPr>
              <w:t>$41,756</w:t>
            </w:r>
          </w:p>
        </w:tc>
        <w:tc>
          <w:tcPr>
            <w:tcW w:type="dxa" w:w="3096"/>
            <w:vAlign w:val="center"/>
            <w:tcMar>
              <w:top w:w="70" w:type="dxa"/>
              <w:start w:w="70" w:type="dxa"/>
              <w:bottom w:w="70" w:type="dxa"/>
              <w:end w:w="70" w:type="dxa"/>
            </w:tcMar>
          </w:tcPr>
          <w:p>
            <w:pPr>
              <w:jc w:val="left"/>
            </w:pPr>
            <w:r/>
            <w:r>
              <w:rPr>
                <w:b w:val="0"/>
                <w:i w:val="0"/>
                <w:sz w:val="15"/>
              </w:rPr>
              <w:t>-$29,329 (95% CI -$72,681 to $1,335)</w:t>
            </w:r>
          </w:p>
        </w:tc>
        <w:tc>
          <w:tcPr>
            <w:tcW w:type="dxa" w:w="936"/>
            <w:vAlign w:val="center"/>
            <w:tcMar>
              <w:top w:w="70" w:type="dxa"/>
              <w:start w:w="70" w:type="dxa"/>
              <w:bottom w:w="70" w:type="dxa"/>
              <w:end w:w="70" w:type="dxa"/>
            </w:tcMar>
          </w:tcPr>
          <w:p>
            <w:pPr>
              <w:jc w:val="center"/>
            </w:pPr>
            <w:r/>
            <w:r>
              <w:rPr>
                <w:b w:val="0"/>
                <w:i w:val="0"/>
                <w:sz w:val="15"/>
              </w:rPr>
              <w:t>0.010</w:t>
            </w:r>
          </w:p>
        </w:tc>
      </w:tr>
      <w:tr>
        <w:tc>
          <w:tcPr>
            <w:tcW w:type="dxa" w:w="2232"/>
            <w:vAlign w:val="center"/>
            <w:tcMar>
              <w:top w:w="70" w:type="dxa"/>
              <w:start w:w="70" w:type="dxa"/>
              <w:bottom w:w="70" w:type="dxa"/>
              <w:end w:w="70" w:type="dxa"/>
            </w:tcMar>
          </w:tcPr>
          <w:p>
            <w:pPr>
              <w:jc w:val="left"/>
            </w:pPr>
            <w:r/>
            <w:r>
              <w:rPr>
                <w:b w:val="0"/>
                <w:i w:val="0"/>
                <w:sz w:val="15"/>
              </w:rPr>
              <w:t>Fundraising event contributions</w:t>
            </w:r>
          </w:p>
        </w:tc>
        <w:tc>
          <w:tcPr>
            <w:tcW w:type="dxa" w:w="1512"/>
            <w:vAlign w:val="center"/>
            <w:tcMar>
              <w:top w:w="70" w:type="dxa"/>
              <w:start w:w="70" w:type="dxa"/>
              <w:bottom w:w="70" w:type="dxa"/>
              <w:end w:w="70" w:type="dxa"/>
            </w:tcMar>
          </w:tcPr>
          <w:p>
            <w:pPr>
              <w:jc w:val="center"/>
            </w:pPr>
            <w:r/>
            <w:r>
              <w:rPr>
                <w:b w:val="0"/>
                <w:i w:val="0"/>
                <w:sz w:val="15"/>
              </w:rPr>
              <w:t>Sioux Falls</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$12,427</w:t>
            </w:r>
          </w:p>
        </w:tc>
        <w:tc>
          <w:tcPr>
            <w:tcW w:type="dxa" w:w="1440"/>
            <w:vAlign w:val="center"/>
            <w:tcMar>
              <w:top w:w="70" w:type="dxa"/>
              <w:start w:w="70" w:type="dxa"/>
              <w:bottom w:w="70" w:type="dxa"/>
              <w:end w:w="70" w:type="dxa"/>
            </w:tcMar>
          </w:tcPr>
          <w:p>
            <w:pPr>
              <w:jc w:val="center"/>
            </w:pPr>
            <w:r/>
            <w:r>
              <w:rPr>
                <w:b w:val="0"/>
                <w:i w:val="0"/>
                <w:sz w:val="15"/>
              </w:rPr>
              <w:t>$70,761</w:t>
            </w:r>
          </w:p>
        </w:tc>
        <w:tc>
          <w:tcPr>
            <w:tcW w:type="dxa" w:w="3096"/>
            <w:vAlign w:val="center"/>
            <w:tcMar>
              <w:top w:w="70" w:type="dxa"/>
              <w:start w:w="70" w:type="dxa"/>
              <w:bottom w:w="70" w:type="dxa"/>
              <w:end w:w="70" w:type="dxa"/>
            </w:tcMar>
          </w:tcPr>
          <w:p>
            <w:pPr>
              <w:jc w:val="left"/>
            </w:pPr>
            <w:r/>
            <w:r>
              <w:rPr>
                <w:b w:val="0"/>
                <w:i w:val="0"/>
                <w:sz w:val="15"/>
              </w:rPr>
              <w:t>-$58,334 (95% CI -$80,561 to -$31,388)</w:t>
            </w:r>
          </w:p>
        </w:tc>
        <w:tc>
          <w:tcPr>
            <w:tcW w:type="dxa" w:w="936"/>
            <w:vAlign w:val="center"/>
            <w:tcMar>
              <w:top w:w="70" w:type="dxa"/>
              <w:start w:w="70" w:type="dxa"/>
              <w:bottom w:w="70" w:type="dxa"/>
              <w:end w:w="70" w:type="dxa"/>
            </w:tcMar>
          </w:tcPr>
          <w:p>
            <w:pPr>
              <w:jc w:val="center"/>
            </w:pPr>
            <w:r/>
            <w:r>
              <w:rPr>
                <w:b w:val="0"/>
                <w:i w:val="0"/>
                <w:sz w:val="15"/>
              </w:rPr>
              <w:t>&lt; 0.001</w:t>
            </w:r>
          </w:p>
        </w:tc>
      </w:tr>
      <w:tr>
        <w:tc>
          <w:tcPr>
            <w:tcW w:type="dxa" w:w="2232"/>
            <w:vAlign w:val="center"/>
            <w:tcMar>
              <w:top w:w="70" w:type="dxa"/>
              <w:start w:w="70" w:type="dxa"/>
              <w:bottom w:w="70" w:type="dxa"/>
              <w:end w:w="70" w:type="dxa"/>
            </w:tcMar>
          </w:tcPr>
          <w:p>
            <w:pPr>
              <w:jc w:val="left"/>
            </w:pPr>
            <w:r/>
            <w:r>
              <w:rPr>
                <w:b w:val="0"/>
                <w:i w:val="0"/>
                <w:sz w:val="15"/>
              </w:rPr>
              <w:t>Government grants received</w:t>
            </w:r>
          </w:p>
        </w:tc>
        <w:tc>
          <w:tcPr>
            <w:tcW w:type="dxa" w:w="1512"/>
            <w:vAlign w:val="center"/>
            <w:tcMar>
              <w:top w:w="70" w:type="dxa"/>
              <w:start w:w="70" w:type="dxa"/>
              <w:bottom w:w="70" w:type="dxa"/>
              <w:end w:w="70" w:type="dxa"/>
            </w:tcMar>
          </w:tcPr>
          <w:p>
            <w:pPr>
              <w:jc w:val="center"/>
            </w:pPr>
            <w:r/>
            <w:r>
              <w:rPr>
                <w:b w:val="0"/>
                <w:i w:val="0"/>
                <w:sz w:val="15"/>
              </w:rPr>
              <w:t>Billings</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$163,367</w:t>
            </w:r>
          </w:p>
        </w:tc>
        <w:tc>
          <w:tcPr>
            <w:tcW w:type="dxa" w:w="1440"/>
            <w:vAlign w:val="center"/>
            <w:tcMar>
              <w:top w:w="70" w:type="dxa"/>
              <w:start w:w="70" w:type="dxa"/>
              <w:bottom w:w="70" w:type="dxa"/>
              <w:end w:w="70" w:type="dxa"/>
            </w:tcMar>
          </w:tcPr>
          <w:p>
            <w:pPr>
              <w:jc w:val="center"/>
            </w:pPr>
            <w:r/>
            <w:r>
              <w:rPr>
                <w:b w:val="0"/>
                <w:i w:val="0"/>
                <w:sz w:val="15"/>
              </w:rPr>
              <w:t>$274,793</w:t>
            </w:r>
          </w:p>
        </w:tc>
        <w:tc>
          <w:tcPr>
            <w:tcW w:type="dxa" w:w="3096"/>
            <w:vAlign w:val="center"/>
            <w:tcMar>
              <w:top w:w="70" w:type="dxa"/>
              <w:start w:w="70" w:type="dxa"/>
              <w:bottom w:w="70" w:type="dxa"/>
              <w:end w:w="70" w:type="dxa"/>
            </w:tcMar>
          </w:tcPr>
          <w:p>
            <w:pPr>
              <w:jc w:val="left"/>
            </w:pPr>
            <w:r/>
            <w:r>
              <w:rPr>
                <w:b w:val="0"/>
                <w:i w:val="0"/>
                <w:sz w:val="15"/>
              </w:rPr>
              <w:t>-$111,426 (95% CI -$345,341 to $7,163)</w:t>
            </w:r>
          </w:p>
        </w:tc>
        <w:tc>
          <w:tcPr>
            <w:tcW w:type="dxa" w:w="936"/>
            <w:vAlign w:val="center"/>
            <w:tcMar>
              <w:top w:w="70" w:type="dxa"/>
              <w:start w:w="70" w:type="dxa"/>
              <w:bottom w:w="70" w:type="dxa"/>
              <w:end w:w="70" w:type="dxa"/>
            </w:tcMar>
          </w:tcPr>
          <w:p>
            <w:pPr>
              <w:jc w:val="center"/>
            </w:pPr>
            <w:r/>
            <w:r>
              <w:rPr>
                <w:b w:val="0"/>
                <w:i w:val="0"/>
                <w:sz w:val="15"/>
              </w:rPr>
              <w:t>0.043</w:t>
            </w:r>
          </w:p>
        </w:tc>
      </w:tr>
      <w:tr>
        <w:tc>
          <w:tcPr>
            <w:tcW w:type="dxa" w:w="2232"/>
            <w:vAlign w:val="center"/>
            <w:tcMar>
              <w:top w:w="70" w:type="dxa"/>
              <w:start w:w="70" w:type="dxa"/>
              <w:bottom w:w="70" w:type="dxa"/>
              <w:end w:w="70" w:type="dxa"/>
            </w:tcMar>
          </w:tcPr>
          <w:p>
            <w:pPr>
              <w:jc w:val="left"/>
            </w:pPr>
            <w:r/>
            <w:r>
              <w:rPr>
                <w:b w:val="0"/>
                <w:i w:val="0"/>
                <w:sz w:val="15"/>
              </w:rPr>
              <w:t>Government grants received</w:t>
            </w:r>
          </w:p>
        </w:tc>
        <w:tc>
          <w:tcPr>
            <w:tcW w:type="dxa" w:w="1512"/>
            <w:vAlign w:val="center"/>
            <w:tcMar>
              <w:top w:w="70" w:type="dxa"/>
              <w:start w:w="70" w:type="dxa"/>
              <w:bottom w:w="70" w:type="dxa"/>
              <w:end w:w="70" w:type="dxa"/>
            </w:tcMar>
          </w:tcPr>
          <w:p>
            <w:pPr>
              <w:jc w:val="center"/>
            </w:pPr>
            <w:r/>
            <w:r>
              <w:rPr>
                <w:b w:val="0"/>
                <w:i w:val="0"/>
                <w:sz w:val="15"/>
              </w:rPr>
              <w:t>Flagstaff</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$163,367</w:t>
            </w:r>
          </w:p>
        </w:tc>
        <w:tc>
          <w:tcPr>
            <w:tcW w:type="dxa" w:w="1440"/>
            <w:vAlign w:val="center"/>
            <w:tcMar>
              <w:top w:w="70" w:type="dxa"/>
              <w:start w:w="70" w:type="dxa"/>
              <w:bottom w:w="70" w:type="dxa"/>
              <w:end w:w="70" w:type="dxa"/>
            </w:tcMar>
          </w:tcPr>
          <w:p>
            <w:pPr>
              <w:jc w:val="center"/>
            </w:pPr>
            <w:r/>
            <w:r>
              <w:rPr>
                <w:b w:val="0"/>
                <w:i w:val="0"/>
                <w:sz w:val="15"/>
              </w:rPr>
              <w:t>$468,152</w:t>
            </w:r>
          </w:p>
        </w:tc>
        <w:tc>
          <w:tcPr>
            <w:tcW w:type="dxa" w:w="3096"/>
            <w:vAlign w:val="center"/>
            <w:tcMar>
              <w:top w:w="70" w:type="dxa"/>
              <w:start w:w="70" w:type="dxa"/>
              <w:bottom w:w="70" w:type="dxa"/>
              <w:end w:w="70" w:type="dxa"/>
            </w:tcMar>
          </w:tcPr>
          <w:p>
            <w:pPr>
              <w:jc w:val="left"/>
            </w:pPr>
            <w:r/>
            <w:r>
              <w:rPr>
                <w:b w:val="0"/>
                <w:i w:val="0"/>
                <w:sz w:val="15"/>
              </w:rPr>
              <w:t>-$304,785 (95% CI -$817,302 to -$131,168)</w:t>
            </w:r>
          </w:p>
        </w:tc>
        <w:tc>
          <w:tcPr>
            <w:tcW w:type="dxa" w:w="936"/>
            <w:vAlign w:val="center"/>
            <w:tcMar>
              <w:top w:w="70" w:type="dxa"/>
              <w:start w:w="70" w:type="dxa"/>
              <w:bottom w:w="70" w:type="dxa"/>
              <w:end w:w="70" w:type="dxa"/>
            </w:tcMar>
          </w:tcPr>
          <w:p>
            <w:pPr>
              <w:jc w:val="center"/>
            </w:pPr>
            <w:r/>
            <w:r>
              <w:rPr>
                <w:b w:val="0"/>
                <w:i w:val="0"/>
                <w:sz w:val="15"/>
              </w:rPr>
              <w:t>0.003</w:t>
            </w:r>
          </w:p>
        </w:tc>
      </w:tr>
      <w:tr>
        <w:tc>
          <w:tcPr>
            <w:tcW w:type="dxa" w:w="2232"/>
            <w:vAlign w:val="center"/>
            <w:tcMar>
              <w:top w:w="70" w:type="dxa"/>
              <w:start w:w="70" w:type="dxa"/>
              <w:bottom w:w="70" w:type="dxa"/>
              <w:end w:w="70" w:type="dxa"/>
            </w:tcMar>
          </w:tcPr>
          <w:p>
            <w:pPr>
              <w:jc w:val="left"/>
            </w:pPr>
            <w:r/>
            <w:r>
              <w:rPr>
                <w:b w:val="0"/>
                <w:i w:val="0"/>
                <w:sz w:val="15"/>
              </w:rPr>
              <w:t>Mixed / unclassified contributions</w:t>
            </w:r>
          </w:p>
        </w:tc>
        <w:tc>
          <w:tcPr>
            <w:tcW w:type="dxa" w:w="1512"/>
            <w:vAlign w:val="center"/>
            <w:tcMar>
              <w:top w:w="70" w:type="dxa"/>
              <w:start w:w="70" w:type="dxa"/>
              <w:bottom w:w="70" w:type="dxa"/>
              <w:end w:w="70" w:type="dxa"/>
            </w:tcMar>
          </w:tcPr>
          <w:p>
            <w:pPr>
              <w:jc w:val="center"/>
            </w:pPr>
            <w:r/>
            <w:r>
              <w:rPr>
                <w:b w:val="0"/>
                <w:i w:val="0"/>
                <w:sz w:val="15"/>
              </w:rPr>
              <w:t>Flagstaff</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$65,792</w:t>
            </w:r>
          </w:p>
        </w:tc>
        <w:tc>
          <w:tcPr>
            <w:tcW w:type="dxa" w:w="1440"/>
            <w:vAlign w:val="center"/>
            <w:tcMar>
              <w:top w:w="70" w:type="dxa"/>
              <w:start w:w="70" w:type="dxa"/>
              <w:bottom w:w="70" w:type="dxa"/>
              <w:end w:w="70" w:type="dxa"/>
            </w:tcMar>
          </w:tcPr>
          <w:p>
            <w:pPr>
              <w:jc w:val="center"/>
            </w:pPr>
            <w:r/>
            <w:r>
              <w:rPr>
                <w:b w:val="0"/>
                <w:i w:val="0"/>
                <w:sz w:val="15"/>
              </w:rPr>
              <w:t>$92,278</w:t>
            </w:r>
          </w:p>
        </w:tc>
        <w:tc>
          <w:tcPr>
            <w:tcW w:type="dxa" w:w="3096"/>
            <w:vAlign w:val="center"/>
            <w:tcMar>
              <w:top w:w="70" w:type="dxa"/>
              <w:start w:w="70" w:type="dxa"/>
              <w:bottom w:w="70" w:type="dxa"/>
              <w:end w:w="70" w:type="dxa"/>
            </w:tcMar>
          </w:tcPr>
          <w:p>
            <w:pPr>
              <w:jc w:val="left"/>
            </w:pPr>
            <w:r/>
            <w:r>
              <w:rPr>
                <w:b w:val="0"/>
                <w:i w:val="0"/>
                <w:sz w:val="15"/>
              </w:rPr>
              <w:t>-$26,486 (95% CI -$50,596 to -$2,907)</w:t>
            </w:r>
          </w:p>
        </w:tc>
        <w:tc>
          <w:tcPr>
            <w:tcW w:type="dxa" w:w="936"/>
            <w:vAlign w:val="center"/>
            <w:tcMar>
              <w:top w:w="70" w:type="dxa"/>
              <w:start w:w="70" w:type="dxa"/>
              <w:bottom w:w="70" w:type="dxa"/>
              <w:end w:w="70" w:type="dxa"/>
            </w:tcMar>
          </w:tcPr>
          <w:p>
            <w:pPr>
              <w:jc w:val="center"/>
            </w:pPr>
            <w:r/>
            <w:r>
              <w:rPr>
                <w:b w:val="0"/>
                <w:i w:val="0"/>
                <w:sz w:val="15"/>
              </w:rPr>
              <w:t>0.033</w:t>
            </w:r>
          </w:p>
        </w:tc>
      </w:tr>
      <w:tr>
        <w:tc>
          <w:tcPr>
            <w:tcW w:type="dxa" w:w="2232"/>
            <w:vAlign w:val="center"/>
            <w:tcMar>
              <w:top w:w="70" w:type="dxa"/>
              <w:start w:w="70" w:type="dxa"/>
              <w:bottom w:w="70" w:type="dxa"/>
              <w:end w:w="70" w:type="dxa"/>
            </w:tcMar>
          </w:tcPr>
          <w:p>
            <w:pPr>
              <w:jc w:val="left"/>
            </w:pPr>
            <w:r/>
            <w:r>
              <w:rPr>
                <w:b w:val="0"/>
                <w:i w:val="0"/>
                <w:sz w:val="15"/>
              </w:rPr>
              <w:t>Other revenue</w:t>
            </w:r>
          </w:p>
        </w:tc>
        <w:tc>
          <w:tcPr>
            <w:tcW w:type="dxa" w:w="1512"/>
            <w:vAlign w:val="center"/>
            <w:tcMar>
              <w:top w:w="70" w:type="dxa"/>
              <w:start w:w="70" w:type="dxa"/>
              <w:bottom w:w="70" w:type="dxa"/>
              <w:end w:w="70" w:type="dxa"/>
            </w:tcMar>
          </w:tcPr>
          <w:p>
            <w:pPr>
              <w:jc w:val="center"/>
            </w:pPr>
            <w:r/>
            <w:r>
              <w:rPr>
                <w:b w:val="0"/>
                <w:i w:val="0"/>
                <w:sz w:val="15"/>
              </w:rPr>
              <w:t>Billings</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$14,805</w:t>
            </w:r>
          </w:p>
        </w:tc>
        <w:tc>
          <w:tcPr>
            <w:tcW w:type="dxa" w:w="1440"/>
            <w:vAlign w:val="center"/>
            <w:tcMar>
              <w:top w:w="70" w:type="dxa"/>
              <w:start w:w="70" w:type="dxa"/>
              <w:bottom w:w="70" w:type="dxa"/>
              <w:end w:w="70" w:type="dxa"/>
            </w:tcMar>
          </w:tcPr>
          <w:p>
            <w:pPr>
              <w:jc w:val="center"/>
            </w:pPr>
            <w:r/>
            <w:r>
              <w:rPr>
                <w:b w:val="0"/>
                <w:i w:val="0"/>
                <w:sz w:val="15"/>
              </w:rPr>
              <w:t>$27,630</w:t>
            </w:r>
          </w:p>
        </w:tc>
        <w:tc>
          <w:tcPr>
            <w:tcW w:type="dxa" w:w="3096"/>
            <w:vAlign w:val="center"/>
            <w:tcMar>
              <w:top w:w="70" w:type="dxa"/>
              <w:start w:w="70" w:type="dxa"/>
              <w:bottom w:w="70" w:type="dxa"/>
              <w:end w:w="70" w:type="dxa"/>
            </w:tcMar>
          </w:tcPr>
          <w:p>
            <w:pPr>
              <w:jc w:val="left"/>
            </w:pPr>
            <w:r/>
            <w:r>
              <w:rPr>
                <w:b w:val="0"/>
                <w:i w:val="0"/>
                <w:sz w:val="15"/>
              </w:rPr>
              <w:t>-$12,825 (95% CI -$22,923 to -$1,324)</w:t>
            </w:r>
          </w:p>
        </w:tc>
        <w:tc>
          <w:tcPr>
            <w:tcW w:type="dxa" w:w="936"/>
            <w:vAlign w:val="center"/>
            <w:tcMar>
              <w:top w:w="70" w:type="dxa"/>
              <w:start w:w="70" w:type="dxa"/>
              <w:bottom w:w="70" w:type="dxa"/>
              <w:end w:w="70" w:type="dxa"/>
            </w:tcMar>
          </w:tcPr>
          <w:p>
            <w:pPr>
              <w:jc w:val="center"/>
            </w:pPr>
            <w:r/>
            <w:r>
              <w:rPr>
                <w:b w:val="0"/>
                <w:i w:val="0"/>
                <w:sz w:val="15"/>
              </w:rPr>
              <w:t>0.010</w:t>
            </w:r>
          </w:p>
        </w:tc>
      </w:tr>
      <w:tr>
        <w:tc>
          <w:tcPr>
            <w:tcW w:type="dxa" w:w="2232"/>
            <w:vAlign w:val="center"/>
            <w:tcMar>
              <w:top w:w="70" w:type="dxa"/>
              <w:start w:w="70" w:type="dxa"/>
              <w:bottom w:w="70" w:type="dxa"/>
              <w:end w:w="70" w:type="dxa"/>
            </w:tcMar>
          </w:tcPr>
          <w:p>
            <w:pPr>
              <w:jc w:val="left"/>
            </w:pPr>
            <w:r/>
            <w:r>
              <w:rPr>
                <w:b w:val="0"/>
                <w:i w:val="0"/>
                <w:sz w:val="15"/>
              </w:rPr>
              <w:t>Other revenue</w:t>
            </w:r>
          </w:p>
        </w:tc>
        <w:tc>
          <w:tcPr>
            <w:tcW w:type="dxa" w:w="1512"/>
            <w:vAlign w:val="center"/>
            <w:tcMar>
              <w:top w:w="70" w:type="dxa"/>
              <w:start w:w="70" w:type="dxa"/>
              <w:bottom w:w="70" w:type="dxa"/>
              <w:end w:w="70" w:type="dxa"/>
            </w:tcMar>
          </w:tcPr>
          <w:p>
            <w:pPr>
              <w:jc w:val="center"/>
            </w:pPr>
            <w:r/>
            <w:r>
              <w:rPr>
                <w:b w:val="0"/>
                <w:i w:val="0"/>
                <w:sz w:val="15"/>
              </w:rPr>
              <w:t>Sioux Falls</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$14,805</w:t>
            </w:r>
          </w:p>
        </w:tc>
        <w:tc>
          <w:tcPr>
            <w:tcW w:type="dxa" w:w="1440"/>
            <w:vAlign w:val="center"/>
            <w:tcMar>
              <w:top w:w="70" w:type="dxa"/>
              <w:start w:w="70" w:type="dxa"/>
              <w:bottom w:w="70" w:type="dxa"/>
              <w:end w:w="70" w:type="dxa"/>
            </w:tcMar>
          </w:tcPr>
          <w:p>
            <w:pPr>
              <w:jc w:val="center"/>
            </w:pPr>
            <w:r/>
            <w:r>
              <w:rPr>
                <w:b w:val="0"/>
                <w:i w:val="0"/>
                <w:sz w:val="15"/>
              </w:rPr>
              <w:t>$32,467</w:t>
            </w:r>
          </w:p>
        </w:tc>
        <w:tc>
          <w:tcPr>
            <w:tcW w:type="dxa" w:w="3096"/>
            <w:vAlign w:val="center"/>
            <w:tcMar>
              <w:top w:w="70" w:type="dxa"/>
              <w:start w:w="70" w:type="dxa"/>
              <w:bottom w:w="70" w:type="dxa"/>
              <w:end w:w="70" w:type="dxa"/>
            </w:tcMar>
          </w:tcPr>
          <w:p>
            <w:pPr>
              <w:jc w:val="left"/>
            </w:pPr>
            <w:r/>
            <w:r>
              <w:rPr>
                <w:b w:val="0"/>
                <w:i w:val="0"/>
                <w:sz w:val="15"/>
              </w:rPr>
              <w:t>-$17,662 (95% CI -$25,196 to -$6,938)</w:t>
            </w:r>
          </w:p>
        </w:tc>
        <w:tc>
          <w:tcPr>
            <w:tcW w:type="dxa" w:w="936"/>
            <w:vAlign w:val="center"/>
            <w:tcMar>
              <w:top w:w="70" w:type="dxa"/>
              <w:start w:w="70" w:type="dxa"/>
              <w:bottom w:w="70" w:type="dxa"/>
              <w:end w:w="70" w:type="dxa"/>
            </w:tcMar>
          </w:tcPr>
          <w:p>
            <w:pPr>
              <w:jc w:val="center"/>
            </w:pPr>
            <w:r/>
            <w:r>
              <w:rPr>
                <w:b w:val="0"/>
                <w:i w:val="0"/>
                <w:sz w:val="15"/>
              </w:rPr>
              <w:t>0.001</w:t>
            </w:r>
          </w:p>
        </w:tc>
      </w:tr>
      <w:tr>
        <w:tc>
          <w:tcPr>
            <w:tcW w:type="dxa" w:w="2232"/>
            <w:vAlign w:val="center"/>
            <w:tcMar>
              <w:top w:w="70" w:type="dxa"/>
              <w:start w:w="70" w:type="dxa"/>
              <w:bottom w:w="70" w:type="dxa"/>
              <w:end w:w="70" w:type="dxa"/>
            </w:tcMar>
          </w:tcPr>
          <w:p>
            <w:pPr>
              <w:jc w:val="left"/>
            </w:pPr>
            <w:r/>
            <w:r>
              <w:rPr>
                <w:b w:val="0"/>
                <w:i w:val="0"/>
                <w:sz w:val="15"/>
              </w:rPr>
              <w:t>Program service revenue</w:t>
            </w:r>
          </w:p>
        </w:tc>
        <w:tc>
          <w:tcPr>
            <w:tcW w:type="dxa" w:w="1512"/>
            <w:vAlign w:val="center"/>
            <w:tcMar>
              <w:top w:w="70" w:type="dxa"/>
              <w:start w:w="70" w:type="dxa"/>
              <w:bottom w:w="70" w:type="dxa"/>
              <w:end w:w="70" w:type="dxa"/>
            </w:tcMar>
          </w:tcPr>
          <w:p>
            <w:pPr>
              <w:jc w:val="center"/>
            </w:pPr>
            <w:r/>
            <w:r>
              <w:rPr>
                <w:b w:val="0"/>
                <w:i w:val="0"/>
                <w:sz w:val="15"/>
              </w:rPr>
              <w:t>Flagstaff</w:t>
            </w:r>
          </w:p>
        </w:tc>
        <w:tc>
          <w:tcPr>
            <w:tcW w:type="dxa" w:w="2232"/>
            <w:vAlign w:val="center"/>
            <w:tcMar>
              <w:top w:w="70" w:type="dxa"/>
              <w:start w:w="70" w:type="dxa"/>
              <w:bottom w:w="70" w:type="dxa"/>
              <w:end w:w="70" w:type="dxa"/>
            </w:tcMar>
          </w:tcPr>
          <w:p>
            <w:pPr>
              <w:jc w:val="left"/>
            </w:pPr>
            <w:r/>
            <w:r>
              <w:rPr>
                <w:b w:val="0"/>
                <w:i w:val="0"/>
                <w:sz w:val="15"/>
              </w:rPr>
              <w:t>Black Hills lower among reporters; significant</w:t>
            </w:r>
          </w:p>
        </w:tc>
        <w:tc>
          <w:tcPr>
            <w:tcW w:type="dxa" w:w="1368"/>
            <w:vAlign w:val="center"/>
            <w:tcMar>
              <w:top w:w="70" w:type="dxa"/>
              <w:start w:w="70" w:type="dxa"/>
              <w:bottom w:w="70" w:type="dxa"/>
              <w:end w:w="70" w:type="dxa"/>
            </w:tcMar>
          </w:tcPr>
          <w:p>
            <w:pPr>
              <w:jc w:val="center"/>
            </w:pPr>
            <w:r/>
            <w:r>
              <w:rPr>
                <w:b w:val="0"/>
                <w:i w:val="0"/>
                <w:sz w:val="15"/>
              </w:rPr>
              <w:t>$106,346</w:t>
            </w:r>
          </w:p>
        </w:tc>
        <w:tc>
          <w:tcPr>
            <w:tcW w:type="dxa" w:w="1440"/>
            <w:vAlign w:val="center"/>
            <w:tcMar>
              <w:top w:w="70" w:type="dxa"/>
              <w:start w:w="70" w:type="dxa"/>
              <w:bottom w:w="70" w:type="dxa"/>
              <w:end w:w="70" w:type="dxa"/>
            </w:tcMar>
          </w:tcPr>
          <w:p>
            <w:pPr>
              <w:jc w:val="center"/>
            </w:pPr>
            <w:r/>
            <w:r>
              <w:rPr>
                <w:b w:val="0"/>
                <w:i w:val="0"/>
                <w:sz w:val="15"/>
              </w:rPr>
              <w:t>$188,968</w:t>
            </w:r>
          </w:p>
        </w:tc>
        <w:tc>
          <w:tcPr>
            <w:tcW w:type="dxa" w:w="3096"/>
            <w:vAlign w:val="center"/>
            <w:tcMar>
              <w:top w:w="70" w:type="dxa"/>
              <w:start w:w="70" w:type="dxa"/>
              <w:bottom w:w="70" w:type="dxa"/>
              <w:end w:w="70" w:type="dxa"/>
            </w:tcMar>
          </w:tcPr>
          <w:p>
            <w:pPr>
              <w:jc w:val="left"/>
            </w:pPr>
            <w:r/>
            <w:r>
              <w:rPr>
                <w:b w:val="0"/>
                <w:i w:val="0"/>
                <w:sz w:val="15"/>
              </w:rPr>
              <w:t>-$82,622 (95% CI -$188,223 to $1,513)</w:t>
            </w:r>
          </w:p>
        </w:tc>
        <w:tc>
          <w:tcPr>
            <w:tcW w:type="dxa" w:w="936"/>
            <w:vAlign w:val="center"/>
            <w:tcMar>
              <w:top w:w="70" w:type="dxa"/>
              <w:start w:w="70" w:type="dxa"/>
              <w:bottom w:w="70" w:type="dxa"/>
              <w:end w:w="70" w:type="dxa"/>
            </w:tcMar>
          </w:tcPr>
          <w:p>
            <w:pPr>
              <w:jc w:val="center"/>
            </w:pPr>
            <w:r/>
            <w:r>
              <w:rPr>
                <w:b w:val="0"/>
                <w:i w:val="0"/>
                <w:sz w:val="15"/>
              </w:rPr>
              <w:t>0.038</w:t>
            </w:r>
          </w:p>
        </w:tc>
      </w:tr>
    </w:tbl>
    <w:p>
      <w:pPr>
        <w:spacing w:after="100" w:line="252" w:lineRule="auto"/>
      </w:pPr>
      <w:r>
        <w:t>For total revenue and total contributions, none of the four Black Hills vs benchmark comparisons reached p &lt; 0.05. The appendix tables list every source and benchmark pair, including comparisons that were not statistically meaningful at p &lt; 0.05.</w:t>
      </w:r>
    </w:p>
    <w:p>
      <w:pPr>
        <w:spacing w:after="100" w:line="252" w:lineRule="auto"/>
      </w:pPr>
      <w:r>
        <w:t>Participation and dollar amounts can tell different stories. Government grants are a useful example: a larger share of eligible Black Hills organizations reported the source (about 44%) than in Billings (about 34%), yet the typical grant amount among Black Hills reporters was lower ($163,367 versus $274,793, p = 0.043). A region can have more organizations using a revenue source while still showing a lower typical dollar amount among the organizations that use it. Reporting rates by source and region are available in the supporting analysis files referenced in the appendix.</w:t>
      </w:r>
    </w:p>
    <w:p>
      <w:pPr>
        <w:spacing w:after="100" w:line="252" w:lineRule="auto"/>
      </w:pPr>
      <w:r>
        <w:t>The appendix lists the full set of p-values and confidence intervals from the client presentation, organized by revenue source, along with matching source-by-source bar charts (Figures 5–14).</w:t>
      </w:r>
    </w:p>
    <w:p>
      <w:pPr>
        <w:spacing w:after="100" w:line="252" w:lineRule="auto"/>
      </w:pPr>
      <w:r>
        <w:t>For the Black Hills Area Community Foundation, these results suggest that many local non-profits may operate in a funding environment that differs from the benchmark regions. If this pattern aligns with local experience, it could affect how organizations plan for sustainability, pursue grants, and communicate funding needs to donors.</w:t>
      </w:r>
    </w:p>
    <w:p>
      <w:pPr>
        <w:spacing w:after="100" w:line="252" w:lineRule="auto"/>
      </w:pPr>
      <w:r>
        <w:t>These findings describe 2022 reported revenue patterns by region, not causal explanations. Differences in organization type, local service needs, government funding, tourism-related activity, or the presence of large institutions could contribute but would require context beyond these filings. They also do not apply to every comparable organization in the region, and they do not separate individual giving from institutional giving. Interpret them together with reporting counts in the appendix and the sample-size discussion above.</w:t>
      </w:r>
    </w:p>
    <w:p>
      <w:pPr>
        <w:pStyle w:val="Heading2"/>
        <w:spacing w:after="100" w:line="252" w:lineRule="auto"/>
      </w:pPr>
      <w:r>
        <w:t>Appendix: Non-profit revenue source comparison details</w:t>
      </w:r>
    </w:p>
    <w:p>
      <w:pPr>
        <w:spacing w:after="100" w:line="252" w:lineRule="auto"/>
      </w:pPr>
      <w:r>
        <w:t>The tables below list all p-values shown in the client presentation, organized by revenue source. Figures 5–14 show the typical reported dollar amount by region for each revenue source (2022, among organizations that reported a positive amount for that source). These comparisons use organization-level reported dollars. Rare revenue sources have fewer reporting organizations; see the sample-size discussion in the results section above.</w:t>
      </w:r>
    </w:p>
    <w:p>
      <w:pPr>
        <w:pStyle w:val="Heading3"/>
        <w:spacing w:before="160" w:after="80"/>
      </w:pPr>
      <w:r>
        <w:t>Total revenue</w:t>
      </w:r>
    </w:p>
    <w:p>
      <w:pPr>
        <w:spacing w:after="60"/>
        <w:jc w:val="center"/>
      </w:pPr>
      <w:r>
        <w:drawing>
          <wp:inline xmlns:a="http://schemas.openxmlformats.org/drawingml/2006/main" xmlns:pic="http://schemas.openxmlformats.org/drawingml/2006/picture">
            <wp:extent cx="6309360" cy="3492739"/>
            <wp:docPr id="2" name="Picture 2"/>
            <wp:cNvGraphicFramePr>
              <a:graphicFrameLocks noChangeAspect="1"/>
            </wp:cNvGraphicFramePr>
            <a:graphic>
              <a:graphicData uri="http://schemas.openxmlformats.org/drawingml/2006/picture">
                <pic:pic>
                  <pic:nvPicPr>
                    <pic:cNvPr id="0" name="client_2022_pairwise_positive_median_total_revenue.png"/>
                    <pic:cNvPicPr/>
                  </pic:nvPicPr>
                  <pic:blipFill>
                    <a:blip r:embed="rId10"/>
                    <a:stretch>
                      <a:fillRect/>
                    </a:stretch>
                  </pic:blipFill>
                  <pic:spPr>
                    <a:xfrm>
                      <a:off x="0" y="0"/>
                      <a:ext cx="6309360" cy="3492739"/>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$176,760</w:t>
            </w:r>
          </w:p>
        </w:tc>
        <w:tc>
          <w:tcPr>
            <w:tcW w:type="dxa" w:w="1440"/>
            <w:vAlign w:val="center"/>
            <w:tcMar>
              <w:top w:w="70" w:type="dxa"/>
              <w:start w:w="70" w:type="dxa"/>
              <w:bottom w:w="70" w:type="dxa"/>
              <w:end w:w="70" w:type="dxa"/>
            </w:tcMar>
          </w:tcPr>
          <w:p>
            <w:pPr>
              <w:spacing w:after="0" w:line="240" w:lineRule="auto"/>
              <w:jc w:val="center"/>
            </w:pPr>
            <w:r>
              <w:rPr>
                <w:b w:val="0"/>
                <w:i w:val="0"/>
                <w:sz w:val="15"/>
              </w:rPr>
              <w:t>$219,228</w:t>
            </w:r>
          </w:p>
        </w:tc>
        <w:tc>
          <w:tcPr>
            <w:tcW w:type="dxa" w:w="3096"/>
            <w:vAlign w:val="center"/>
            <w:tcMar>
              <w:top w:w="70" w:type="dxa"/>
              <w:start w:w="70" w:type="dxa"/>
              <w:bottom w:w="70" w:type="dxa"/>
              <w:end w:w="70" w:type="dxa"/>
            </w:tcMar>
          </w:tcPr>
          <w:p>
            <w:pPr>
              <w:spacing w:after="0" w:line="240" w:lineRule="auto"/>
              <w:jc w:val="left"/>
            </w:pPr>
            <w:r>
              <w:rPr>
                <w:b w:val="0"/>
                <w:i w:val="0"/>
                <w:sz w:val="15"/>
              </w:rPr>
              <w:t>-$42,468 (95% CI -$125,394 to +$33,850)</w:t>
            </w:r>
          </w:p>
        </w:tc>
        <w:tc>
          <w:tcPr>
            <w:tcW w:type="dxa" w:w="936"/>
            <w:vAlign w:val="center"/>
            <w:tcMar>
              <w:top w:w="70" w:type="dxa"/>
              <w:start w:w="70" w:type="dxa"/>
              <w:bottom w:w="70" w:type="dxa"/>
              <w:end w:w="70" w:type="dxa"/>
            </w:tcMar>
          </w:tcPr>
          <w:p>
            <w:pPr>
              <w:spacing w:after="0" w:line="240" w:lineRule="auto"/>
              <w:jc w:val="center"/>
            </w:pPr>
            <w:r>
              <w:rPr>
                <w:b w:val="0"/>
                <w:i w:val="0"/>
                <w:sz w:val="15"/>
              </w:rPr>
              <w:t>0.269</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$176,760</w:t>
            </w:r>
          </w:p>
        </w:tc>
        <w:tc>
          <w:tcPr>
            <w:tcW w:type="dxa" w:w="1440"/>
            <w:vAlign w:val="center"/>
            <w:tcMar>
              <w:top w:w="70" w:type="dxa"/>
              <w:start w:w="70" w:type="dxa"/>
              <w:bottom w:w="70" w:type="dxa"/>
              <w:end w:w="70" w:type="dxa"/>
            </w:tcMar>
          </w:tcPr>
          <w:p>
            <w:pPr>
              <w:spacing w:after="0" w:line="240" w:lineRule="auto"/>
              <w:jc w:val="center"/>
            </w:pPr>
            <w:r>
              <w:rPr>
                <w:b w:val="0"/>
                <w:i w:val="0"/>
                <w:sz w:val="15"/>
              </w:rPr>
              <w:t>$212,002</w:t>
            </w:r>
          </w:p>
        </w:tc>
        <w:tc>
          <w:tcPr>
            <w:tcW w:type="dxa" w:w="3096"/>
            <w:vAlign w:val="center"/>
            <w:tcMar>
              <w:top w:w="70" w:type="dxa"/>
              <w:start w:w="70" w:type="dxa"/>
              <w:bottom w:w="70" w:type="dxa"/>
              <w:end w:w="70" w:type="dxa"/>
            </w:tcMar>
          </w:tcPr>
          <w:p>
            <w:pPr>
              <w:spacing w:after="0" w:line="240" w:lineRule="auto"/>
              <w:jc w:val="left"/>
            </w:pPr>
            <w:r>
              <w:rPr>
                <w:b w:val="0"/>
                <w:i w:val="0"/>
                <w:sz w:val="15"/>
              </w:rPr>
              <w:t>-$35,242 (95% CI -$149,323 to +$35,127)</w:t>
            </w:r>
          </w:p>
        </w:tc>
        <w:tc>
          <w:tcPr>
            <w:tcW w:type="dxa" w:w="936"/>
            <w:vAlign w:val="center"/>
            <w:tcMar>
              <w:top w:w="70" w:type="dxa"/>
              <w:start w:w="70" w:type="dxa"/>
              <w:bottom w:w="70" w:type="dxa"/>
              <w:end w:w="70" w:type="dxa"/>
            </w:tcMar>
          </w:tcPr>
          <w:p>
            <w:pPr>
              <w:spacing w:after="0" w:line="240" w:lineRule="auto"/>
              <w:jc w:val="center"/>
            </w:pPr>
            <w:r>
              <w:rPr>
                <w:b w:val="0"/>
                <w:i w:val="0"/>
                <w:sz w:val="15"/>
              </w:rPr>
              <w:t>0.366</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$176,760</w:t>
            </w:r>
          </w:p>
        </w:tc>
        <w:tc>
          <w:tcPr>
            <w:tcW w:type="dxa" w:w="1440"/>
            <w:vAlign w:val="center"/>
            <w:tcMar>
              <w:top w:w="70" w:type="dxa"/>
              <w:start w:w="70" w:type="dxa"/>
              <w:bottom w:w="70" w:type="dxa"/>
              <w:end w:w="70" w:type="dxa"/>
            </w:tcMar>
          </w:tcPr>
          <w:p>
            <w:pPr>
              <w:spacing w:after="0" w:line="240" w:lineRule="auto"/>
              <w:jc w:val="center"/>
            </w:pPr>
            <w:r>
              <w:rPr>
                <w:b w:val="0"/>
                <w:i w:val="0"/>
                <w:sz w:val="15"/>
              </w:rPr>
              <w:t>$208,149</w:t>
            </w:r>
          </w:p>
        </w:tc>
        <w:tc>
          <w:tcPr>
            <w:tcW w:type="dxa" w:w="3096"/>
            <w:vAlign w:val="center"/>
            <w:tcMar>
              <w:top w:w="70" w:type="dxa"/>
              <w:start w:w="70" w:type="dxa"/>
              <w:bottom w:w="70" w:type="dxa"/>
              <w:end w:w="70" w:type="dxa"/>
            </w:tcMar>
          </w:tcPr>
          <w:p>
            <w:pPr>
              <w:spacing w:after="0" w:line="240" w:lineRule="auto"/>
              <w:jc w:val="left"/>
            </w:pPr>
            <w:r>
              <w:rPr>
                <w:b w:val="0"/>
                <w:i w:val="0"/>
                <w:sz w:val="15"/>
              </w:rPr>
              <w:t>-$31,390 (95% CI -$84,901 to +$26,666)</w:t>
            </w:r>
          </w:p>
        </w:tc>
        <w:tc>
          <w:tcPr>
            <w:tcW w:type="dxa" w:w="936"/>
            <w:vAlign w:val="center"/>
            <w:tcMar>
              <w:top w:w="70" w:type="dxa"/>
              <w:start w:w="70" w:type="dxa"/>
              <w:bottom w:w="70" w:type="dxa"/>
              <w:end w:w="70" w:type="dxa"/>
            </w:tcMar>
          </w:tcPr>
          <w:p>
            <w:pPr>
              <w:spacing w:after="0" w:line="240" w:lineRule="auto"/>
              <w:jc w:val="center"/>
            </w:pPr>
            <w:r>
              <w:rPr>
                <w:b w:val="0"/>
                <w:i w:val="0"/>
                <w:sz w:val="15"/>
              </w:rPr>
              <w:t>0.246</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$176,760</w:t>
            </w:r>
          </w:p>
        </w:tc>
        <w:tc>
          <w:tcPr>
            <w:tcW w:type="dxa" w:w="1440"/>
            <w:vAlign w:val="center"/>
            <w:tcMar>
              <w:top w:w="70" w:type="dxa"/>
              <w:start w:w="70" w:type="dxa"/>
              <w:bottom w:w="70" w:type="dxa"/>
              <w:end w:w="70" w:type="dxa"/>
            </w:tcMar>
          </w:tcPr>
          <w:p>
            <w:pPr>
              <w:spacing w:after="0" w:line="240" w:lineRule="auto"/>
              <w:jc w:val="center"/>
            </w:pPr>
            <w:r>
              <w:rPr>
                <w:b w:val="0"/>
                <w:i w:val="0"/>
                <w:sz w:val="15"/>
              </w:rPr>
              <w:t>$222,401</w:t>
            </w:r>
          </w:p>
        </w:tc>
        <w:tc>
          <w:tcPr>
            <w:tcW w:type="dxa" w:w="3096"/>
            <w:vAlign w:val="center"/>
            <w:tcMar>
              <w:top w:w="70" w:type="dxa"/>
              <w:start w:w="70" w:type="dxa"/>
              <w:bottom w:w="70" w:type="dxa"/>
              <w:end w:w="70" w:type="dxa"/>
            </w:tcMar>
          </w:tcPr>
          <w:p>
            <w:pPr>
              <w:spacing w:after="0" w:line="240" w:lineRule="auto"/>
              <w:jc w:val="left"/>
            </w:pPr>
            <w:r>
              <w:rPr>
                <w:b w:val="0"/>
                <w:i w:val="0"/>
                <w:sz w:val="15"/>
              </w:rPr>
              <w:t>-$45,642 (95% CI -$126,653 to +$32,158)</w:t>
            </w:r>
          </w:p>
        </w:tc>
        <w:tc>
          <w:tcPr>
            <w:tcW w:type="dxa" w:w="936"/>
            <w:vAlign w:val="center"/>
            <w:tcMar>
              <w:top w:w="70" w:type="dxa"/>
              <w:start w:w="70" w:type="dxa"/>
              <w:bottom w:w="70" w:type="dxa"/>
              <w:end w:w="70" w:type="dxa"/>
            </w:tcMar>
          </w:tcPr>
          <w:p>
            <w:pPr>
              <w:spacing w:after="0" w:line="240" w:lineRule="auto"/>
              <w:jc w:val="center"/>
            </w:pPr>
            <w:r>
              <w:rPr>
                <w:b w:val="0"/>
                <w:i w:val="0"/>
                <w:sz w:val="15"/>
              </w:rPr>
              <w:t>0.242</w:t>
            </w:r>
          </w:p>
        </w:tc>
      </w:tr>
    </w:tbl>
    <w:p>
      <w:pPr>
        <w:spacing w:after="80"/>
      </w:pPr>
      <w:r>
        <w:rPr>
          <w:i/>
        </w:rPr>
        <w:t>Figure 5. Total revenue (2022): typical reported dollars by region among organizations that reported positive total revenue.</w:t>
      </w:r>
    </w:p>
    <w:p>
      <w:pPr>
        <w:pStyle w:val="Heading3"/>
        <w:spacing w:before="160" w:after="80"/>
      </w:pPr>
      <w:r>
        <w:t>Program service revenue</w:t>
      </w:r>
    </w:p>
    <w:p>
      <w:pPr>
        <w:spacing w:after="60"/>
        <w:jc w:val="center"/>
      </w:pPr>
      <w:r>
        <w:drawing>
          <wp:inline xmlns:a="http://schemas.openxmlformats.org/drawingml/2006/main" xmlns:pic="http://schemas.openxmlformats.org/drawingml/2006/picture">
            <wp:extent cx="6309360" cy="3492739"/>
            <wp:docPr id="3" name="Picture 3"/>
            <wp:cNvGraphicFramePr>
              <a:graphicFrameLocks noChangeAspect="1"/>
            </wp:cNvGraphicFramePr>
            <a:graphic>
              <a:graphicData uri="http://schemas.openxmlformats.org/drawingml/2006/picture">
                <pic:pic>
                  <pic:nvPicPr>
                    <pic:cNvPr id="0" name="client_2022_pairwise_positive_median_program_service_revenue.png"/>
                    <pic:cNvPicPr/>
                  </pic:nvPicPr>
                  <pic:blipFill>
                    <a:blip r:embed="rId11"/>
                    <a:stretch>
                      <a:fillRect/>
                    </a:stretch>
                  </pic:blipFill>
                  <pic:spPr>
                    <a:xfrm>
                      <a:off x="0" y="0"/>
                      <a:ext cx="6309360" cy="3492739"/>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$106,346</w:t>
            </w:r>
          </w:p>
        </w:tc>
        <w:tc>
          <w:tcPr>
            <w:tcW w:type="dxa" w:w="1440"/>
            <w:vAlign w:val="center"/>
            <w:tcMar>
              <w:top w:w="70" w:type="dxa"/>
              <w:start w:w="70" w:type="dxa"/>
              <w:bottom w:w="70" w:type="dxa"/>
              <w:end w:w="70" w:type="dxa"/>
            </w:tcMar>
          </w:tcPr>
          <w:p>
            <w:pPr>
              <w:spacing w:after="0" w:line="240" w:lineRule="auto"/>
              <w:jc w:val="center"/>
            </w:pPr>
            <w:r>
              <w:rPr>
                <w:b w:val="0"/>
                <w:i w:val="0"/>
                <w:sz w:val="15"/>
              </w:rPr>
              <w:t>$134,079</w:t>
            </w:r>
          </w:p>
        </w:tc>
        <w:tc>
          <w:tcPr>
            <w:tcW w:type="dxa" w:w="3096"/>
            <w:vAlign w:val="center"/>
            <w:tcMar>
              <w:top w:w="70" w:type="dxa"/>
              <w:start w:w="70" w:type="dxa"/>
              <w:bottom w:w="70" w:type="dxa"/>
              <w:end w:w="70" w:type="dxa"/>
            </w:tcMar>
          </w:tcPr>
          <w:p>
            <w:pPr>
              <w:spacing w:after="0" w:line="240" w:lineRule="auto"/>
              <w:jc w:val="left"/>
            </w:pPr>
            <w:r>
              <w:rPr>
                <w:b w:val="0"/>
                <w:i w:val="0"/>
                <w:sz w:val="15"/>
              </w:rPr>
              <w:t>-$27,733 (95% CI -$96,511 to +$25,161)</w:t>
            </w:r>
          </w:p>
        </w:tc>
        <w:tc>
          <w:tcPr>
            <w:tcW w:type="dxa" w:w="936"/>
            <w:vAlign w:val="center"/>
            <w:tcMar>
              <w:top w:w="70" w:type="dxa"/>
              <w:start w:w="70" w:type="dxa"/>
              <w:bottom w:w="70" w:type="dxa"/>
              <w:end w:w="70" w:type="dxa"/>
            </w:tcMar>
          </w:tcPr>
          <w:p>
            <w:pPr>
              <w:spacing w:after="0" w:line="240" w:lineRule="auto"/>
              <w:jc w:val="center"/>
            </w:pPr>
            <w:r>
              <w:rPr>
                <w:b w:val="0"/>
                <w:i w:val="0"/>
                <w:sz w:val="15"/>
              </w:rPr>
              <w:t>0.292</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$106,346</w:t>
            </w:r>
          </w:p>
        </w:tc>
        <w:tc>
          <w:tcPr>
            <w:tcW w:type="dxa" w:w="1440"/>
            <w:vAlign w:val="center"/>
            <w:tcMar>
              <w:top w:w="70" w:type="dxa"/>
              <w:start w:w="70" w:type="dxa"/>
              <w:bottom w:w="70" w:type="dxa"/>
              <w:end w:w="70" w:type="dxa"/>
            </w:tcMar>
          </w:tcPr>
          <w:p>
            <w:pPr>
              <w:spacing w:after="0" w:line="240" w:lineRule="auto"/>
              <w:jc w:val="center"/>
            </w:pPr>
            <w:r>
              <w:rPr>
                <w:b w:val="0"/>
                <w:i w:val="0"/>
                <w:sz w:val="15"/>
              </w:rPr>
              <w:t>$188,968</w:t>
            </w:r>
          </w:p>
        </w:tc>
        <w:tc>
          <w:tcPr>
            <w:tcW w:type="dxa" w:w="3096"/>
            <w:vAlign w:val="center"/>
            <w:tcMar>
              <w:top w:w="70" w:type="dxa"/>
              <w:start w:w="70" w:type="dxa"/>
              <w:bottom w:w="70" w:type="dxa"/>
              <w:end w:w="70" w:type="dxa"/>
            </w:tcMar>
          </w:tcPr>
          <w:p>
            <w:pPr>
              <w:spacing w:after="0" w:line="240" w:lineRule="auto"/>
              <w:jc w:val="left"/>
            </w:pPr>
            <w:r>
              <w:rPr>
                <w:b w:val="0"/>
                <w:i w:val="0"/>
                <w:sz w:val="15"/>
              </w:rPr>
              <w:t>-$82,622 (95% CI -$188,223 to +$1,513)</w:t>
            </w:r>
          </w:p>
        </w:tc>
        <w:tc>
          <w:tcPr>
            <w:tcW w:type="dxa" w:w="936"/>
            <w:vAlign w:val="center"/>
            <w:tcMar>
              <w:top w:w="70" w:type="dxa"/>
              <w:start w:w="70" w:type="dxa"/>
              <w:bottom w:w="70" w:type="dxa"/>
              <w:end w:w="70" w:type="dxa"/>
            </w:tcMar>
          </w:tcPr>
          <w:p>
            <w:pPr>
              <w:spacing w:after="0" w:line="240" w:lineRule="auto"/>
              <w:jc w:val="center"/>
            </w:pPr>
            <w:r>
              <w:rPr>
                <w:b w:val="0"/>
                <w:i w:val="0"/>
                <w:sz w:val="15"/>
              </w:rPr>
              <w:t>0.038</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$106,346</w:t>
            </w:r>
          </w:p>
        </w:tc>
        <w:tc>
          <w:tcPr>
            <w:tcW w:type="dxa" w:w="1440"/>
            <w:vAlign w:val="center"/>
            <w:tcMar>
              <w:top w:w="70" w:type="dxa"/>
              <w:start w:w="70" w:type="dxa"/>
              <w:bottom w:w="70" w:type="dxa"/>
              <w:end w:w="70" w:type="dxa"/>
            </w:tcMar>
          </w:tcPr>
          <w:p>
            <w:pPr>
              <w:spacing w:after="0" w:line="240" w:lineRule="auto"/>
              <w:jc w:val="center"/>
            </w:pPr>
            <w:r>
              <w:rPr>
                <w:b w:val="0"/>
                <w:i w:val="0"/>
                <w:sz w:val="15"/>
              </w:rPr>
              <w:t>$151,055</w:t>
            </w:r>
          </w:p>
        </w:tc>
        <w:tc>
          <w:tcPr>
            <w:tcW w:type="dxa" w:w="3096"/>
            <w:vAlign w:val="center"/>
            <w:tcMar>
              <w:top w:w="70" w:type="dxa"/>
              <w:start w:w="70" w:type="dxa"/>
              <w:bottom w:w="70" w:type="dxa"/>
              <w:end w:w="70" w:type="dxa"/>
            </w:tcMar>
          </w:tcPr>
          <w:p>
            <w:pPr>
              <w:spacing w:after="0" w:line="240" w:lineRule="auto"/>
              <w:jc w:val="left"/>
            </w:pPr>
            <w:r>
              <w:rPr>
                <w:b w:val="0"/>
                <w:i w:val="0"/>
                <w:sz w:val="15"/>
              </w:rPr>
              <w:t>-$44,709 (95% CI -$114,440 to +$6,707)</w:t>
            </w:r>
          </w:p>
        </w:tc>
        <w:tc>
          <w:tcPr>
            <w:tcW w:type="dxa" w:w="936"/>
            <w:vAlign w:val="center"/>
            <w:tcMar>
              <w:top w:w="70" w:type="dxa"/>
              <w:start w:w="70" w:type="dxa"/>
              <w:bottom w:w="70" w:type="dxa"/>
              <w:end w:w="70" w:type="dxa"/>
            </w:tcMar>
          </w:tcPr>
          <w:p>
            <w:pPr>
              <w:spacing w:after="0" w:line="240" w:lineRule="auto"/>
              <w:jc w:val="center"/>
            </w:pPr>
            <w:r>
              <w:rPr>
                <w:b w:val="0"/>
                <w:i w:val="0"/>
                <w:sz w:val="15"/>
              </w:rPr>
              <w:t>0.089</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$106,346</w:t>
            </w:r>
          </w:p>
        </w:tc>
        <w:tc>
          <w:tcPr>
            <w:tcW w:type="dxa" w:w="1440"/>
            <w:vAlign w:val="center"/>
            <w:tcMar>
              <w:top w:w="70" w:type="dxa"/>
              <w:start w:w="70" w:type="dxa"/>
              <w:bottom w:w="70" w:type="dxa"/>
              <w:end w:w="70" w:type="dxa"/>
            </w:tcMar>
          </w:tcPr>
          <w:p>
            <w:pPr>
              <w:spacing w:after="0" w:line="240" w:lineRule="auto"/>
              <w:jc w:val="center"/>
            </w:pPr>
            <w:r>
              <w:rPr>
                <w:b w:val="0"/>
                <w:i w:val="0"/>
                <w:sz w:val="15"/>
              </w:rPr>
              <w:t>$140,091</w:t>
            </w:r>
          </w:p>
        </w:tc>
        <w:tc>
          <w:tcPr>
            <w:tcW w:type="dxa" w:w="3096"/>
            <w:vAlign w:val="center"/>
            <w:tcMar>
              <w:top w:w="70" w:type="dxa"/>
              <w:start w:w="70" w:type="dxa"/>
              <w:bottom w:w="70" w:type="dxa"/>
              <w:end w:w="70" w:type="dxa"/>
            </w:tcMar>
          </w:tcPr>
          <w:p>
            <w:pPr>
              <w:spacing w:after="0" w:line="240" w:lineRule="auto"/>
              <w:jc w:val="left"/>
            </w:pPr>
            <w:r>
              <w:rPr>
                <w:b w:val="0"/>
                <w:i w:val="0"/>
                <w:sz w:val="15"/>
              </w:rPr>
              <w:t>-$33,745 (95% CI -$91,143 to +$18,223)</w:t>
            </w:r>
          </w:p>
        </w:tc>
        <w:tc>
          <w:tcPr>
            <w:tcW w:type="dxa" w:w="936"/>
            <w:vAlign w:val="center"/>
            <w:tcMar>
              <w:top w:w="70" w:type="dxa"/>
              <w:start w:w="70" w:type="dxa"/>
              <w:bottom w:w="70" w:type="dxa"/>
              <w:end w:w="70" w:type="dxa"/>
            </w:tcMar>
          </w:tcPr>
          <w:p>
            <w:pPr>
              <w:spacing w:after="0" w:line="240" w:lineRule="auto"/>
              <w:jc w:val="center"/>
            </w:pPr>
            <w:r>
              <w:rPr>
                <w:b w:val="0"/>
                <w:i w:val="0"/>
                <w:sz w:val="15"/>
              </w:rPr>
              <w:t>0.175</w:t>
            </w:r>
          </w:p>
        </w:tc>
      </w:tr>
    </w:tbl>
    <w:p>
      <w:pPr>
        <w:spacing w:after="80"/>
      </w:pPr>
      <w:r>
        <w:rPr>
          <w:i/>
        </w:rPr>
        <w:t>Figure 6. Program service revenue (2022): typical reported dollars by region among organizations that reported positive program service revenue.</w:t>
      </w:r>
    </w:p>
    <w:p>
      <w:pPr>
        <w:pStyle w:val="Heading3"/>
        <w:spacing w:before="160" w:after="80"/>
      </w:pPr>
      <w:r>
        <w:t>Total contributions</w:t>
      </w:r>
    </w:p>
    <w:p>
      <w:pPr>
        <w:spacing w:after="60"/>
        <w:jc w:val="center"/>
      </w:pPr>
      <w:r>
        <w:drawing>
          <wp:inline xmlns:a="http://schemas.openxmlformats.org/drawingml/2006/main" xmlns:pic="http://schemas.openxmlformats.org/drawingml/2006/picture">
            <wp:extent cx="6309360" cy="3494513"/>
            <wp:docPr id="4" name="Picture 4"/>
            <wp:cNvGraphicFramePr>
              <a:graphicFrameLocks noChangeAspect="1"/>
            </wp:cNvGraphicFramePr>
            <a:graphic>
              <a:graphicData uri="http://schemas.openxmlformats.org/drawingml/2006/picture">
                <pic:pic>
                  <pic:nvPicPr>
                    <pic:cNvPr id="0" name="client_2022_pairwise_positive_median_total_contributions.png"/>
                    <pic:cNvPicPr/>
                  </pic:nvPicPr>
                  <pic:blipFill>
                    <a:blip r:embed="rId12"/>
                    <a:stretch>
                      <a:fillRect/>
                    </a:stretch>
                  </pic:blipFill>
                  <pic:spPr>
                    <a:xfrm>
                      <a:off x="0" y="0"/>
                      <a:ext cx="6309360" cy="3494513"/>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$110,308</w:t>
            </w:r>
          </w:p>
        </w:tc>
        <w:tc>
          <w:tcPr>
            <w:tcW w:type="dxa" w:w="1440"/>
            <w:vAlign w:val="center"/>
            <w:tcMar>
              <w:top w:w="70" w:type="dxa"/>
              <w:start w:w="70" w:type="dxa"/>
              <w:bottom w:w="70" w:type="dxa"/>
              <w:end w:w="70" w:type="dxa"/>
            </w:tcMar>
          </w:tcPr>
          <w:p>
            <w:pPr>
              <w:spacing w:after="0" w:line="240" w:lineRule="auto"/>
              <w:jc w:val="center"/>
            </w:pPr>
            <w:r>
              <w:rPr>
                <w:b w:val="0"/>
                <w:i w:val="0"/>
                <w:sz w:val="15"/>
              </w:rPr>
              <w:t>$143,479</w:t>
            </w:r>
          </w:p>
        </w:tc>
        <w:tc>
          <w:tcPr>
            <w:tcW w:type="dxa" w:w="3096"/>
            <w:vAlign w:val="center"/>
            <w:tcMar>
              <w:top w:w="70" w:type="dxa"/>
              <w:start w:w="70" w:type="dxa"/>
              <w:bottom w:w="70" w:type="dxa"/>
              <w:end w:w="70" w:type="dxa"/>
            </w:tcMar>
          </w:tcPr>
          <w:p>
            <w:pPr>
              <w:spacing w:after="0" w:line="240" w:lineRule="auto"/>
              <w:jc w:val="left"/>
            </w:pPr>
            <w:r>
              <w:rPr>
                <w:b w:val="0"/>
                <w:i w:val="0"/>
                <w:sz w:val="15"/>
              </w:rPr>
              <w:t>-$33,171 (95% CI -$85,280 to +$16,324)</w:t>
            </w:r>
          </w:p>
        </w:tc>
        <w:tc>
          <w:tcPr>
            <w:tcW w:type="dxa" w:w="936"/>
            <w:vAlign w:val="center"/>
            <w:tcMar>
              <w:top w:w="70" w:type="dxa"/>
              <w:start w:w="70" w:type="dxa"/>
              <w:bottom w:w="70" w:type="dxa"/>
              <w:end w:w="70" w:type="dxa"/>
            </w:tcMar>
          </w:tcPr>
          <w:p>
            <w:pPr>
              <w:spacing w:after="0" w:line="240" w:lineRule="auto"/>
              <w:jc w:val="center"/>
            </w:pPr>
            <w:r>
              <w:rPr>
                <w:b w:val="0"/>
                <w:i w:val="0"/>
                <w:sz w:val="15"/>
              </w:rPr>
              <w:t>0.161</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$110,308</w:t>
            </w:r>
          </w:p>
        </w:tc>
        <w:tc>
          <w:tcPr>
            <w:tcW w:type="dxa" w:w="1440"/>
            <w:vAlign w:val="center"/>
            <w:tcMar>
              <w:top w:w="70" w:type="dxa"/>
              <w:start w:w="70" w:type="dxa"/>
              <w:bottom w:w="70" w:type="dxa"/>
              <w:end w:w="70" w:type="dxa"/>
            </w:tcMar>
          </w:tcPr>
          <w:p>
            <w:pPr>
              <w:spacing w:after="0" w:line="240" w:lineRule="auto"/>
              <w:jc w:val="center"/>
            </w:pPr>
            <w:r>
              <w:rPr>
                <w:b w:val="0"/>
                <w:i w:val="0"/>
                <w:sz w:val="15"/>
              </w:rPr>
              <w:t>$141,210</w:t>
            </w:r>
          </w:p>
        </w:tc>
        <w:tc>
          <w:tcPr>
            <w:tcW w:type="dxa" w:w="3096"/>
            <w:vAlign w:val="center"/>
            <w:tcMar>
              <w:top w:w="70" w:type="dxa"/>
              <w:start w:w="70" w:type="dxa"/>
              <w:bottom w:w="70" w:type="dxa"/>
              <w:end w:w="70" w:type="dxa"/>
            </w:tcMar>
          </w:tcPr>
          <w:p>
            <w:pPr>
              <w:spacing w:after="0" w:line="240" w:lineRule="auto"/>
              <w:jc w:val="left"/>
            </w:pPr>
            <w:r>
              <w:rPr>
                <w:b w:val="0"/>
                <w:i w:val="0"/>
                <w:sz w:val="15"/>
              </w:rPr>
              <w:t>-$30,902 (95% CI -$95,512 to +$14,239)</w:t>
            </w:r>
          </w:p>
        </w:tc>
        <w:tc>
          <w:tcPr>
            <w:tcW w:type="dxa" w:w="936"/>
            <w:vAlign w:val="center"/>
            <w:tcMar>
              <w:top w:w="70" w:type="dxa"/>
              <w:start w:w="70" w:type="dxa"/>
              <w:bottom w:w="70" w:type="dxa"/>
              <w:end w:w="70" w:type="dxa"/>
            </w:tcMar>
          </w:tcPr>
          <w:p>
            <w:pPr>
              <w:spacing w:after="0" w:line="240" w:lineRule="auto"/>
              <w:jc w:val="center"/>
            </w:pPr>
            <w:r>
              <w:rPr>
                <w:b w:val="0"/>
                <w:i w:val="0"/>
                <w:sz w:val="15"/>
              </w:rPr>
              <w:t>0.224</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higher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$110,308</w:t>
            </w:r>
          </w:p>
        </w:tc>
        <w:tc>
          <w:tcPr>
            <w:tcW w:type="dxa" w:w="1440"/>
            <w:vAlign w:val="center"/>
            <w:tcMar>
              <w:top w:w="70" w:type="dxa"/>
              <w:start w:w="70" w:type="dxa"/>
              <w:bottom w:w="70" w:type="dxa"/>
              <w:end w:w="70" w:type="dxa"/>
            </w:tcMar>
          </w:tcPr>
          <w:p>
            <w:pPr>
              <w:spacing w:after="0" w:line="240" w:lineRule="auto"/>
              <w:jc w:val="center"/>
            </w:pPr>
            <w:r>
              <w:rPr>
                <w:b w:val="0"/>
                <w:i w:val="0"/>
                <w:sz w:val="15"/>
              </w:rPr>
              <w:t>$100,000</w:t>
            </w:r>
          </w:p>
        </w:tc>
        <w:tc>
          <w:tcPr>
            <w:tcW w:type="dxa" w:w="3096"/>
            <w:vAlign w:val="center"/>
            <w:tcMar>
              <w:top w:w="70" w:type="dxa"/>
              <w:start w:w="70" w:type="dxa"/>
              <w:bottom w:w="70" w:type="dxa"/>
              <w:end w:w="70" w:type="dxa"/>
            </w:tcMar>
          </w:tcPr>
          <w:p>
            <w:pPr>
              <w:spacing w:after="0" w:line="240" w:lineRule="auto"/>
              <w:jc w:val="left"/>
            </w:pPr>
            <w:r>
              <w:rPr>
                <w:b w:val="0"/>
                <w:i w:val="0"/>
                <w:sz w:val="15"/>
              </w:rPr>
              <w:t>+$10,308 (95% CI -$20,952 to +$41,476)</w:t>
            </w:r>
          </w:p>
        </w:tc>
        <w:tc>
          <w:tcPr>
            <w:tcW w:type="dxa" w:w="936"/>
            <w:vAlign w:val="center"/>
            <w:tcMar>
              <w:top w:w="70" w:type="dxa"/>
              <w:start w:w="70" w:type="dxa"/>
              <w:bottom w:w="70" w:type="dxa"/>
              <w:end w:w="70" w:type="dxa"/>
            </w:tcMar>
          </w:tcPr>
          <w:p>
            <w:pPr>
              <w:spacing w:after="0" w:line="240" w:lineRule="auto"/>
              <w:jc w:val="center"/>
            </w:pPr>
            <w:r>
              <w:rPr>
                <w:b w:val="0"/>
                <w:i w:val="0"/>
                <w:sz w:val="15"/>
              </w:rPr>
              <w:t>0.448</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$110,308</w:t>
            </w:r>
          </w:p>
        </w:tc>
        <w:tc>
          <w:tcPr>
            <w:tcW w:type="dxa" w:w="1440"/>
            <w:vAlign w:val="center"/>
            <w:tcMar>
              <w:top w:w="70" w:type="dxa"/>
              <w:start w:w="70" w:type="dxa"/>
              <w:bottom w:w="70" w:type="dxa"/>
              <w:end w:w="70" w:type="dxa"/>
            </w:tcMar>
          </w:tcPr>
          <w:p>
            <w:pPr>
              <w:spacing w:after="0" w:line="240" w:lineRule="auto"/>
              <w:jc w:val="center"/>
            </w:pPr>
            <w:r>
              <w:rPr>
                <w:b w:val="0"/>
                <w:i w:val="0"/>
                <w:sz w:val="15"/>
              </w:rPr>
              <w:t>$129,864</w:t>
            </w:r>
          </w:p>
        </w:tc>
        <w:tc>
          <w:tcPr>
            <w:tcW w:type="dxa" w:w="3096"/>
            <w:vAlign w:val="center"/>
            <w:tcMar>
              <w:top w:w="70" w:type="dxa"/>
              <w:start w:w="70" w:type="dxa"/>
              <w:bottom w:w="70" w:type="dxa"/>
              <w:end w:w="70" w:type="dxa"/>
            </w:tcMar>
          </w:tcPr>
          <w:p>
            <w:pPr>
              <w:spacing w:after="0" w:line="240" w:lineRule="auto"/>
              <w:jc w:val="left"/>
            </w:pPr>
            <w:r>
              <w:rPr>
                <w:b w:val="0"/>
                <w:i w:val="0"/>
                <w:sz w:val="15"/>
              </w:rPr>
              <w:t>-$19,556 (95% CI -$95,775 to +$26,776)</w:t>
            </w:r>
          </w:p>
        </w:tc>
        <w:tc>
          <w:tcPr>
            <w:tcW w:type="dxa" w:w="936"/>
            <w:vAlign w:val="center"/>
            <w:tcMar>
              <w:top w:w="70" w:type="dxa"/>
              <w:start w:w="70" w:type="dxa"/>
              <w:bottom w:w="70" w:type="dxa"/>
              <w:end w:w="70" w:type="dxa"/>
            </w:tcMar>
          </w:tcPr>
          <w:p>
            <w:pPr>
              <w:spacing w:after="0" w:line="240" w:lineRule="auto"/>
              <w:jc w:val="center"/>
            </w:pPr>
            <w:r>
              <w:rPr>
                <w:b w:val="0"/>
                <w:i w:val="0"/>
                <w:sz w:val="15"/>
              </w:rPr>
              <w:t>0.309</w:t>
            </w:r>
          </w:p>
        </w:tc>
      </w:tr>
    </w:tbl>
    <w:p>
      <w:pPr>
        <w:spacing w:after="80"/>
      </w:pPr>
      <w:r>
        <w:rPr>
          <w:i/>
        </w:rPr>
        <w:t>Figure 7. Total contributions (2022): typical reported dollars by region among organizations that reported positive total contributions.</w:t>
      </w:r>
    </w:p>
    <w:p>
      <w:pPr>
        <w:pStyle w:val="Heading3"/>
        <w:spacing w:before="160" w:after="80"/>
      </w:pPr>
      <w:r>
        <w:t>Government grants received</w:t>
      </w:r>
    </w:p>
    <w:p>
      <w:pPr>
        <w:spacing w:after="60"/>
        <w:jc w:val="center"/>
      </w:pPr>
      <w:r>
        <w:drawing>
          <wp:inline xmlns:a="http://schemas.openxmlformats.org/drawingml/2006/main" xmlns:pic="http://schemas.openxmlformats.org/drawingml/2006/picture">
            <wp:extent cx="6309360" cy="3494513"/>
            <wp:docPr id="5" name="Picture 5"/>
            <wp:cNvGraphicFramePr>
              <a:graphicFrameLocks noChangeAspect="1"/>
            </wp:cNvGraphicFramePr>
            <a:graphic>
              <a:graphicData uri="http://schemas.openxmlformats.org/drawingml/2006/picture">
                <pic:pic>
                  <pic:nvPicPr>
                    <pic:cNvPr id="0" name="client_2022_pairwise_positive_median_government_grants_received.png"/>
                    <pic:cNvPicPr/>
                  </pic:nvPicPr>
                  <pic:blipFill>
                    <a:blip r:embed="rId13"/>
                    <a:stretch>
                      <a:fillRect/>
                    </a:stretch>
                  </pic:blipFill>
                  <pic:spPr>
                    <a:xfrm>
                      <a:off x="0" y="0"/>
                      <a:ext cx="6309360" cy="3494513"/>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$163,367</w:t>
            </w:r>
          </w:p>
        </w:tc>
        <w:tc>
          <w:tcPr>
            <w:tcW w:type="dxa" w:w="1440"/>
            <w:vAlign w:val="center"/>
            <w:tcMar>
              <w:top w:w="70" w:type="dxa"/>
              <w:start w:w="70" w:type="dxa"/>
              <w:bottom w:w="70" w:type="dxa"/>
              <w:end w:w="70" w:type="dxa"/>
            </w:tcMar>
          </w:tcPr>
          <w:p>
            <w:pPr>
              <w:spacing w:after="0" w:line="240" w:lineRule="auto"/>
              <w:jc w:val="center"/>
            </w:pPr>
            <w:r>
              <w:rPr>
                <w:b w:val="0"/>
                <w:i w:val="0"/>
                <w:sz w:val="15"/>
              </w:rPr>
              <w:t>$274,793</w:t>
            </w:r>
          </w:p>
        </w:tc>
        <w:tc>
          <w:tcPr>
            <w:tcW w:type="dxa" w:w="3096"/>
            <w:vAlign w:val="center"/>
            <w:tcMar>
              <w:top w:w="70" w:type="dxa"/>
              <w:start w:w="70" w:type="dxa"/>
              <w:bottom w:w="70" w:type="dxa"/>
              <w:end w:w="70" w:type="dxa"/>
            </w:tcMar>
          </w:tcPr>
          <w:p>
            <w:pPr>
              <w:spacing w:after="0" w:line="240" w:lineRule="auto"/>
              <w:jc w:val="left"/>
            </w:pPr>
            <w:r>
              <w:rPr>
                <w:b w:val="0"/>
                <w:i w:val="0"/>
                <w:sz w:val="15"/>
              </w:rPr>
              <w:t>-$111,426 (95% CI -$345,341 to +$7,163)</w:t>
            </w:r>
          </w:p>
        </w:tc>
        <w:tc>
          <w:tcPr>
            <w:tcW w:type="dxa" w:w="936"/>
            <w:vAlign w:val="center"/>
            <w:tcMar>
              <w:top w:w="70" w:type="dxa"/>
              <w:start w:w="70" w:type="dxa"/>
              <w:bottom w:w="70" w:type="dxa"/>
              <w:end w:w="70" w:type="dxa"/>
            </w:tcMar>
          </w:tcPr>
          <w:p>
            <w:pPr>
              <w:spacing w:after="0" w:line="240" w:lineRule="auto"/>
              <w:jc w:val="center"/>
            </w:pPr>
            <w:r>
              <w:rPr>
                <w:b w:val="0"/>
                <w:i w:val="0"/>
                <w:sz w:val="15"/>
              </w:rPr>
              <w:t>0.043</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$163,367</w:t>
            </w:r>
          </w:p>
        </w:tc>
        <w:tc>
          <w:tcPr>
            <w:tcW w:type="dxa" w:w="1440"/>
            <w:vAlign w:val="center"/>
            <w:tcMar>
              <w:top w:w="70" w:type="dxa"/>
              <w:start w:w="70" w:type="dxa"/>
              <w:bottom w:w="70" w:type="dxa"/>
              <w:end w:w="70" w:type="dxa"/>
            </w:tcMar>
          </w:tcPr>
          <w:p>
            <w:pPr>
              <w:spacing w:after="0" w:line="240" w:lineRule="auto"/>
              <w:jc w:val="center"/>
            </w:pPr>
            <w:r>
              <w:rPr>
                <w:b w:val="0"/>
                <w:i w:val="0"/>
                <w:sz w:val="15"/>
              </w:rPr>
              <w:t>$468,152</w:t>
            </w:r>
          </w:p>
        </w:tc>
        <w:tc>
          <w:tcPr>
            <w:tcW w:type="dxa" w:w="3096"/>
            <w:vAlign w:val="center"/>
            <w:tcMar>
              <w:top w:w="70" w:type="dxa"/>
              <w:start w:w="70" w:type="dxa"/>
              <w:bottom w:w="70" w:type="dxa"/>
              <w:end w:w="70" w:type="dxa"/>
            </w:tcMar>
          </w:tcPr>
          <w:p>
            <w:pPr>
              <w:spacing w:after="0" w:line="240" w:lineRule="auto"/>
              <w:jc w:val="left"/>
            </w:pPr>
            <w:r>
              <w:rPr>
                <w:b w:val="0"/>
                <w:i w:val="0"/>
                <w:sz w:val="15"/>
              </w:rPr>
              <w:t>-$304,785 (95% CI -$817,302 to -$131,168)</w:t>
            </w:r>
          </w:p>
        </w:tc>
        <w:tc>
          <w:tcPr>
            <w:tcW w:type="dxa" w:w="936"/>
            <w:vAlign w:val="center"/>
            <w:tcMar>
              <w:top w:w="70" w:type="dxa"/>
              <w:start w:w="70" w:type="dxa"/>
              <w:bottom w:w="70" w:type="dxa"/>
              <w:end w:w="70" w:type="dxa"/>
            </w:tcMar>
          </w:tcPr>
          <w:p>
            <w:pPr>
              <w:spacing w:after="0" w:line="240" w:lineRule="auto"/>
              <w:jc w:val="center"/>
            </w:pPr>
            <w:r>
              <w:rPr>
                <w:b w:val="0"/>
                <w:i w:val="0"/>
                <w:sz w:val="15"/>
              </w:rPr>
              <w:t>0.003</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$163,367</w:t>
            </w:r>
          </w:p>
        </w:tc>
        <w:tc>
          <w:tcPr>
            <w:tcW w:type="dxa" w:w="1440"/>
            <w:vAlign w:val="center"/>
            <w:tcMar>
              <w:top w:w="70" w:type="dxa"/>
              <w:start w:w="70" w:type="dxa"/>
              <w:bottom w:w="70" w:type="dxa"/>
              <w:end w:w="70" w:type="dxa"/>
            </w:tcMar>
          </w:tcPr>
          <w:p>
            <w:pPr>
              <w:spacing w:after="0" w:line="240" w:lineRule="auto"/>
              <w:jc w:val="center"/>
            </w:pPr>
            <w:r>
              <w:rPr>
                <w:b w:val="0"/>
                <w:i w:val="0"/>
                <w:sz w:val="15"/>
              </w:rPr>
              <w:t>$204,951</w:t>
            </w:r>
          </w:p>
        </w:tc>
        <w:tc>
          <w:tcPr>
            <w:tcW w:type="dxa" w:w="3096"/>
            <w:vAlign w:val="center"/>
            <w:tcMar>
              <w:top w:w="70" w:type="dxa"/>
              <w:start w:w="70" w:type="dxa"/>
              <w:bottom w:w="70" w:type="dxa"/>
              <w:end w:w="70" w:type="dxa"/>
            </w:tcMar>
          </w:tcPr>
          <w:p>
            <w:pPr>
              <w:spacing w:after="0" w:line="240" w:lineRule="auto"/>
              <w:jc w:val="left"/>
            </w:pPr>
            <w:r>
              <w:rPr>
                <w:b w:val="0"/>
                <w:i w:val="0"/>
                <w:sz w:val="15"/>
              </w:rPr>
              <w:t>-$41,584 (95% CI -$156,414 to +$89,266)</w:t>
            </w:r>
          </w:p>
        </w:tc>
        <w:tc>
          <w:tcPr>
            <w:tcW w:type="dxa" w:w="936"/>
            <w:vAlign w:val="center"/>
            <w:tcMar>
              <w:top w:w="70" w:type="dxa"/>
              <w:start w:w="70" w:type="dxa"/>
              <w:bottom w:w="70" w:type="dxa"/>
              <w:end w:w="70" w:type="dxa"/>
            </w:tcMar>
          </w:tcPr>
          <w:p>
            <w:pPr>
              <w:spacing w:after="0" w:line="240" w:lineRule="auto"/>
              <w:jc w:val="center"/>
            </w:pPr>
            <w:r>
              <w:rPr>
                <w:b w:val="0"/>
                <w:i w:val="0"/>
                <w:sz w:val="15"/>
              </w:rPr>
              <w:t>0.507</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$163,367</w:t>
            </w:r>
          </w:p>
        </w:tc>
        <w:tc>
          <w:tcPr>
            <w:tcW w:type="dxa" w:w="1440"/>
            <w:vAlign w:val="center"/>
            <w:tcMar>
              <w:top w:w="70" w:type="dxa"/>
              <w:start w:w="70" w:type="dxa"/>
              <w:bottom w:w="70" w:type="dxa"/>
              <w:end w:w="70" w:type="dxa"/>
            </w:tcMar>
          </w:tcPr>
          <w:p>
            <w:pPr>
              <w:spacing w:after="0" w:line="240" w:lineRule="auto"/>
              <w:jc w:val="center"/>
            </w:pPr>
            <w:r>
              <w:rPr>
                <w:b w:val="0"/>
                <w:i w:val="0"/>
                <w:sz w:val="15"/>
              </w:rPr>
              <w:t>$216,446</w:t>
            </w:r>
          </w:p>
        </w:tc>
        <w:tc>
          <w:tcPr>
            <w:tcW w:type="dxa" w:w="3096"/>
            <w:vAlign w:val="center"/>
            <w:tcMar>
              <w:top w:w="70" w:type="dxa"/>
              <w:start w:w="70" w:type="dxa"/>
              <w:bottom w:w="70" w:type="dxa"/>
              <w:end w:w="70" w:type="dxa"/>
            </w:tcMar>
          </w:tcPr>
          <w:p>
            <w:pPr>
              <w:spacing w:after="0" w:line="240" w:lineRule="auto"/>
              <w:jc w:val="left"/>
            </w:pPr>
            <w:r>
              <w:rPr>
                <w:b w:val="0"/>
                <w:i w:val="0"/>
                <w:sz w:val="15"/>
              </w:rPr>
              <w:t>-$53,078 (95% CI -$292,032 to +$26,850)</w:t>
            </w:r>
          </w:p>
        </w:tc>
        <w:tc>
          <w:tcPr>
            <w:tcW w:type="dxa" w:w="936"/>
            <w:vAlign w:val="center"/>
            <w:tcMar>
              <w:top w:w="70" w:type="dxa"/>
              <w:start w:w="70" w:type="dxa"/>
              <w:bottom w:w="70" w:type="dxa"/>
              <w:end w:w="70" w:type="dxa"/>
            </w:tcMar>
          </w:tcPr>
          <w:p>
            <w:pPr>
              <w:spacing w:after="0" w:line="240" w:lineRule="auto"/>
              <w:jc w:val="center"/>
            </w:pPr>
            <w:r>
              <w:rPr>
                <w:b w:val="0"/>
                <w:i w:val="0"/>
                <w:sz w:val="15"/>
              </w:rPr>
              <w:t>0.197</w:t>
            </w:r>
          </w:p>
        </w:tc>
      </w:tr>
    </w:tbl>
    <w:p>
      <w:pPr>
        <w:spacing w:after="80"/>
      </w:pPr>
      <w:r>
        <w:rPr>
          <w:i/>
        </w:rPr>
        <w:t>Figure 8. Government grants received (2022): typical reported dollars by region among organizations that reported positive government grants.</w:t>
      </w:r>
    </w:p>
    <w:p>
      <w:pPr>
        <w:pStyle w:val="Heading3"/>
        <w:spacing w:before="160" w:after="80"/>
      </w:pPr>
      <w:r>
        <w:t>Federated campaign contributions</w:t>
      </w:r>
    </w:p>
    <w:p>
      <w:pPr>
        <w:spacing w:after="60"/>
        <w:jc w:val="center"/>
      </w:pPr>
      <w:r>
        <w:drawing>
          <wp:inline xmlns:a="http://schemas.openxmlformats.org/drawingml/2006/main" xmlns:pic="http://schemas.openxmlformats.org/drawingml/2006/picture">
            <wp:extent cx="6309360" cy="3494513"/>
            <wp:docPr id="6" name="Picture 6"/>
            <wp:cNvGraphicFramePr>
              <a:graphicFrameLocks noChangeAspect="1"/>
            </wp:cNvGraphicFramePr>
            <a:graphic>
              <a:graphicData uri="http://schemas.openxmlformats.org/drawingml/2006/picture">
                <pic:pic>
                  <pic:nvPicPr>
                    <pic:cNvPr id="0" name="client_2022_pairwise_positive_median_federated_campaigns.png"/>
                    <pic:cNvPicPr/>
                  </pic:nvPicPr>
                  <pic:blipFill>
                    <a:blip r:embed="rId14"/>
                    <a:stretch>
                      <a:fillRect/>
                    </a:stretch>
                  </pic:blipFill>
                  <pic:spPr>
                    <a:xfrm>
                      <a:off x="0" y="0"/>
                      <a:ext cx="6309360" cy="3494513"/>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$30,096</w:t>
            </w:r>
          </w:p>
        </w:tc>
        <w:tc>
          <w:tcPr>
            <w:tcW w:type="dxa" w:w="1440"/>
            <w:vAlign w:val="center"/>
            <w:tcMar>
              <w:top w:w="70" w:type="dxa"/>
              <w:start w:w="70" w:type="dxa"/>
              <w:bottom w:w="70" w:type="dxa"/>
              <w:end w:w="70" w:type="dxa"/>
            </w:tcMar>
          </w:tcPr>
          <w:p>
            <w:pPr>
              <w:spacing w:after="0" w:line="240" w:lineRule="auto"/>
              <w:jc w:val="center"/>
            </w:pPr>
            <w:r>
              <w:rPr>
                <w:b w:val="0"/>
                <w:i w:val="0"/>
                <w:sz w:val="15"/>
              </w:rPr>
              <w:t>$37,500</w:t>
            </w:r>
          </w:p>
        </w:tc>
        <w:tc>
          <w:tcPr>
            <w:tcW w:type="dxa" w:w="3096"/>
            <w:vAlign w:val="center"/>
            <w:tcMar>
              <w:top w:w="70" w:type="dxa"/>
              <w:start w:w="70" w:type="dxa"/>
              <w:bottom w:w="70" w:type="dxa"/>
              <w:end w:w="70" w:type="dxa"/>
            </w:tcMar>
          </w:tcPr>
          <w:p>
            <w:pPr>
              <w:spacing w:after="0" w:line="240" w:lineRule="auto"/>
              <w:jc w:val="left"/>
            </w:pPr>
            <w:r>
              <w:rPr>
                <w:b w:val="0"/>
                <w:i w:val="0"/>
                <w:sz w:val="15"/>
              </w:rPr>
              <w:t>-$7,404 (95% CI -$41,337 to +$36,319)</w:t>
            </w:r>
          </w:p>
        </w:tc>
        <w:tc>
          <w:tcPr>
            <w:tcW w:type="dxa" w:w="936"/>
            <w:vAlign w:val="center"/>
            <w:tcMar>
              <w:top w:w="70" w:type="dxa"/>
              <w:start w:w="70" w:type="dxa"/>
              <w:bottom w:w="70" w:type="dxa"/>
              <w:end w:w="70" w:type="dxa"/>
            </w:tcMar>
          </w:tcPr>
          <w:p>
            <w:pPr>
              <w:spacing w:after="0" w:line="240" w:lineRule="auto"/>
              <w:jc w:val="center"/>
            </w:pPr>
            <w:r>
              <w:rPr>
                <w:b w:val="0"/>
                <w:i w:val="0"/>
                <w:sz w:val="15"/>
              </w:rPr>
              <w:t>0.688</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higher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$30,096</w:t>
            </w:r>
          </w:p>
        </w:tc>
        <w:tc>
          <w:tcPr>
            <w:tcW w:type="dxa" w:w="1440"/>
            <w:vAlign w:val="center"/>
            <w:tcMar>
              <w:top w:w="70" w:type="dxa"/>
              <w:start w:w="70" w:type="dxa"/>
              <w:bottom w:w="70" w:type="dxa"/>
              <w:end w:w="70" w:type="dxa"/>
            </w:tcMar>
          </w:tcPr>
          <w:p>
            <w:pPr>
              <w:spacing w:after="0" w:line="240" w:lineRule="auto"/>
              <w:jc w:val="center"/>
            </w:pPr>
            <w:r>
              <w:rPr>
                <w:b w:val="0"/>
                <w:i w:val="0"/>
                <w:sz w:val="15"/>
              </w:rPr>
              <w:t>$2,561</w:t>
            </w:r>
          </w:p>
        </w:tc>
        <w:tc>
          <w:tcPr>
            <w:tcW w:type="dxa" w:w="3096"/>
            <w:vAlign w:val="center"/>
            <w:tcMar>
              <w:top w:w="70" w:type="dxa"/>
              <w:start w:w="70" w:type="dxa"/>
              <w:bottom w:w="70" w:type="dxa"/>
              <w:end w:w="70" w:type="dxa"/>
            </w:tcMar>
          </w:tcPr>
          <w:p>
            <w:pPr>
              <w:spacing w:after="0" w:line="240" w:lineRule="auto"/>
              <w:jc w:val="left"/>
            </w:pPr>
            <w:r>
              <w:rPr>
                <w:b w:val="0"/>
                <w:i w:val="0"/>
                <w:sz w:val="15"/>
              </w:rPr>
              <w:t>+$27,535 (95% CI -$50,214 to +$38,331)</w:t>
            </w:r>
          </w:p>
        </w:tc>
        <w:tc>
          <w:tcPr>
            <w:tcW w:type="dxa" w:w="936"/>
            <w:vAlign w:val="center"/>
            <w:tcMar>
              <w:top w:w="70" w:type="dxa"/>
              <w:start w:w="70" w:type="dxa"/>
              <w:bottom w:w="70" w:type="dxa"/>
              <w:end w:w="70" w:type="dxa"/>
            </w:tcMar>
          </w:tcPr>
          <w:p>
            <w:pPr>
              <w:spacing w:after="0" w:line="240" w:lineRule="auto"/>
              <w:jc w:val="center"/>
            </w:pPr>
            <w:r>
              <w:rPr>
                <w:b w:val="0"/>
                <w:i w:val="0"/>
                <w:sz w:val="15"/>
              </w:rPr>
              <w:t>0.179</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$30,096</w:t>
            </w:r>
          </w:p>
        </w:tc>
        <w:tc>
          <w:tcPr>
            <w:tcW w:type="dxa" w:w="1440"/>
            <w:vAlign w:val="center"/>
            <w:tcMar>
              <w:top w:w="70" w:type="dxa"/>
              <w:start w:w="70" w:type="dxa"/>
              <w:bottom w:w="70" w:type="dxa"/>
              <w:end w:w="70" w:type="dxa"/>
            </w:tcMar>
          </w:tcPr>
          <w:p>
            <w:pPr>
              <w:spacing w:after="0" w:line="240" w:lineRule="auto"/>
              <w:jc w:val="center"/>
            </w:pPr>
            <w:r>
              <w:rPr>
                <w:b w:val="0"/>
                <w:i w:val="0"/>
                <w:sz w:val="15"/>
              </w:rPr>
              <w:t>$150,655</w:t>
            </w:r>
          </w:p>
        </w:tc>
        <w:tc>
          <w:tcPr>
            <w:tcW w:type="dxa" w:w="3096"/>
            <w:vAlign w:val="center"/>
            <w:tcMar>
              <w:top w:w="70" w:type="dxa"/>
              <w:start w:w="70" w:type="dxa"/>
              <w:bottom w:w="70" w:type="dxa"/>
              <w:end w:w="70" w:type="dxa"/>
            </w:tcMar>
          </w:tcPr>
          <w:p>
            <w:pPr>
              <w:spacing w:after="0" w:line="240" w:lineRule="auto"/>
              <w:jc w:val="left"/>
            </w:pPr>
            <w:r>
              <w:rPr>
                <w:b w:val="0"/>
                <w:i w:val="0"/>
                <w:sz w:val="15"/>
              </w:rPr>
              <w:t>-$120,559 (95% CI -$251,704 to -$58,041)</w:t>
            </w:r>
          </w:p>
        </w:tc>
        <w:tc>
          <w:tcPr>
            <w:tcW w:type="dxa" w:w="936"/>
            <w:vAlign w:val="center"/>
            <w:tcMar>
              <w:top w:w="70" w:type="dxa"/>
              <w:start w:w="70" w:type="dxa"/>
              <w:bottom w:w="70" w:type="dxa"/>
              <w:end w:w="70" w:type="dxa"/>
            </w:tcMar>
          </w:tcPr>
          <w:p>
            <w:pPr>
              <w:spacing w:after="0" w:line="240" w:lineRule="auto"/>
              <w:jc w:val="center"/>
            </w:pPr>
            <w:r>
              <w:rPr>
                <w:b w:val="0"/>
                <w:i w:val="0"/>
                <w:sz w:val="15"/>
              </w:rPr>
              <w:t>0.005</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higher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$30,096</w:t>
            </w:r>
          </w:p>
        </w:tc>
        <w:tc>
          <w:tcPr>
            <w:tcW w:type="dxa" w:w="1440"/>
            <w:vAlign w:val="center"/>
            <w:tcMar>
              <w:top w:w="70" w:type="dxa"/>
              <w:start w:w="70" w:type="dxa"/>
              <w:bottom w:w="70" w:type="dxa"/>
              <w:end w:w="70" w:type="dxa"/>
            </w:tcMar>
          </w:tcPr>
          <w:p>
            <w:pPr>
              <w:spacing w:after="0" w:line="240" w:lineRule="auto"/>
              <w:jc w:val="center"/>
            </w:pPr>
            <w:r>
              <w:rPr>
                <w:b w:val="0"/>
                <w:i w:val="0"/>
                <w:sz w:val="15"/>
              </w:rPr>
              <w:t>$26,475</w:t>
            </w:r>
          </w:p>
        </w:tc>
        <w:tc>
          <w:tcPr>
            <w:tcW w:type="dxa" w:w="3096"/>
            <w:vAlign w:val="center"/>
            <w:tcMar>
              <w:top w:w="70" w:type="dxa"/>
              <w:start w:w="70" w:type="dxa"/>
              <w:bottom w:w="70" w:type="dxa"/>
              <w:end w:w="70" w:type="dxa"/>
            </w:tcMar>
          </w:tcPr>
          <w:p>
            <w:pPr>
              <w:spacing w:after="0" w:line="240" w:lineRule="auto"/>
              <w:jc w:val="left"/>
            </w:pPr>
            <w:r>
              <w:rPr>
                <w:b w:val="0"/>
                <w:i w:val="0"/>
                <w:sz w:val="15"/>
              </w:rPr>
              <w:t>+$3,621 (95% CI -$374,904 to +$29,973)</w:t>
            </w:r>
          </w:p>
        </w:tc>
        <w:tc>
          <w:tcPr>
            <w:tcW w:type="dxa" w:w="936"/>
            <w:vAlign w:val="center"/>
            <w:tcMar>
              <w:top w:w="70" w:type="dxa"/>
              <w:start w:w="70" w:type="dxa"/>
              <w:bottom w:w="70" w:type="dxa"/>
              <w:end w:w="70" w:type="dxa"/>
            </w:tcMar>
          </w:tcPr>
          <w:p>
            <w:pPr>
              <w:spacing w:after="0" w:line="240" w:lineRule="auto"/>
              <w:jc w:val="center"/>
            </w:pPr>
            <w:r>
              <w:rPr>
                <w:b w:val="0"/>
                <w:i w:val="0"/>
                <w:sz w:val="15"/>
              </w:rPr>
              <w:t>0.819</w:t>
            </w:r>
          </w:p>
        </w:tc>
      </w:tr>
    </w:tbl>
    <w:p>
      <w:pPr>
        <w:spacing w:after="80"/>
      </w:pPr>
      <w:r>
        <w:rPr>
          <w:i/>
        </w:rPr>
        <w:t>Figure 9. Federated campaign contributions (2022): typical reported dollars by region among organizations that reported positive federated campaign contributions.</w:t>
      </w:r>
    </w:p>
    <w:p>
      <w:pPr>
        <w:pStyle w:val="Heading3"/>
        <w:spacing w:before="160" w:after="80"/>
      </w:pPr>
      <w:r>
        <w:t>Related organization contributions</w:t>
      </w:r>
    </w:p>
    <w:p>
      <w:pPr>
        <w:spacing w:after="60"/>
        <w:jc w:val="center"/>
      </w:pPr>
      <w:r>
        <w:drawing>
          <wp:inline xmlns:a="http://schemas.openxmlformats.org/drawingml/2006/main" xmlns:pic="http://schemas.openxmlformats.org/drawingml/2006/picture">
            <wp:extent cx="6309360" cy="3492739"/>
            <wp:docPr id="7" name="Picture 7"/>
            <wp:cNvGraphicFramePr>
              <a:graphicFrameLocks noChangeAspect="1"/>
            </wp:cNvGraphicFramePr>
            <a:graphic>
              <a:graphicData uri="http://schemas.openxmlformats.org/drawingml/2006/picture">
                <pic:pic>
                  <pic:nvPicPr>
                    <pic:cNvPr id="0" name="client_2022_pairwise_positive_median_related_org_contributions.png"/>
                    <pic:cNvPicPr/>
                  </pic:nvPicPr>
                  <pic:blipFill>
                    <a:blip r:embed="rId15"/>
                    <a:stretch>
                      <a:fillRect/>
                    </a:stretch>
                  </pic:blipFill>
                  <pic:spPr>
                    <a:xfrm>
                      <a:off x="0" y="0"/>
                      <a:ext cx="6309360" cy="3492739"/>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higher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$65,109</w:t>
            </w:r>
          </w:p>
        </w:tc>
        <w:tc>
          <w:tcPr>
            <w:tcW w:type="dxa" w:w="1440"/>
            <w:vAlign w:val="center"/>
            <w:tcMar>
              <w:top w:w="70" w:type="dxa"/>
              <w:start w:w="70" w:type="dxa"/>
              <w:bottom w:w="70" w:type="dxa"/>
              <w:end w:w="70" w:type="dxa"/>
            </w:tcMar>
          </w:tcPr>
          <w:p>
            <w:pPr>
              <w:spacing w:after="0" w:line="240" w:lineRule="auto"/>
              <w:jc w:val="center"/>
            </w:pPr>
            <w:r>
              <w:rPr>
                <w:b w:val="0"/>
                <w:i w:val="0"/>
                <w:sz w:val="15"/>
              </w:rPr>
              <w:t>$43,000</w:t>
            </w:r>
          </w:p>
        </w:tc>
        <w:tc>
          <w:tcPr>
            <w:tcW w:type="dxa" w:w="3096"/>
            <w:vAlign w:val="center"/>
            <w:tcMar>
              <w:top w:w="70" w:type="dxa"/>
              <w:start w:w="70" w:type="dxa"/>
              <w:bottom w:w="70" w:type="dxa"/>
              <w:end w:w="70" w:type="dxa"/>
            </w:tcMar>
          </w:tcPr>
          <w:p>
            <w:pPr>
              <w:spacing w:after="0" w:line="240" w:lineRule="auto"/>
              <w:jc w:val="left"/>
            </w:pPr>
            <w:r>
              <w:rPr>
                <w:b w:val="0"/>
                <w:i w:val="0"/>
                <w:sz w:val="15"/>
              </w:rPr>
              <w:t>+$22,109 (95% CI -$205,000 to +$1,417,018)</w:t>
            </w:r>
          </w:p>
        </w:tc>
        <w:tc>
          <w:tcPr>
            <w:tcW w:type="dxa" w:w="936"/>
            <w:vAlign w:val="center"/>
            <w:tcMar>
              <w:top w:w="70" w:type="dxa"/>
              <w:start w:w="70" w:type="dxa"/>
              <w:bottom w:w="70" w:type="dxa"/>
              <w:end w:w="70" w:type="dxa"/>
            </w:tcMar>
          </w:tcPr>
          <w:p>
            <w:pPr>
              <w:spacing w:after="0" w:line="240" w:lineRule="auto"/>
              <w:jc w:val="center"/>
            </w:pPr>
            <w:r>
              <w:rPr>
                <w:b w:val="0"/>
                <w:i w:val="0"/>
                <w:sz w:val="15"/>
              </w:rPr>
              <w:t>0.627</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$65,109</w:t>
            </w:r>
          </w:p>
        </w:tc>
        <w:tc>
          <w:tcPr>
            <w:tcW w:type="dxa" w:w="1440"/>
            <w:vAlign w:val="center"/>
            <w:tcMar>
              <w:top w:w="70" w:type="dxa"/>
              <w:start w:w="70" w:type="dxa"/>
              <w:bottom w:w="70" w:type="dxa"/>
              <w:end w:w="70" w:type="dxa"/>
            </w:tcMar>
          </w:tcPr>
          <w:p>
            <w:pPr>
              <w:spacing w:after="0" w:line="240" w:lineRule="auto"/>
              <w:jc w:val="center"/>
            </w:pPr>
            <w:r>
              <w:rPr>
                <w:b w:val="0"/>
                <w:i w:val="0"/>
                <w:sz w:val="15"/>
              </w:rPr>
              <w:t>$310,812</w:t>
            </w:r>
          </w:p>
        </w:tc>
        <w:tc>
          <w:tcPr>
            <w:tcW w:type="dxa" w:w="3096"/>
            <w:vAlign w:val="center"/>
            <w:tcMar>
              <w:top w:w="70" w:type="dxa"/>
              <w:start w:w="70" w:type="dxa"/>
              <w:bottom w:w="70" w:type="dxa"/>
              <w:end w:w="70" w:type="dxa"/>
            </w:tcMar>
          </w:tcPr>
          <w:p>
            <w:pPr>
              <w:spacing w:after="0" w:line="240" w:lineRule="auto"/>
              <w:jc w:val="left"/>
            </w:pPr>
            <w:r>
              <w:rPr>
                <w:b w:val="0"/>
                <w:i w:val="0"/>
                <w:sz w:val="15"/>
              </w:rPr>
              <w:t>-$245,703 (95% CI -$573,240 to +$1,112,196)</w:t>
            </w:r>
          </w:p>
        </w:tc>
        <w:tc>
          <w:tcPr>
            <w:tcW w:type="dxa" w:w="936"/>
            <w:vAlign w:val="center"/>
            <w:tcMar>
              <w:top w:w="70" w:type="dxa"/>
              <w:start w:w="70" w:type="dxa"/>
              <w:bottom w:w="70" w:type="dxa"/>
              <w:end w:w="70" w:type="dxa"/>
            </w:tcMar>
          </w:tcPr>
          <w:p>
            <w:pPr>
              <w:spacing w:after="0" w:line="240" w:lineRule="auto"/>
              <w:jc w:val="center"/>
            </w:pPr>
            <w:r>
              <w:rPr>
                <w:b w:val="0"/>
                <w:i w:val="0"/>
                <w:sz w:val="15"/>
              </w:rPr>
              <w:t>0.126</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$65,109</w:t>
            </w:r>
          </w:p>
        </w:tc>
        <w:tc>
          <w:tcPr>
            <w:tcW w:type="dxa" w:w="1440"/>
            <w:vAlign w:val="center"/>
            <w:tcMar>
              <w:top w:w="70" w:type="dxa"/>
              <w:start w:w="70" w:type="dxa"/>
              <w:bottom w:w="70" w:type="dxa"/>
              <w:end w:w="70" w:type="dxa"/>
            </w:tcMar>
          </w:tcPr>
          <w:p>
            <w:pPr>
              <w:spacing w:after="0" w:line="240" w:lineRule="auto"/>
              <w:jc w:val="center"/>
            </w:pPr>
            <w:r>
              <w:rPr>
                <w:b w:val="0"/>
                <w:i w:val="0"/>
                <w:sz w:val="15"/>
              </w:rPr>
              <w:t>$233,400</w:t>
            </w:r>
          </w:p>
        </w:tc>
        <w:tc>
          <w:tcPr>
            <w:tcW w:type="dxa" w:w="3096"/>
            <w:vAlign w:val="center"/>
            <w:tcMar>
              <w:top w:w="70" w:type="dxa"/>
              <w:start w:w="70" w:type="dxa"/>
              <w:bottom w:w="70" w:type="dxa"/>
              <w:end w:w="70" w:type="dxa"/>
            </w:tcMar>
          </w:tcPr>
          <w:p>
            <w:pPr>
              <w:spacing w:after="0" w:line="240" w:lineRule="auto"/>
              <w:jc w:val="left"/>
            </w:pPr>
            <w:r>
              <w:rPr>
                <w:b w:val="0"/>
                <w:i w:val="0"/>
                <w:sz w:val="15"/>
              </w:rPr>
              <w:t>-$168,291 (95% CI -$1,493,390 to +$1,137,398)</w:t>
            </w:r>
          </w:p>
        </w:tc>
        <w:tc>
          <w:tcPr>
            <w:tcW w:type="dxa" w:w="936"/>
            <w:vAlign w:val="center"/>
            <w:tcMar>
              <w:top w:w="70" w:type="dxa"/>
              <w:start w:w="70" w:type="dxa"/>
              <w:bottom w:w="70" w:type="dxa"/>
              <w:end w:w="70" w:type="dxa"/>
            </w:tcMar>
          </w:tcPr>
          <w:p>
            <w:pPr>
              <w:spacing w:after="0" w:line="240" w:lineRule="auto"/>
              <w:jc w:val="center"/>
            </w:pPr>
            <w:r>
              <w:rPr>
                <w:b w:val="0"/>
                <w:i w:val="0"/>
                <w:sz w:val="15"/>
              </w:rPr>
              <w:t>0.203</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$65,109</w:t>
            </w:r>
          </w:p>
        </w:tc>
        <w:tc>
          <w:tcPr>
            <w:tcW w:type="dxa" w:w="1440"/>
            <w:vAlign w:val="center"/>
            <w:tcMar>
              <w:top w:w="70" w:type="dxa"/>
              <w:start w:w="70" w:type="dxa"/>
              <w:bottom w:w="70" w:type="dxa"/>
              <w:end w:w="70" w:type="dxa"/>
            </w:tcMar>
          </w:tcPr>
          <w:p>
            <w:pPr>
              <w:spacing w:after="0" w:line="240" w:lineRule="auto"/>
              <w:jc w:val="center"/>
            </w:pPr>
            <w:r>
              <w:rPr>
                <w:b w:val="0"/>
                <w:i w:val="0"/>
                <w:sz w:val="15"/>
              </w:rPr>
              <w:t>$977,600</w:t>
            </w:r>
          </w:p>
        </w:tc>
        <w:tc>
          <w:tcPr>
            <w:tcW w:type="dxa" w:w="3096"/>
            <w:vAlign w:val="center"/>
            <w:tcMar>
              <w:top w:w="70" w:type="dxa"/>
              <w:start w:w="70" w:type="dxa"/>
              <w:bottom w:w="70" w:type="dxa"/>
              <w:end w:w="70" w:type="dxa"/>
            </w:tcMar>
          </w:tcPr>
          <w:p>
            <w:pPr>
              <w:spacing w:after="0" w:line="240" w:lineRule="auto"/>
              <w:jc w:val="left"/>
            </w:pPr>
            <w:r>
              <w:rPr>
                <w:b w:val="0"/>
                <w:i w:val="0"/>
                <w:sz w:val="15"/>
              </w:rPr>
              <w:t>-$912,491 (95% CI -$3,371,000 to +$150,595)</w:t>
            </w:r>
          </w:p>
        </w:tc>
        <w:tc>
          <w:tcPr>
            <w:tcW w:type="dxa" w:w="936"/>
            <w:vAlign w:val="center"/>
            <w:tcMar>
              <w:top w:w="70" w:type="dxa"/>
              <w:start w:w="70" w:type="dxa"/>
              <w:bottom w:w="70" w:type="dxa"/>
              <w:end w:w="70" w:type="dxa"/>
            </w:tcMar>
          </w:tcPr>
          <w:p>
            <w:pPr>
              <w:spacing w:after="0" w:line="240" w:lineRule="auto"/>
              <w:jc w:val="center"/>
            </w:pPr>
            <w:r>
              <w:rPr>
                <w:b w:val="0"/>
                <w:i w:val="0"/>
                <w:sz w:val="15"/>
              </w:rPr>
              <w:t>0.173</w:t>
            </w:r>
          </w:p>
        </w:tc>
      </w:tr>
    </w:tbl>
    <w:p>
      <w:pPr>
        <w:spacing w:after="80"/>
      </w:pPr>
      <w:r>
        <w:rPr>
          <w:i/>
        </w:rPr>
        <w:t>Figure 10. Related organization contributions (2022): typical reported dollars by region among organizations that reported positive related-organization contributions.</w:t>
      </w:r>
    </w:p>
    <w:p>
      <w:pPr>
        <w:pStyle w:val="Heading3"/>
        <w:spacing w:before="160" w:after="80"/>
      </w:pPr>
      <w:r>
        <w:t>Membership dues</w:t>
      </w:r>
    </w:p>
    <w:p>
      <w:pPr>
        <w:spacing w:after="60"/>
        <w:jc w:val="center"/>
      </w:pPr>
      <w:r>
        <w:drawing>
          <wp:inline xmlns:a="http://schemas.openxmlformats.org/drawingml/2006/main" xmlns:pic="http://schemas.openxmlformats.org/drawingml/2006/picture">
            <wp:extent cx="6309360" cy="3492739"/>
            <wp:docPr id="8" name="Picture 8"/>
            <wp:cNvGraphicFramePr>
              <a:graphicFrameLocks noChangeAspect="1"/>
            </wp:cNvGraphicFramePr>
            <a:graphic>
              <a:graphicData uri="http://schemas.openxmlformats.org/drawingml/2006/picture">
                <pic:pic>
                  <pic:nvPicPr>
                    <pic:cNvPr id="0" name="client_2022_pairwise_positive_median_membership_dues.png"/>
                    <pic:cNvPicPr/>
                  </pic:nvPicPr>
                  <pic:blipFill>
                    <a:blip r:embed="rId16"/>
                    <a:stretch>
                      <a:fillRect/>
                    </a:stretch>
                  </pic:blipFill>
                  <pic:spPr>
                    <a:xfrm>
                      <a:off x="0" y="0"/>
                      <a:ext cx="6309360" cy="3492739"/>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$22,250</w:t>
            </w:r>
          </w:p>
        </w:tc>
        <w:tc>
          <w:tcPr>
            <w:tcW w:type="dxa" w:w="1440"/>
            <w:vAlign w:val="center"/>
            <w:tcMar>
              <w:top w:w="70" w:type="dxa"/>
              <w:start w:w="70" w:type="dxa"/>
              <w:bottom w:w="70" w:type="dxa"/>
              <w:end w:w="70" w:type="dxa"/>
            </w:tcMar>
          </w:tcPr>
          <w:p>
            <w:pPr>
              <w:spacing w:after="0" w:line="240" w:lineRule="auto"/>
              <w:jc w:val="center"/>
            </w:pPr>
            <w:r>
              <w:rPr>
                <w:b w:val="0"/>
                <w:i w:val="0"/>
                <w:sz w:val="15"/>
              </w:rPr>
              <w:t>$31,344</w:t>
            </w:r>
          </w:p>
        </w:tc>
        <w:tc>
          <w:tcPr>
            <w:tcW w:type="dxa" w:w="3096"/>
            <w:vAlign w:val="center"/>
            <w:tcMar>
              <w:top w:w="70" w:type="dxa"/>
              <w:start w:w="70" w:type="dxa"/>
              <w:bottom w:w="70" w:type="dxa"/>
              <w:end w:w="70" w:type="dxa"/>
            </w:tcMar>
          </w:tcPr>
          <w:p>
            <w:pPr>
              <w:spacing w:after="0" w:line="240" w:lineRule="auto"/>
              <w:jc w:val="left"/>
            </w:pPr>
            <w:r>
              <w:rPr>
                <w:b w:val="0"/>
                <w:i w:val="0"/>
                <w:sz w:val="15"/>
              </w:rPr>
              <w:t>-$9,093 (95% CI -$51,928 to +$10,338)</w:t>
            </w:r>
          </w:p>
        </w:tc>
        <w:tc>
          <w:tcPr>
            <w:tcW w:type="dxa" w:w="936"/>
            <w:vAlign w:val="center"/>
            <w:tcMar>
              <w:top w:w="70" w:type="dxa"/>
              <w:start w:w="70" w:type="dxa"/>
              <w:bottom w:w="70" w:type="dxa"/>
              <w:end w:w="70" w:type="dxa"/>
            </w:tcMar>
          </w:tcPr>
          <w:p>
            <w:pPr>
              <w:spacing w:after="0" w:line="240" w:lineRule="auto"/>
              <w:jc w:val="center"/>
            </w:pPr>
            <w:r>
              <w:rPr>
                <w:b w:val="0"/>
                <w:i w:val="0"/>
                <w:sz w:val="15"/>
              </w:rPr>
              <w:t>0.342</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$22,250</w:t>
            </w:r>
          </w:p>
        </w:tc>
        <w:tc>
          <w:tcPr>
            <w:tcW w:type="dxa" w:w="1440"/>
            <w:vAlign w:val="center"/>
            <w:tcMar>
              <w:top w:w="70" w:type="dxa"/>
              <w:start w:w="70" w:type="dxa"/>
              <w:bottom w:w="70" w:type="dxa"/>
              <w:end w:w="70" w:type="dxa"/>
            </w:tcMar>
          </w:tcPr>
          <w:p>
            <w:pPr>
              <w:spacing w:after="0" w:line="240" w:lineRule="auto"/>
              <w:jc w:val="center"/>
            </w:pPr>
            <w:r>
              <w:rPr>
                <w:b w:val="0"/>
                <w:i w:val="0"/>
                <w:sz w:val="15"/>
              </w:rPr>
              <w:t>$24,606</w:t>
            </w:r>
          </w:p>
        </w:tc>
        <w:tc>
          <w:tcPr>
            <w:tcW w:type="dxa" w:w="3096"/>
            <w:vAlign w:val="center"/>
            <w:tcMar>
              <w:top w:w="70" w:type="dxa"/>
              <w:start w:w="70" w:type="dxa"/>
              <w:bottom w:w="70" w:type="dxa"/>
              <w:end w:w="70" w:type="dxa"/>
            </w:tcMar>
          </w:tcPr>
          <w:p>
            <w:pPr>
              <w:spacing w:after="0" w:line="240" w:lineRule="auto"/>
              <w:jc w:val="left"/>
            </w:pPr>
            <w:r>
              <w:rPr>
                <w:b w:val="0"/>
                <w:i w:val="0"/>
                <w:sz w:val="15"/>
              </w:rPr>
              <w:t>-$2,355 (95% CI -$167,924 to +$21,272)</w:t>
            </w:r>
          </w:p>
        </w:tc>
        <w:tc>
          <w:tcPr>
            <w:tcW w:type="dxa" w:w="936"/>
            <w:vAlign w:val="center"/>
            <w:tcMar>
              <w:top w:w="70" w:type="dxa"/>
              <w:start w:w="70" w:type="dxa"/>
              <w:bottom w:w="70" w:type="dxa"/>
              <w:end w:w="70" w:type="dxa"/>
            </w:tcMar>
          </w:tcPr>
          <w:p>
            <w:pPr>
              <w:spacing w:after="0" w:line="240" w:lineRule="auto"/>
              <w:jc w:val="center"/>
            </w:pPr>
            <w:r>
              <w:rPr>
                <w:b w:val="0"/>
                <w:i w:val="0"/>
                <w:sz w:val="15"/>
              </w:rPr>
              <w:t>0.832</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higher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$22,250</w:t>
            </w:r>
          </w:p>
        </w:tc>
        <w:tc>
          <w:tcPr>
            <w:tcW w:type="dxa" w:w="1440"/>
            <w:vAlign w:val="center"/>
            <w:tcMar>
              <w:top w:w="70" w:type="dxa"/>
              <w:start w:w="70" w:type="dxa"/>
              <w:bottom w:w="70" w:type="dxa"/>
              <w:end w:w="70" w:type="dxa"/>
            </w:tcMar>
          </w:tcPr>
          <w:p>
            <w:pPr>
              <w:spacing w:after="0" w:line="240" w:lineRule="auto"/>
              <w:jc w:val="center"/>
            </w:pPr>
            <w:r>
              <w:rPr>
                <w:b w:val="0"/>
                <w:i w:val="0"/>
                <w:sz w:val="15"/>
              </w:rPr>
              <w:t>$18,651</w:t>
            </w:r>
          </w:p>
        </w:tc>
        <w:tc>
          <w:tcPr>
            <w:tcW w:type="dxa" w:w="3096"/>
            <w:vAlign w:val="center"/>
            <w:tcMar>
              <w:top w:w="70" w:type="dxa"/>
              <w:start w:w="70" w:type="dxa"/>
              <w:bottom w:w="70" w:type="dxa"/>
              <w:end w:w="70" w:type="dxa"/>
            </w:tcMar>
          </w:tcPr>
          <w:p>
            <w:pPr>
              <w:spacing w:after="0" w:line="240" w:lineRule="auto"/>
              <w:jc w:val="left"/>
            </w:pPr>
            <w:r>
              <w:rPr>
                <w:b w:val="0"/>
                <w:i w:val="0"/>
                <w:sz w:val="15"/>
              </w:rPr>
              <w:t>+$3,600 (95% CI -$54,010 to +$23,295)</w:t>
            </w:r>
          </w:p>
        </w:tc>
        <w:tc>
          <w:tcPr>
            <w:tcW w:type="dxa" w:w="936"/>
            <w:vAlign w:val="center"/>
            <w:tcMar>
              <w:top w:w="70" w:type="dxa"/>
              <w:start w:w="70" w:type="dxa"/>
              <w:bottom w:w="70" w:type="dxa"/>
              <w:end w:w="70" w:type="dxa"/>
            </w:tcMar>
          </w:tcPr>
          <w:p>
            <w:pPr>
              <w:spacing w:after="0" w:line="240" w:lineRule="auto"/>
              <w:jc w:val="center"/>
            </w:pPr>
            <w:r>
              <w:rPr>
                <w:b w:val="0"/>
                <w:i w:val="0"/>
                <w:sz w:val="15"/>
              </w:rPr>
              <w:t>0.540</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$22,250</w:t>
            </w:r>
          </w:p>
        </w:tc>
        <w:tc>
          <w:tcPr>
            <w:tcW w:type="dxa" w:w="1440"/>
            <w:vAlign w:val="center"/>
            <w:tcMar>
              <w:top w:w="70" w:type="dxa"/>
              <w:start w:w="70" w:type="dxa"/>
              <w:bottom w:w="70" w:type="dxa"/>
              <w:end w:w="70" w:type="dxa"/>
            </w:tcMar>
          </w:tcPr>
          <w:p>
            <w:pPr>
              <w:spacing w:after="0" w:line="240" w:lineRule="auto"/>
              <w:jc w:val="center"/>
            </w:pPr>
            <w:r>
              <w:rPr>
                <w:b w:val="0"/>
                <w:i w:val="0"/>
                <w:sz w:val="15"/>
              </w:rPr>
              <w:t>$29,529</w:t>
            </w:r>
          </w:p>
        </w:tc>
        <w:tc>
          <w:tcPr>
            <w:tcW w:type="dxa" w:w="3096"/>
            <w:vAlign w:val="center"/>
            <w:tcMar>
              <w:top w:w="70" w:type="dxa"/>
              <w:start w:w="70" w:type="dxa"/>
              <w:bottom w:w="70" w:type="dxa"/>
              <w:end w:w="70" w:type="dxa"/>
            </w:tcMar>
          </w:tcPr>
          <w:p>
            <w:pPr>
              <w:spacing w:after="0" w:line="240" w:lineRule="auto"/>
              <w:jc w:val="left"/>
            </w:pPr>
            <w:r>
              <w:rPr>
                <w:b w:val="0"/>
                <w:i w:val="0"/>
                <w:sz w:val="15"/>
              </w:rPr>
              <w:t>-$7,278 (95% CI -$20,952 to +$13,858)</w:t>
            </w:r>
          </w:p>
        </w:tc>
        <w:tc>
          <w:tcPr>
            <w:tcW w:type="dxa" w:w="936"/>
            <w:vAlign w:val="center"/>
            <w:tcMar>
              <w:top w:w="70" w:type="dxa"/>
              <w:start w:w="70" w:type="dxa"/>
              <w:bottom w:w="70" w:type="dxa"/>
              <w:end w:w="70" w:type="dxa"/>
            </w:tcMar>
          </w:tcPr>
          <w:p>
            <w:pPr>
              <w:spacing w:after="0" w:line="240" w:lineRule="auto"/>
              <w:jc w:val="center"/>
            </w:pPr>
            <w:r>
              <w:rPr>
                <w:b w:val="0"/>
                <w:i w:val="0"/>
                <w:sz w:val="15"/>
              </w:rPr>
              <w:t>0.601</w:t>
            </w:r>
          </w:p>
        </w:tc>
      </w:tr>
    </w:tbl>
    <w:p>
      <w:pPr>
        <w:spacing w:after="80"/>
      </w:pPr>
      <w:r>
        <w:rPr>
          <w:i/>
        </w:rPr>
        <w:t>Figure 11. Membership dues (2022): typical reported dollars by region among organizations that reported positive membership dues.</w:t>
      </w:r>
    </w:p>
    <w:p>
      <w:pPr>
        <w:pStyle w:val="Heading3"/>
        <w:spacing w:before="160" w:after="80"/>
      </w:pPr>
      <w:r>
        <w:t>Fundraising event contributions</w:t>
      </w:r>
    </w:p>
    <w:p>
      <w:pPr>
        <w:spacing w:after="60"/>
        <w:jc w:val="center"/>
      </w:pPr>
      <w:r>
        <w:drawing>
          <wp:inline xmlns:a="http://schemas.openxmlformats.org/drawingml/2006/main" xmlns:pic="http://schemas.openxmlformats.org/drawingml/2006/picture">
            <wp:extent cx="6309360" cy="3494513"/>
            <wp:docPr id="9" name="Picture 9"/>
            <wp:cNvGraphicFramePr>
              <a:graphicFrameLocks noChangeAspect="1"/>
            </wp:cNvGraphicFramePr>
            <a:graphic>
              <a:graphicData uri="http://schemas.openxmlformats.org/drawingml/2006/picture">
                <pic:pic>
                  <pic:nvPicPr>
                    <pic:cNvPr id="0" name="client_2022_pairwise_positive_median_fundraising_events_contributions.png"/>
                    <pic:cNvPicPr/>
                  </pic:nvPicPr>
                  <pic:blipFill>
                    <a:blip r:embed="rId17"/>
                    <a:stretch>
                      <a:fillRect/>
                    </a:stretch>
                  </pic:blipFill>
                  <pic:spPr>
                    <a:xfrm>
                      <a:off x="0" y="0"/>
                      <a:ext cx="6309360" cy="3494513"/>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$12,427</w:t>
            </w:r>
          </w:p>
        </w:tc>
        <w:tc>
          <w:tcPr>
            <w:tcW w:type="dxa" w:w="1440"/>
            <w:vAlign w:val="center"/>
            <w:tcMar>
              <w:top w:w="70" w:type="dxa"/>
              <w:start w:w="70" w:type="dxa"/>
              <w:bottom w:w="70" w:type="dxa"/>
              <w:end w:w="70" w:type="dxa"/>
            </w:tcMar>
          </w:tcPr>
          <w:p>
            <w:pPr>
              <w:spacing w:after="0" w:line="240" w:lineRule="auto"/>
              <w:jc w:val="center"/>
            </w:pPr>
            <w:r>
              <w:rPr>
                <w:b w:val="0"/>
                <w:i w:val="0"/>
                <w:sz w:val="15"/>
              </w:rPr>
              <w:t>$38,516</w:t>
            </w:r>
          </w:p>
        </w:tc>
        <w:tc>
          <w:tcPr>
            <w:tcW w:type="dxa" w:w="3096"/>
            <w:vAlign w:val="center"/>
            <w:tcMar>
              <w:top w:w="70" w:type="dxa"/>
              <w:start w:w="70" w:type="dxa"/>
              <w:bottom w:w="70" w:type="dxa"/>
              <w:end w:w="70" w:type="dxa"/>
            </w:tcMar>
          </w:tcPr>
          <w:p>
            <w:pPr>
              <w:spacing w:after="0" w:line="240" w:lineRule="auto"/>
              <w:jc w:val="left"/>
            </w:pPr>
            <w:r>
              <w:rPr>
                <w:b w:val="0"/>
                <w:i w:val="0"/>
                <w:sz w:val="15"/>
              </w:rPr>
              <w:t>-$26,088 (95% CI -$64,852 to -$6,639)</w:t>
            </w:r>
          </w:p>
        </w:tc>
        <w:tc>
          <w:tcPr>
            <w:tcW w:type="dxa" w:w="936"/>
            <w:vAlign w:val="center"/>
            <w:tcMar>
              <w:top w:w="70" w:type="dxa"/>
              <w:start w:w="70" w:type="dxa"/>
              <w:bottom w:w="70" w:type="dxa"/>
              <w:end w:w="70" w:type="dxa"/>
            </w:tcMar>
          </w:tcPr>
          <w:p>
            <w:pPr>
              <w:spacing w:after="0" w:line="240" w:lineRule="auto"/>
              <w:jc w:val="center"/>
            </w:pPr>
            <w:r>
              <w:rPr>
                <w:b w:val="0"/>
                <w:i w:val="0"/>
                <w:sz w:val="15"/>
              </w:rPr>
              <w:t>0.009</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higher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$12,427</w:t>
            </w:r>
          </w:p>
        </w:tc>
        <w:tc>
          <w:tcPr>
            <w:tcW w:type="dxa" w:w="1440"/>
            <w:vAlign w:val="center"/>
            <w:tcMar>
              <w:top w:w="70" w:type="dxa"/>
              <w:start w:w="70" w:type="dxa"/>
              <w:bottom w:w="70" w:type="dxa"/>
              <w:end w:w="70" w:type="dxa"/>
            </w:tcMar>
          </w:tcPr>
          <w:p>
            <w:pPr>
              <w:spacing w:after="0" w:line="240" w:lineRule="auto"/>
              <w:jc w:val="center"/>
            </w:pPr>
            <w:r>
              <w:rPr>
                <w:b w:val="0"/>
                <w:i w:val="0"/>
                <w:sz w:val="15"/>
              </w:rPr>
              <w:t>$11,480</w:t>
            </w:r>
          </w:p>
        </w:tc>
        <w:tc>
          <w:tcPr>
            <w:tcW w:type="dxa" w:w="3096"/>
            <w:vAlign w:val="center"/>
            <w:tcMar>
              <w:top w:w="70" w:type="dxa"/>
              <w:start w:w="70" w:type="dxa"/>
              <w:bottom w:w="70" w:type="dxa"/>
              <w:end w:w="70" w:type="dxa"/>
            </w:tcMar>
          </w:tcPr>
          <w:p>
            <w:pPr>
              <w:spacing w:after="0" w:line="240" w:lineRule="auto"/>
              <w:jc w:val="left"/>
            </w:pPr>
            <w:r>
              <w:rPr>
                <w:b w:val="0"/>
                <w:i w:val="0"/>
                <w:sz w:val="15"/>
              </w:rPr>
              <w:t>+$947 (95% CI -$9,712 to +$13,322)</w:t>
            </w:r>
          </w:p>
        </w:tc>
        <w:tc>
          <w:tcPr>
            <w:tcW w:type="dxa" w:w="936"/>
            <w:vAlign w:val="center"/>
            <w:tcMar>
              <w:top w:w="70" w:type="dxa"/>
              <w:start w:w="70" w:type="dxa"/>
              <w:bottom w:w="70" w:type="dxa"/>
              <w:end w:w="70" w:type="dxa"/>
            </w:tcMar>
          </w:tcPr>
          <w:p>
            <w:pPr>
              <w:spacing w:after="0" w:line="240" w:lineRule="auto"/>
              <w:jc w:val="center"/>
            </w:pPr>
            <w:r>
              <w:rPr>
                <w:b w:val="0"/>
                <w:i w:val="0"/>
                <w:sz w:val="15"/>
              </w:rPr>
              <w:t>0.849</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$12,427</w:t>
            </w:r>
          </w:p>
        </w:tc>
        <w:tc>
          <w:tcPr>
            <w:tcW w:type="dxa" w:w="1440"/>
            <w:vAlign w:val="center"/>
            <w:tcMar>
              <w:top w:w="70" w:type="dxa"/>
              <w:start w:w="70" w:type="dxa"/>
              <w:bottom w:w="70" w:type="dxa"/>
              <w:end w:w="70" w:type="dxa"/>
            </w:tcMar>
          </w:tcPr>
          <w:p>
            <w:pPr>
              <w:spacing w:after="0" w:line="240" w:lineRule="auto"/>
              <w:jc w:val="center"/>
            </w:pPr>
            <w:r>
              <w:rPr>
                <w:b w:val="0"/>
                <w:i w:val="0"/>
                <w:sz w:val="15"/>
              </w:rPr>
              <w:t>$70,761</w:t>
            </w:r>
          </w:p>
        </w:tc>
        <w:tc>
          <w:tcPr>
            <w:tcW w:type="dxa" w:w="3096"/>
            <w:vAlign w:val="center"/>
            <w:tcMar>
              <w:top w:w="70" w:type="dxa"/>
              <w:start w:w="70" w:type="dxa"/>
              <w:bottom w:w="70" w:type="dxa"/>
              <w:end w:w="70" w:type="dxa"/>
            </w:tcMar>
          </w:tcPr>
          <w:p>
            <w:pPr>
              <w:spacing w:after="0" w:line="240" w:lineRule="auto"/>
              <w:jc w:val="left"/>
            </w:pPr>
            <w:r>
              <w:rPr>
                <w:b w:val="0"/>
                <w:i w:val="0"/>
                <w:sz w:val="15"/>
              </w:rPr>
              <w:t>-$58,334 (95% CI -$80,561 to -$31,388)</w:t>
            </w:r>
          </w:p>
        </w:tc>
        <w:tc>
          <w:tcPr>
            <w:tcW w:type="dxa" w:w="936"/>
            <w:vAlign w:val="center"/>
            <w:tcMar>
              <w:top w:w="70" w:type="dxa"/>
              <w:start w:w="70" w:type="dxa"/>
              <w:bottom w:w="70" w:type="dxa"/>
              <w:end w:w="70" w:type="dxa"/>
            </w:tcMar>
          </w:tcPr>
          <w:p>
            <w:pPr>
              <w:spacing w:after="0" w:line="240" w:lineRule="auto"/>
              <w:jc w:val="center"/>
            </w:pPr>
            <w:r>
              <w:rPr>
                <w:b w:val="0"/>
                <w:i w:val="0"/>
                <w:sz w:val="15"/>
              </w:rPr>
              <w:t>&lt; 0.001</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$12,427</w:t>
            </w:r>
          </w:p>
        </w:tc>
        <w:tc>
          <w:tcPr>
            <w:tcW w:type="dxa" w:w="1440"/>
            <w:vAlign w:val="center"/>
            <w:tcMar>
              <w:top w:w="70" w:type="dxa"/>
              <w:start w:w="70" w:type="dxa"/>
              <w:bottom w:w="70" w:type="dxa"/>
              <w:end w:w="70" w:type="dxa"/>
            </w:tcMar>
          </w:tcPr>
          <w:p>
            <w:pPr>
              <w:spacing w:after="0" w:line="240" w:lineRule="auto"/>
              <w:jc w:val="center"/>
            </w:pPr>
            <w:r>
              <w:rPr>
                <w:b w:val="0"/>
                <w:i w:val="0"/>
                <w:sz w:val="15"/>
              </w:rPr>
              <w:t>$41,756</w:t>
            </w:r>
          </w:p>
        </w:tc>
        <w:tc>
          <w:tcPr>
            <w:tcW w:type="dxa" w:w="3096"/>
            <w:vAlign w:val="center"/>
            <w:tcMar>
              <w:top w:w="70" w:type="dxa"/>
              <w:start w:w="70" w:type="dxa"/>
              <w:bottom w:w="70" w:type="dxa"/>
              <w:end w:w="70" w:type="dxa"/>
            </w:tcMar>
          </w:tcPr>
          <w:p>
            <w:pPr>
              <w:spacing w:after="0" w:line="240" w:lineRule="auto"/>
              <w:jc w:val="left"/>
            </w:pPr>
            <w:r>
              <w:rPr>
                <w:b w:val="0"/>
                <w:i w:val="0"/>
                <w:sz w:val="15"/>
              </w:rPr>
              <w:t>-$29,329 (95% CI -$72,681 to +$1,335)</w:t>
            </w:r>
          </w:p>
        </w:tc>
        <w:tc>
          <w:tcPr>
            <w:tcW w:type="dxa" w:w="936"/>
            <w:vAlign w:val="center"/>
            <w:tcMar>
              <w:top w:w="70" w:type="dxa"/>
              <w:start w:w="70" w:type="dxa"/>
              <w:bottom w:w="70" w:type="dxa"/>
              <w:end w:w="70" w:type="dxa"/>
            </w:tcMar>
          </w:tcPr>
          <w:p>
            <w:pPr>
              <w:spacing w:after="0" w:line="240" w:lineRule="auto"/>
              <w:jc w:val="center"/>
            </w:pPr>
            <w:r>
              <w:rPr>
                <w:b w:val="0"/>
                <w:i w:val="0"/>
                <w:sz w:val="15"/>
              </w:rPr>
              <w:t>0.010</w:t>
            </w:r>
          </w:p>
        </w:tc>
      </w:tr>
    </w:tbl>
    <w:p>
      <w:pPr>
        <w:spacing w:after="80"/>
      </w:pPr>
      <w:r>
        <w:rPr>
          <w:i/>
        </w:rPr>
        <w:t>Figure 12. Fundraising event contributions (2022): typical reported dollars by region among organizations that reported positive fundraising event contributions.</w:t>
      </w:r>
    </w:p>
    <w:p>
      <w:pPr>
        <w:pStyle w:val="Heading3"/>
        <w:spacing w:before="160" w:after="80"/>
      </w:pPr>
      <w:r>
        <w:t>Mixed / unclassified contributions</w:t>
      </w:r>
    </w:p>
    <w:p>
      <w:pPr>
        <w:spacing w:after="60"/>
        <w:jc w:val="center"/>
      </w:pPr>
      <w:r>
        <w:drawing>
          <wp:inline xmlns:a="http://schemas.openxmlformats.org/drawingml/2006/main" xmlns:pic="http://schemas.openxmlformats.org/drawingml/2006/picture">
            <wp:extent cx="6309360" cy="3492739"/>
            <wp:docPr id="10" name="Picture 10"/>
            <wp:cNvGraphicFramePr>
              <a:graphicFrameLocks noChangeAspect="1"/>
            </wp:cNvGraphicFramePr>
            <a:graphic>
              <a:graphicData uri="http://schemas.openxmlformats.org/drawingml/2006/picture">
                <pic:pic>
                  <pic:nvPicPr>
                    <pic:cNvPr id="0" name="client_2022_pairwise_positive_median_mixed_unclassified_contributions.png"/>
                    <pic:cNvPicPr/>
                  </pic:nvPicPr>
                  <pic:blipFill>
                    <a:blip r:embed="rId18"/>
                    <a:stretch>
                      <a:fillRect/>
                    </a:stretch>
                  </pic:blipFill>
                  <pic:spPr>
                    <a:xfrm>
                      <a:off x="0" y="0"/>
                      <a:ext cx="6309360" cy="3492739"/>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$65,792</w:t>
            </w:r>
          </w:p>
        </w:tc>
        <w:tc>
          <w:tcPr>
            <w:tcW w:type="dxa" w:w="1440"/>
            <w:vAlign w:val="center"/>
            <w:tcMar>
              <w:top w:w="70" w:type="dxa"/>
              <w:start w:w="70" w:type="dxa"/>
              <w:bottom w:w="70" w:type="dxa"/>
              <w:end w:w="70" w:type="dxa"/>
            </w:tcMar>
          </w:tcPr>
          <w:p>
            <w:pPr>
              <w:spacing w:after="0" w:line="240" w:lineRule="auto"/>
              <w:jc w:val="center"/>
            </w:pPr>
            <w:r>
              <w:rPr>
                <w:b w:val="0"/>
                <w:i w:val="0"/>
                <w:sz w:val="15"/>
              </w:rPr>
              <w:t>$83,785</w:t>
            </w:r>
          </w:p>
        </w:tc>
        <w:tc>
          <w:tcPr>
            <w:tcW w:type="dxa" w:w="3096"/>
            <w:vAlign w:val="center"/>
            <w:tcMar>
              <w:top w:w="70" w:type="dxa"/>
              <w:start w:w="70" w:type="dxa"/>
              <w:bottom w:w="70" w:type="dxa"/>
              <w:end w:w="70" w:type="dxa"/>
            </w:tcMar>
          </w:tcPr>
          <w:p>
            <w:pPr>
              <w:spacing w:after="0" w:line="240" w:lineRule="auto"/>
              <w:jc w:val="left"/>
            </w:pPr>
            <w:r>
              <w:rPr>
                <w:b w:val="0"/>
                <w:i w:val="0"/>
                <w:sz w:val="15"/>
              </w:rPr>
              <w:t>-$17,992 (95% CI -$49,754 to +$8,827)</w:t>
            </w:r>
          </w:p>
        </w:tc>
        <w:tc>
          <w:tcPr>
            <w:tcW w:type="dxa" w:w="936"/>
            <w:vAlign w:val="center"/>
            <w:tcMar>
              <w:top w:w="70" w:type="dxa"/>
              <w:start w:w="70" w:type="dxa"/>
              <w:bottom w:w="70" w:type="dxa"/>
              <w:end w:w="70" w:type="dxa"/>
            </w:tcMar>
          </w:tcPr>
          <w:p>
            <w:pPr>
              <w:spacing w:after="0" w:line="240" w:lineRule="auto"/>
              <w:jc w:val="center"/>
            </w:pPr>
            <w:r>
              <w:rPr>
                <w:b w:val="0"/>
                <w:i w:val="0"/>
                <w:sz w:val="15"/>
              </w:rPr>
              <w:t>0.157</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$65,792</w:t>
            </w:r>
          </w:p>
        </w:tc>
        <w:tc>
          <w:tcPr>
            <w:tcW w:type="dxa" w:w="1440"/>
            <w:vAlign w:val="center"/>
            <w:tcMar>
              <w:top w:w="70" w:type="dxa"/>
              <w:start w:w="70" w:type="dxa"/>
              <w:bottom w:w="70" w:type="dxa"/>
              <w:end w:w="70" w:type="dxa"/>
            </w:tcMar>
          </w:tcPr>
          <w:p>
            <w:pPr>
              <w:spacing w:after="0" w:line="240" w:lineRule="auto"/>
              <w:jc w:val="center"/>
            </w:pPr>
            <w:r>
              <w:rPr>
                <w:b w:val="0"/>
                <w:i w:val="0"/>
                <w:sz w:val="15"/>
              </w:rPr>
              <w:t>$92,278</w:t>
            </w:r>
          </w:p>
        </w:tc>
        <w:tc>
          <w:tcPr>
            <w:tcW w:type="dxa" w:w="3096"/>
            <w:vAlign w:val="center"/>
            <w:tcMar>
              <w:top w:w="70" w:type="dxa"/>
              <w:start w:w="70" w:type="dxa"/>
              <w:bottom w:w="70" w:type="dxa"/>
              <w:end w:w="70" w:type="dxa"/>
            </w:tcMar>
          </w:tcPr>
          <w:p>
            <w:pPr>
              <w:spacing w:after="0" w:line="240" w:lineRule="auto"/>
              <w:jc w:val="left"/>
            </w:pPr>
            <w:r>
              <w:rPr>
                <w:b w:val="0"/>
                <w:i w:val="0"/>
                <w:sz w:val="15"/>
              </w:rPr>
              <w:t>-$26,486 (95% CI -$50,596 to -$2,907)</w:t>
            </w:r>
          </w:p>
        </w:tc>
        <w:tc>
          <w:tcPr>
            <w:tcW w:type="dxa" w:w="936"/>
            <w:vAlign w:val="center"/>
            <w:tcMar>
              <w:top w:w="70" w:type="dxa"/>
              <w:start w:w="70" w:type="dxa"/>
              <w:bottom w:w="70" w:type="dxa"/>
              <w:end w:w="70" w:type="dxa"/>
            </w:tcMar>
          </w:tcPr>
          <w:p>
            <w:pPr>
              <w:spacing w:after="0" w:line="240" w:lineRule="auto"/>
              <w:jc w:val="center"/>
            </w:pPr>
            <w:r>
              <w:rPr>
                <w:b w:val="0"/>
                <w:i w:val="0"/>
                <w:sz w:val="15"/>
              </w:rPr>
              <w:t>0.033</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$65,792</w:t>
            </w:r>
          </w:p>
        </w:tc>
        <w:tc>
          <w:tcPr>
            <w:tcW w:type="dxa" w:w="1440"/>
            <w:vAlign w:val="center"/>
            <w:tcMar>
              <w:top w:w="70" w:type="dxa"/>
              <w:start w:w="70" w:type="dxa"/>
              <w:bottom w:w="70" w:type="dxa"/>
              <w:end w:w="70" w:type="dxa"/>
            </w:tcMar>
          </w:tcPr>
          <w:p>
            <w:pPr>
              <w:spacing w:after="0" w:line="240" w:lineRule="auto"/>
              <w:jc w:val="center"/>
            </w:pPr>
            <w:r>
              <w:rPr>
                <w:b w:val="0"/>
                <w:i w:val="0"/>
                <w:sz w:val="15"/>
              </w:rPr>
              <w:t>$71,005</w:t>
            </w:r>
          </w:p>
        </w:tc>
        <w:tc>
          <w:tcPr>
            <w:tcW w:type="dxa" w:w="3096"/>
            <w:vAlign w:val="center"/>
            <w:tcMar>
              <w:top w:w="70" w:type="dxa"/>
              <w:start w:w="70" w:type="dxa"/>
              <w:bottom w:w="70" w:type="dxa"/>
              <w:end w:w="70" w:type="dxa"/>
            </w:tcMar>
          </w:tcPr>
          <w:p>
            <w:pPr>
              <w:spacing w:after="0" w:line="240" w:lineRule="auto"/>
              <w:jc w:val="left"/>
            </w:pPr>
            <w:r>
              <w:rPr>
                <w:b w:val="0"/>
                <w:i w:val="0"/>
                <w:sz w:val="15"/>
              </w:rPr>
              <w:t>-$5,212 (95% CI -$29,255 to +$15,095)</w:t>
            </w:r>
          </w:p>
        </w:tc>
        <w:tc>
          <w:tcPr>
            <w:tcW w:type="dxa" w:w="936"/>
            <w:vAlign w:val="center"/>
            <w:tcMar>
              <w:top w:w="70" w:type="dxa"/>
              <w:start w:w="70" w:type="dxa"/>
              <w:bottom w:w="70" w:type="dxa"/>
              <w:end w:w="70" w:type="dxa"/>
            </w:tcMar>
          </w:tcPr>
          <w:p>
            <w:pPr>
              <w:spacing w:after="0" w:line="240" w:lineRule="auto"/>
              <w:jc w:val="center"/>
            </w:pPr>
            <w:r>
              <w:rPr>
                <w:b w:val="0"/>
                <w:i w:val="0"/>
                <w:sz w:val="15"/>
              </w:rPr>
              <w:t>0.619</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$65,792</w:t>
            </w:r>
          </w:p>
        </w:tc>
        <w:tc>
          <w:tcPr>
            <w:tcW w:type="dxa" w:w="1440"/>
            <w:vAlign w:val="center"/>
            <w:tcMar>
              <w:top w:w="70" w:type="dxa"/>
              <w:start w:w="70" w:type="dxa"/>
              <w:bottom w:w="70" w:type="dxa"/>
              <w:end w:w="70" w:type="dxa"/>
            </w:tcMar>
          </w:tcPr>
          <w:p>
            <w:pPr>
              <w:spacing w:after="0" w:line="240" w:lineRule="auto"/>
              <w:jc w:val="center"/>
            </w:pPr>
            <w:r>
              <w:rPr>
                <w:b w:val="0"/>
                <w:i w:val="0"/>
                <w:sz w:val="15"/>
              </w:rPr>
              <w:t>$88,552</w:t>
            </w:r>
          </w:p>
        </w:tc>
        <w:tc>
          <w:tcPr>
            <w:tcW w:type="dxa" w:w="3096"/>
            <w:vAlign w:val="center"/>
            <w:tcMar>
              <w:top w:w="70" w:type="dxa"/>
              <w:start w:w="70" w:type="dxa"/>
              <w:bottom w:w="70" w:type="dxa"/>
              <w:end w:w="70" w:type="dxa"/>
            </w:tcMar>
          </w:tcPr>
          <w:p>
            <w:pPr>
              <w:spacing w:after="0" w:line="240" w:lineRule="auto"/>
              <w:jc w:val="left"/>
            </w:pPr>
            <w:r>
              <w:rPr>
                <w:b w:val="0"/>
                <w:i w:val="0"/>
                <w:sz w:val="15"/>
              </w:rPr>
              <w:t>-$22,760 (95% CI -$58,330 to +$11,256)</w:t>
            </w:r>
          </w:p>
        </w:tc>
        <w:tc>
          <w:tcPr>
            <w:tcW w:type="dxa" w:w="936"/>
            <w:vAlign w:val="center"/>
            <w:tcMar>
              <w:top w:w="70" w:type="dxa"/>
              <w:start w:w="70" w:type="dxa"/>
              <w:bottom w:w="70" w:type="dxa"/>
              <w:end w:w="70" w:type="dxa"/>
            </w:tcMar>
          </w:tcPr>
          <w:p>
            <w:pPr>
              <w:spacing w:after="0" w:line="240" w:lineRule="auto"/>
              <w:jc w:val="center"/>
            </w:pPr>
            <w:r>
              <w:rPr>
                <w:b w:val="0"/>
                <w:i w:val="0"/>
                <w:sz w:val="15"/>
              </w:rPr>
              <w:t>0.099</w:t>
            </w:r>
          </w:p>
        </w:tc>
      </w:tr>
    </w:tbl>
    <w:p>
      <w:pPr>
        <w:spacing w:after="80"/>
      </w:pPr>
      <w:r>
        <w:rPr>
          <w:i/>
        </w:rPr>
        <w:t>Figure 13. Mixed or unclassified contributions (2022): typical reported dollars by region among organizations that reported positive mixed or unclassified contributions.</w:t>
      </w:r>
    </w:p>
    <w:p>
      <w:pPr>
        <w:pStyle w:val="Heading3"/>
        <w:spacing w:before="160" w:after="80"/>
      </w:pPr>
      <w:r>
        <w:t>Other revenue</w:t>
      </w:r>
    </w:p>
    <w:p>
      <w:pPr>
        <w:spacing w:after="60"/>
        <w:jc w:val="center"/>
      </w:pPr>
      <w:r>
        <w:drawing>
          <wp:inline xmlns:a="http://schemas.openxmlformats.org/drawingml/2006/main" xmlns:pic="http://schemas.openxmlformats.org/drawingml/2006/picture">
            <wp:extent cx="6309360" cy="3492739"/>
            <wp:docPr id="11" name="Picture 11"/>
            <wp:cNvGraphicFramePr>
              <a:graphicFrameLocks noChangeAspect="1"/>
            </wp:cNvGraphicFramePr>
            <a:graphic>
              <a:graphicData uri="http://schemas.openxmlformats.org/drawingml/2006/picture">
                <pic:pic>
                  <pic:nvPicPr>
                    <pic:cNvPr id="0" name="client_2022_pairwise_positive_median_residual_other_revenue.png"/>
                    <pic:cNvPicPr/>
                  </pic:nvPicPr>
                  <pic:blipFill>
                    <a:blip r:embed="rId19"/>
                    <a:stretch>
                      <a:fillRect/>
                    </a:stretch>
                  </pic:blipFill>
                  <pic:spPr>
                    <a:xfrm>
                      <a:off x="0" y="0"/>
                      <a:ext cx="6309360" cy="3492739"/>
                    </a:xfrm>
                    <a:prstGeom prst="rect"/>
                  </pic:spPr>
                </pic:pic>
              </a:graphicData>
            </a:graphic>
          </wp:inline>
        </w:drawing>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12"/>
            <w:vAlign w:val="center"/>
            <w:tcMar>
              <w:top w:w="70" w:type="dxa"/>
              <w:start w:w="70" w:type="dxa"/>
              <w:bottom w:w="70" w:type="dxa"/>
              <w:end w:w="70" w:type="dxa"/>
            </w:tcMar>
            <w:shd w:fill="D9EAF7"/>
          </w:tcPr>
          <w:p>
            <w:pPr>
              <w:spacing w:after="0" w:line="240" w:lineRule="auto"/>
              <w:jc w:val="center"/>
            </w:pPr>
            <w:r>
              <w:rPr>
                <w:b/>
                <w:i w:val="0"/>
                <w:sz w:val="15"/>
              </w:rPr>
              <w:t>Benchmark region</w:t>
            </w:r>
          </w:p>
        </w:tc>
        <w:tc>
          <w:tcPr>
            <w:tcW w:type="dxa" w:w="2232"/>
            <w:vAlign w:val="center"/>
            <w:tcMar>
              <w:top w:w="70" w:type="dxa"/>
              <w:start w:w="70" w:type="dxa"/>
              <w:bottom w:w="70" w:type="dxa"/>
              <w:end w:w="70" w:type="dxa"/>
            </w:tcMar>
            <w:shd w:fill="D9EAF7"/>
          </w:tcPr>
          <w:p>
            <w:pPr>
              <w:spacing w:after="0" w:line="240" w:lineRule="auto"/>
              <w:jc w:val="left"/>
            </w:pPr>
            <w:r>
              <w:rPr>
                <w:b/>
                <w:i w:val="0"/>
                <w:sz w:val="15"/>
              </w:rPr>
              <w:t>Direction</w:t>
            </w:r>
          </w:p>
        </w:tc>
        <w:tc>
          <w:tcPr>
            <w:tcW w:type="dxa" w:w="1368"/>
            <w:vAlign w:val="center"/>
            <w:tcMar>
              <w:top w:w="70" w:type="dxa"/>
              <w:start w:w="70" w:type="dxa"/>
              <w:bottom w:w="70" w:type="dxa"/>
              <w:end w:w="70" w:type="dxa"/>
            </w:tcMar>
            <w:shd w:fill="D9EAF7"/>
          </w:tcPr>
          <w:p>
            <w:pPr>
              <w:spacing w:after="0" w:line="240" w:lineRule="auto"/>
              <w:jc w:val="center"/>
            </w:pPr>
            <w:r>
              <w:rPr>
                <w:b/>
                <w:i w:val="0"/>
                <w:sz w:val="15"/>
              </w:rPr>
              <w:t>Black Hills median</w:t>
            </w:r>
          </w:p>
        </w:tc>
        <w:tc>
          <w:tcPr>
            <w:tcW w:type="dxa" w:w="1440"/>
            <w:vAlign w:val="center"/>
            <w:tcMar>
              <w:top w:w="70" w:type="dxa"/>
              <w:start w:w="70" w:type="dxa"/>
              <w:bottom w:w="70" w:type="dxa"/>
              <w:end w:w="70" w:type="dxa"/>
            </w:tcMar>
            <w:shd w:fill="D9EAF7"/>
          </w:tcPr>
          <w:p>
            <w:pPr>
              <w:spacing w:after="0" w:line="240" w:lineRule="auto"/>
              <w:jc w:val="center"/>
            </w:pPr>
            <w:r>
              <w:rPr>
                <w:b/>
                <w:i w:val="0"/>
                <w:sz w:val="15"/>
              </w:rPr>
              <w:t>Benchmark median</w:t>
            </w:r>
          </w:p>
        </w:tc>
        <w:tc>
          <w:tcPr>
            <w:tcW w:type="dxa" w:w="3096"/>
            <w:vAlign w:val="center"/>
            <w:tcMar>
              <w:top w:w="70" w:type="dxa"/>
              <w:start w:w="70" w:type="dxa"/>
              <w:bottom w:w="70" w:type="dxa"/>
              <w:end w:w="70" w:type="dxa"/>
            </w:tcMar>
            <w:shd w:fill="D9EAF7"/>
          </w:tcPr>
          <w:p>
            <w:pPr>
              <w:spacing w:after="0" w:line="240" w:lineRule="auto"/>
              <w:jc w:val="left"/>
            </w:pPr>
            <w:r>
              <w:rPr>
                <w:b/>
                <w:i w:val="0"/>
                <w:sz w:val="15"/>
              </w:rPr>
              <w:t>Median gap (95% CI)</w:t>
            </w:r>
          </w:p>
        </w:tc>
        <w:tc>
          <w:tcPr>
            <w:tcW w:type="dxa" w:w="936"/>
            <w:vAlign w:val="center"/>
            <w:tcMar>
              <w:top w:w="70" w:type="dxa"/>
              <w:start w:w="70" w:type="dxa"/>
              <w:bottom w:w="70" w:type="dxa"/>
              <w:end w:w="70" w:type="dxa"/>
            </w:tcMar>
            <w:shd w:fill="D9EAF7"/>
          </w:tcPr>
          <w:p>
            <w:pPr>
              <w:spacing w:after="0" w:line="240" w:lineRule="auto"/>
              <w:jc w:val="center"/>
            </w:pPr>
            <w:r>
              <w:rPr>
                <w:b/>
                <w:i w:val="0"/>
                <w:sz w:val="15"/>
              </w:rPr>
              <w:t>p-value</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Billings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$14,805</w:t>
            </w:r>
          </w:p>
        </w:tc>
        <w:tc>
          <w:tcPr>
            <w:tcW w:type="dxa" w:w="1440"/>
            <w:vAlign w:val="center"/>
            <w:tcMar>
              <w:top w:w="70" w:type="dxa"/>
              <w:start w:w="70" w:type="dxa"/>
              <w:bottom w:w="70" w:type="dxa"/>
              <w:end w:w="70" w:type="dxa"/>
            </w:tcMar>
          </w:tcPr>
          <w:p>
            <w:pPr>
              <w:spacing w:after="0" w:line="240" w:lineRule="auto"/>
              <w:jc w:val="center"/>
            </w:pPr>
            <w:r>
              <w:rPr>
                <w:b w:val="0"/>
                <w:i w:val="0"/>
                <w:sz w:val="15"/>
              </w:rPr>
              <w:t>$27,630</w:t>
            </w:r>
          </w:p>
        </w:tc>
        <w:tc>
          <w:tcPr>
            <w:tcW w:type="dxa" w:w="3096"/>
            <w:vAlign w:val="center"/>
            <w:tcMar>
              <w:top w:w="70" w:type="dxa"/>
              <w:start w:w="70" w:type="dxa"/>
              <w:bottom w:w="70" w:type="dxa"/>
              <w:end w:w="70" w:type="dxa"/>
            </w:tcMar>
          </w:tcPr>
          <w:p>
            <w:pPr>
              <w:spacing w:after="0" w:line="240" w:lineRule="auto"/>
              <w:jc w:val="left"/>
            </w:pPr>
            <w:r>
              <w:rPr>
                <w:b w:val="0"/>
                <w:i w:val="0"/>
                <w:sz w:val="15"/>
              </w:rPr>
              <w:t>-$12,825 (95% CI -$22,923 to -$1,324)</w:t>
            </w:r>
          </w:p>
        </w:tc>
        <w:tc>
          <w:tcPr>
            <w:tcW w:type="dxa" w:w="936"/>
            <w:vAlign w:val="center"/>
            <w:tcMar>
              <w:top w:w="70" w:type="dxa"/>
              <w:start w:w="70" w:type="dxa"/>
              <w:bottom w:w="70" w:type="dxa"/>
              <w:end w:w="70" w:type="dxa"/>
            </w:tcMar>
          </w:tcPr>
          <w:p>
            <w:pPr>
              <w:spacing w:after="0" w:line="240" w:lineRule="auto"/>
              <w:jc w:val="center"/>
            </w:pPr>
            <w:r>
              <w:rPr>
                <w:b w:val="0"/>
                <w:i w:val="0"/>
                <w:sz w:val="15"/>
              </w:rPr>
              <w:t>0.010</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Flagstaff</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$14,805</w:t>
            </w:r>
          </w:p>
        </w:tc>
        <w:tc>
          <w:tcPr>
            <w:tcW w:type="dxa" w:w="1440"/>
            <w:vAlign w:val="center"/>
            <w:tcMar>
              <w:top w:w="70" w:type="dxa"/>
              <w:start w:w="70" w:type="dxa"/>
              <w:bottom w:w="70" w:type="dxa"/>
              <w:end w:w="70" w:type="dxa"/>
            </w:tcMar>
          </w:tcPr>
          <w:p>
            <w:pPr>
              <w:spacing w:after="0" w:line="240" w:lineRule="auto"/>
              <w:jc w:val="center"/>
            </w:pPr>
            <w:r>
              <w:rPr>
                <w:b w:val="0"/>
                <w:i w:val="0"/>
                <w:sz w:val="15"/>
              </w:rPr>
              <w:t>$21,811</w:t>
            </w:r>
          </w:p>
        </w:tc>
        <w:tc>
          <w:tcPr>
            <w:tcW w:type="dxa" w:w="3096"/>
            <w:vAlign w:val="center"/>
            <w:tcMar>
              <w:top w:w="70" w:type="dxa"/>
              <w:start w:w="70" w:type="dxa"/>
              <w:bottom w:w="70" w:type="dxa"/>
              <w:end w:w="70" w:type="dxa"/>
            </w:tcMar>
          </w:tcPr>
          <w:p>
            <w:pPr>
              <w:spacing w:after="0" w:line="240" w:lineRule="auto"/>
              <w:jc w:val="left"/>
            </w:pPr>
            <w:r>
              <w:rPr>
                <w:b w:val="0"/>
                <w:i w:val="0"/>
                <w:sz w:val="15"/>
              </w:rPr>
              <w:t>-$7,006 (95% CI -$27,475 to +$6,558)</w:t>
            </w:r>
          </w:p>
        </w:tc>
        <w:tc>
          <w:tcPr>
            <w:tcW w:type="dxa" w:w="936"/>
            <w:vAlign w:val="center"/>
            <w:tcMar>
              <w:top w:w="70" w:type="dxa"/>
              <w:start w:w="70" w:type="dxa"/>
              <w:bottom w:w="70" w:type="dxa"/>
              <w:end w:w="70" w:type="dxa"/>
            </w:tcMar>
          </w:tcPr>
          <w:p>
            <w:pPr>
              <w:spacing w:after="0" w:line="240" w:lineRule="auto"/>
              <w:jc w:val="center"/>
            </w:pPr>
            <w:r>
              <w:rPr>
                <w:b w:val="0"/>
                <w:i w:val="0"/>
                <w:sz w:val="15"/>
              </w:rPr>
              <w:t>0.292</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Sioux Falls</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$14,805</w:t>
            </w:r>
          </w:p>
        </w:tc>
        <w:tc>
          <w:tcPr>
            <w:tcW w:type="dxa" w:w="1440"/>
            <w:vAlign w:val="center"/>
            <w:tcMar>
              <w:top w:w="70" w:type="dxa"/>
              <w:start w:w="70" w:type="dxa"/>
              <w:bottom w:w="70" w:type="dxa"/>
              <w:end w:w="70" w:type="dxa"/>
            </w:tcMar>
          </w:tcPr>
          <w:p>
            <w:pPr>
              <w:spacing w:after="0" w:line="240" w:lineRule="auto"/>
              <w:jc w:val="center"/>
            </w:pPr>
            <w:r>
              <w:rPr>
                <w:b w:val="0"/>
                <w:i w:val="0"/>
                <w:sz w:val="15"/>
              </w:rPr>
              <w:t>$32,467</w:t>
            </w:r>
          </w:p>
        </w:tc>
        <w:tc>
          <w:tcPr>
            <w:tcW w:type="dxa" w:w="3096"/>
            <w:vAlign w:val="center"/>
            <w:tcMar>
              <w:top w:w="70" w:type="dxa"/>
              <w:start w:w="70" w:type="dxa"/>
              <w:bottom w:w="70" w:type="dxa"/>
              <w:end w:w="70" w:type="dxa"/>
            </w:tcMar>
          </w:tcPr>
          <w:p>
            <w:pPr>
              <w:spacing w:after="0" w:line="240" w:lineRule="auto"/>
              <w:jc w:val="left"/>
            </w:pPr>
            <w:r>
              <w:rPr>
                <w:b w:val="0"/>
                <w:i w:val="0"/>
                <w:sz w:val="15"/>
              </w:rPr>
              <w:t>-$17,662 (95% CI -$25,196 to -$6,938)</w:t>
            </w:r>
          </w:p>
        </w:tc>
        <w:tc>
          <w:tcPr>
            <w:tcW w:type="dxa" w:w="936"/>
            <w:vAlign w:val="center"/>
            <w:tcMar>
              <w:top w:w="70" w:type="dxa"/>
              <w:start w:w="70" w:type="dxa"/>
              <w:bottom w:w="70" w:type="dxa"/>
              <w:end w:w="70" w:type="dxa"/>
            </w:tcMar>
          </w:tcPr>
          <w:p>
            <w:pPr>
              <w:spacing w:after="0" w:line="240" w:lineRule="auto"/>
              <w:jc w:val="center"/>
            </w:pPr>
            <w:r>
              <w:rPr>
                <w:b w:val="0"/>
                <w:i w:val="0"/>
                <w:sz w:val="15"/>
              </w:rPr>
              <w:t>0.001</w:t>
            </w:r>
          </w:p>
        </w:tc>
      </w:tr>
      <w:tr>
        <w:tc>
          <w:tcPr>
            <w:tcW w:type="dxa" w:w="1512"/>
            <w:vAlign w:val="center"/>
            <w:tcMar>
              <w:top w:w="70" w:type="dxa"/>
              <w:start w:w="70" w:type="dxa"/>
              <w:bottom w:w="70" w:type="dxa"/>
              <w:end w:w="70" w:type="dxa"/>
            </w:tcMar>
          </w:tcPr>
          <w:p>
            <w:pPr>
              <w:spacing w:after="0" w:line="240" w:lineRule="auto"/>
              <w:jc w:val="center"/>
            </w:pPr>
            <w:r>
              <w:rPr>
                <w:b w:val="0"/>
                <w:i w:val="0"/>
                <w:sz w:val="15"/>
              </w:rPr>
              <w:t>Missoula</w:t>
            </w:r>
          </w:p>
        </w:tc>
        <w:tc>
          <w:tcPr>
            <w:tcW w:type="dxa" w:w="2232"/>
            <w:vAlign w:val="center"/>
            <w:tcMar>
              <w:top w:w="70" w:type="dxa"/>
              <w:start w:w="70" w:type="dxa"/>
              <w:bottom w:w="70" w:type="dxa"/>
              <w:end w:w="70" w:type="dxa"/>
            </w:tcMar>
          </w:tcPr>
          <w:p>
            <w:pPr>
              <w:spacing w:after="0" w:line="240" w:lineRule="auto"/>
              <w:jc w:val="left"/>
            </w:pPr>
            <w:r>
              <w:rPr>
                <w:b w:val="0"/>
                <w:i w:val="0"/>
                <w:sz w:val="15"/>
              </w:rPr>
              <w:t>Black Hills lower among reporters; not significant</w:t>
            </w:r>
          </w:p>
        </w:tc>
        <w:tc>
          <w:tcPr>
            <w:tcW w:type="dxa" w:w="1368"/>
            <w:vAlign w:val="center"/>
            <w:tcMar>
              <w:top w:w="70" w:type="dxa"/>
              <w:start w:w="70" w:type="dxa"/>
              <w:bottom w:w="70" w:type="dxa"/>
              <w:end w:w="70" w:type="dxa"/>
            </w:tcMar>
          </w:tcPr>
          <w:p>
            <w:pPr>
              <w:spacing w:after="0" w:line="240" w:lineRule="auto"/>
              <w:jc w:val="center"/>
            </w:pPr>
            <w:r>
              <w:rPr>
                <w:b w:val="0"/>
                <w:i w:val="0"/>
                <w:sz w:val="15"/>
              </w:rPr>
              <w:t>$14,805</w:t>
            </w:r>
          </w:p>
        </w:tc>
        <w:tc>
          <w:tcPr>
            <w:tcW w:type="dxa" w:w="1440"/>
            <w:vAlign w:val="center"/>
            <w:tcMar>
              <w:top w:w="70" w:type="dxa"/>
              <w:start w:w="70" w:type="dxa"/>
              <w:bottom w:w="70" w:type="dxa"/>
              <w:end w:w="70" w:type="dxa"/>
            </w:tcMar>
          </w:tcPr>
          <w:p>
            <w:pPr>
              <w:spacing w:after="0" w:line="240" w:lineRule="auto"/>
              <w:jc w:val="center"/>
            </w:pPr>
            <w:r>
              <w:rPr>
                <w:b w:val="0"/>
                <w:i w:val="0"/>
                <w:sz w:val="15"/>
              </w:rPr>
              <w:t>$15,612</w:t>
            </w:r>
          </w:p>
        </w:tc>
        <w:tc>
          <w:tcPr>
            <w:tcW w:type="dxa" w:w="3096"/>
            <w:vAlign w:val="center"/>
            <w:tcMar>
              <w:top w:w="70" w:type="dxa"/>
              <w:start w:w="70" w:type="dxa"/>
              <w:bottom w:w="70" w:type="dxa"/>
              <w:end w:w="70" w:type="dxa"/>
            </w:tcMar>
          </w:tcPr>
          <w:p>
            <w:pPr>
              <w:spacing w:after="0" w:line="240" w:lineRule="auto"/>
              <w:jc w:val="left"/>
            </w:pPr>
            <w:r>
              <w:rPr>
                <w:b w:val="0"/>
                <w:i w:val="0"/>
                <w:sz w:val="15"/>
              </w:rPr>
              <w:t>-$807 (95% CI -$8,600 to +$7,563)</w:t>
            </w:r>
          </w:p>
        </w:tc>
        <w:tc>
          <w:tcPr>
            <w:tcW w:type="dxa" w:w="936"/>
            <w:vAlign w:val="center"/>
            <w:tcMar>
              <w:top w:w="70" w:type="dxa"/>
              <w:start w:w="70" w:type="dxa"/>
              <w:bottom w:w="70" w:type="dxa"/>
              <w:end w:w="70" w:type="dxa"/>
            </w:tcMar>
          </w:tcPr>
          <w:p>
            <w:pPr>
              <w:spacing w:after="0" w:line="240" w:lineRule="auto"/>
              <w:jc w:val="center"/>
            </w:pPr>
            <w:r>
              <w:rPr>
                <w:b w:val="0"/>
                <w:i w:val="0"/>
                <w:sz w:val="15"/>
              </w:rPr>
              <w:t>0.697</w:t>
            </w:r>
          </w:p>
        </w:tc>
      </w:tr>
    </w:tbl>
    <w:p>
      <w:pPr>
        <w:spacing w:after="80"/>
      </w:pPr>
      <w:r>
        <w:rPr>
          <w:i/>
        </w:rPr>
        <w:t>Figure 14. Other revenue (2022): typical reported dollars by region among organizations that reported positive other revenue.</w:t>
      </w:r>
    </w:p>
    <w:p>
      <w:pPr>
        <w:spacing w:after="100" w:line="252" w:lineRule="auto"/>
      </w:pPr>
      <w:r>
        <w:t>The full client presentation and supporting analysis files include reporting rates and additional source-by-source interpretation.</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