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NCCS BMF Client Documentation</w:t>
      </w:r>
    </w:p>
    <w:p>
      <w:pPr>
        <w:pStyle w:val="Heading2"/>
      </w:pPr>
      <w:r>
        <w:t>Background</w:t>
      </w:r>
    </w:p>
    <w:p>
      <w:pPr>
        <w:spacing w:before="0" w:after="80"/>
      </w:pPr>
      <w:r>
        <w:t>The NCCS BMF dataset is a registry-style nonprofit dataset published by the National Center for Charitable Statistics at the Urban Institute. It is based on IRS exempt-organization records and provides organization identity, address/geography fields, exempt status context, NTEE classification, subsection information, and limited amount fields.</w:t>
      </w:r>
    </w:p>
    <w:p>
      <w:pPr>
        <w:spacing w:before="0" w:after="80"/>
      </w:pPr>
      <w:r>
        <w:t>In this project, NCCS BMF is used for annual nonprofit counts, organization geography, classification support, and project-region analysis. It also helps enrich classification fields for other datasets when those datasets do not contain a complete NTEE or subsection code. Like IRS EO BMF, this is a registry and classification source, not a full Form 990 financial-detail source.</w:t>
      </w:r>
    </w:p>
    <w:p>
      <w:pPr>
        <w:spacing w:before="0" w:after="80"/>
      </w:pPr>
      <w:r>
        <w:t xml:space="preserve">The detailed technical pipeline documentation is </w:t>
      </w:r>
      <w:r>
        <w:rPr>
          <w:rFonts w:ascii="Consolas" w:hAnsi="Consolas"/>
          <w:sz w:val="20"/>
        </w:rPr>
        <w:t>docs/final_preprocessing_docs/technical_docs/pipeline_docs/nccs_bmf_pipeline.md</w:t>
      </w:r>
      <w:r>
        <w:t>.</w:t>
      </w:r>
    </w:p>
    <w:p>
      <w:pPr>
        <w:pStyle w:val="Heading2"/>
      </w:pPr>
      <w:r>
        <w:t>Data Provenance</w:t>
      </w:r>
    </w:p>
    <w:p>
      <w:pPr>
        <w:pStyle w:val="ListBullet"/>
      </w:pPr>
      <w:r>
        <w:t>Producer: National Center for Charitable Statistics at the Urban Institute.</w:t>
      </w:r>
    </w:p>
    <w:p>
      <w:pPr>
        <w:pStyle w:val="ListBullet"/>
      </w:pPr>
      <w:r>
        <w:t xml:space="preserve">Source pages: </w:t>
      </w:r>
      <w:r>
        <w:rPr>
          <w:rFonts w:ascii="Consolas" w:hAnsi="Consolas"/>
          <w:sz w:val="20"/>
        </w:rPr>
        <w:t>https://nccs.urban.org/nccs/datasets/bmf/</w:t>
      </w:r>
      <w:r>
        <w:t xml:space="preserve"> and </w:t>
      </w:r>
      <w:r>
        <w:rPr>
          <w:rFonts w:ascii="Consolas" w:hAnsi="Consolas"/>
          <w:sz w:val="20"/>
        </w:rPr>
        <w:t>https://nccs.urban.org/nccs/catalogs/catalog-bmf.html</w:t>
      </w:r>
      <w:r>
        <w:t>.</w:t>
      </w:r>
    </w:p>
    <w:p>
      <w:pPr>
        <w:pStyle w:val="ListBullet"/>
      </w:pPr>
      <w:r>
        <w:t xml:space="preserve">Raw monthly source base: </w:t>
      </w:r>
      <w:r>
        <w:rPr>
          <w:rFonts w:ascii="Consolas" w:hAnsi="Consolas"/>
          <w:sz w:val="20"/>
        </w:rPr>
        <w:t>https://nccsdata.s3.us-east-1.amazonaws.com/raw/bmf/</w:t>
      </w:r>
      <w:r>
        <w:t>.</w:t>
      </w:r>
    </w:p>
    <w:p>
      <w:pPr>
        <w:pStyle w:val="ListBullet"/>
      </w:pPr>
      <w:r>
        <w:t xml:space="preserve">Legacy source base: </w:t>
      </w:r>
      <w:r>
        <w:rPr>
          <w:rFonts w:ascii="Consolas" w:hAnsi="Consolas"/>
          <w:sz w:val="20"/>
        </w:rPr>
        <w:t>https://nccsdata.s3.us-east-1.amazonaws.com/legacy/bmf/</w:t>
      </w:r>
      <w:r>
        <w:t>.</w:t>
      </w:r>
    </w:p>
    <w:p>
      <w:pPr>
        <w:pStyle w:val="ListBullet"/>
      </w:pPr>
      <w:r>
        <w:t>Raw dictionary support: IRS EO BMF dictionary plus generated NCCS header companions.</w:t>
      </w:r>
    </w:p>
    <w:p>
      <w:pPr>
        <w:pStyle w:val="Heading2"/>
      </w:pPr>
      <w:r>
        <w:t>Collection Method</w:t>
      </w:r>
    </w:p>
    <w:p>
      <w:pPr>
        <w:spacing w:before="0" w:after="80"/>
      </w:pPr>
      <w:r>
        <w:t>NCCS BMF is a public registry dataset derived from IRS exempt-organization records. It is not a voluntary survey and it does not contain complete Form 990 filing detail.</w:t>
      </w:r>
    </w:p>
    <w:p>
      <w:pPr>
        <w:pStyle w:val="Heading2"/>
      </w:pPr>
      <w:r>
        <w:t>Inclusion Criteria And Limitations</w:t>
      </w:r>
    </w:p>
    <w:p>
      <w:pPr>
        <w:spacing w:before="0" w:after="80"/>
      </w:pPr>
      <w:r>
        <w:t xml:space="preserve">The pipeline selects representative yearly BMF files, keeps records located in the project counties and regions, and builds the analysis-ready layer for </w:t>
      </w:r>
      <w:r>
        <w:rPr>
          <w:rFonts w:ascii="Consolas" w:hAnsi="Consolas"/>
          <w:sz w:val="20"/>
        </w:rPr>
        <w:t>2022-2024</w:t>
      </w:r>
      <w:r>
        <w:t>.</w:t>
      </w:r>
    </w:p>
    <w:p>
      <w:pPr>
        <w:spacing w:before="0" w:after="80"/>
      </w:pPr>
      <w:r>
        <w:t>Important limitations:</w:t>
      </w:r>
    </w:p>
    <w:p>
      <w:pPr>
        <w:pStyle w:val="ListBullet"/>
      </w:pPr>
      <w:r>
        <w:t>BMF is a registry and classification source, not a complete filing-level financial source.</w:t>
      </w:r>
    </w:p>
    <w:p>
      <w:pPr>
        <w:pStyle w:val="ListBullet"/>
      </w:pPr>
      <w:r>
        <w:t>Expense, net assets, surplus, net margin, months of reserves, contribution detail, and grant detail are not available in the current BMF analysis layer.</w:t>
      </w:r>
    </w:p>
    <w:p>
      <w:pPr>
        <w:pStyle w:val="ListBullet"/>
      </w:pPr>
      <w:r>
        <w:t>The 2022 legacy file links to an unavailable profile dictionary, so this package includes a generated header companion and documents that limitation.</w:t>
      </w:r>
    </w:p>
    <w:p>
      <w:pPr>
        <w:pStyle w:val="ListBullet"/>
      </w:pPr>
      <w:r>
        <w:t>Duplicate handling for analysis is applied in the final analysis layer; the upstream yearly project-region files remain source-faithful filtered outputs.</w:t>
      </w:r>
    </w:p>
    <w:p>
      <w:pPr>
        <w:pStyle w:val="Heading2"/>
      </w:pPr>
      <w:r>
        <w:t>Download And S3 Storage</w:t>
      </w:r>
    </w:p>
    <w:p>
      <w:pPr>
        <w:spacing w:before="0" w:after="80"/>
      </w:pPr>
      <w:r>
        <w:t xml:space="preserve">The selected yearly raw BMF files and release metadata are downloaded locally, uploaded unchanged to Bronze S3 under </w:t>
      </w:r>
      <w:r>
        <w:rPr>
          <w:rFonts w:ascii="Consolas" w:hAnsi="Consolas"/>
          <w:sz w:val="20"/>
        </w:rPr>
        <w:t>bronze/nccs_bmf/</w:t>
      </w:r>
      <w:r>
        <w:t xml:space="preserve">, and checked against expected file sizes. Filtered yearly Parquet files and exact-year lookup files are stored under </w:t>
      </w:r>
      <w:r>
        <w:rPr>
          <w:rFonts w:ascii="Consolas" w:hAnsi="Consolas"/>
          <w:sz w:val="20"/>
        </w:rPr>
        <w:t>silver/nccs_bmf/</w:t>
      </w:r>
      <w:r>
        <w:t xml:space="preserve">, and analysis documentation is stored under </w:t>
      </w:r>
      <w:r>
        <w:rPr>
          <w:rFonts w:ascii="Consolas" w:hAnsi="Consolas"/>
          <w:sz w:val="20"/>
        </w:rPr>
        <w:t>silver/nccs_bmf/analysis/</w:t>
      </w:r>
      <w:r>
        <w:t>.</w:t>
      </w:r>
    </w:p>
    <w:p>
      <w:pPr>
        <w:pStyle w:val="Heading2"/>
      </w:pPr>
      <w:r>
        <w:t>Datatype Transformation</w:t>
      </w:r>
    </w:p>
    <w:p>
      <w:pPr>
        <w:spacing w:before="0" w:after="80"/>
      </w:pPr>
      <w:r>
        <w:t>Raw annual CSV files are preserved unchanged in Bronze S3. After project-region filtering, the pipeline writes Parquet files for yearly project-region outputs, exact-year lookup files, row-level analysis outputs, geography metrics, and field metrics.</w:t>
      </w:r>
    </w:p>
    <w:p>
      <w:pPr>
        <w:pStyle w:val="Heading2"/>
      </w:pPr>
      <w:r>
        <w:t>Data Cleaning</w:t>
      </w:r>
    </w:p>
    <w:p>
      <w:pPr>
        <w:spacing w:before="0" w:after="80"/>
      </w:pPr>
      <w:r>
        <w:t>The cleaning process keeps the raw NCCS BMF files unchanged, then creates project-specific analysis files:</w:t>
      </w:r>
    </w:p>
    <w:p>
      <w:pPr>
        <w:pStyle w:val="ListBullet"/>
      </w:pPr>
      <w:r>
        <w:t xml:space="preserve">Selects the yearly source files used for the </w:t>
      </w:r>
      <w:r>
        <w:rPr>
          <w:rFonts w:ascii="Consolas" w:hAnsi="Consolas"/>
          <w:sz w:val="20"/>
        </w:rPr>
        <w:t>2022-2024</w:t>
      </w:r>
      <w:r>
        <w:t xml:space="preserve"> analysis window.</w:t>
      </w:r>
    </w:p>
    <w:p>
      <w:pPr>
        <w:pStyle w:val="ListBullet"/>
      </w:pPr>
      <w:r>
        <w:t>Standardizes EINs, ZIP codes, county FIPS codes, region labels, and year fields.</w:t>
      </w:r>
    </w:p>
    <w:p>
      <w:pPr>
        <w:pStyle w:val="ListBullet"/>
      </w:pPr>
      <w:r>
        <w:t>Uses project geography reference files to keep only records located in the project counties and regions.</w:t>
      </w:r>
    </w:p>
    <w:p>
      <w:pPr>
        <w:pStyle w:val="ListBullet"/>
      </w:pPr>
      <w:r>
        <w:t>Writes one filtered yearly Parquet file for each selected year.</w:t>
      </w:r>
    </w:p>
    <w:p>
      <w:pPr>
        <w:pStyle w:val="ListBullet"/>
      </w:pPr>
      <w:r>
        <w:t>Creates exact-year lookup files so classification enrichment can use the right BMF year when possible.</w:t>
      </w:r>
    </w:p>
    <w:p>
      <w:pPr>
        <w:pStyle w:val="ListBullet"/>
      </w:pPr>
      <w:r>
        <w:t>Combines only the retained project-region files for the final analysis layer.</w:t>
      </w:r>
    </w:p>
    <w:p>
      <w:pPr>
        <w:pStyle w:val="ListBullet"/>
      </w:pPr>
      <w:r>
        <w:t>When duplicate organization-year records remain in the final analysis layer, keeps one record using documented tie-break rules.</w:t>
      </w:r>
    </w:p>
    <w:p>
      <w:pPr>
        <w:pStyle w:val="ListBullet"/>
      </w:pPr>
      <w:r>
        <w:t>Builds analyst-facing NTEE and subsection fields from NCCS BMF first, then uses fallback registry information where needed.</w:t>
      </w:r>
    </w:p>
    <w:p>
      <w:pPr>
        <w:pStyle w:val="ListBullet"/>
      </w:pPr>
      <w:r>
        <w:t>Creates helper flags for hospitals, universities, and political organizations based on classification and conservative name matching.</w:t>
      </w:r>
    </w:p>
    <w:p>
      <w:pPr>
        <w:pStyle w:val="ListBullet"/>
      </w:pPr>
      <w:r>
        <w:t>Leaves unsupported Form 990 financial fields blank because BMF does not contain the needed source information.</w:t>
      </w:r>
    </w:p>
    <w:p>
      <w:pPr>
        <w:pStyle w:val="Heading2"/>
      </w:pPr>
      <w:r>
        <w:t>Analysis-Ready Outputs</w:t>
      </w:r>
    </w:p>
    <w:p>
      <w:pPr>
        <w:pStyle w:val="ListBullet"/>
      </w:pPr>
      <w:r>
        <w:t xml:space="preserve">Row-level analysis dataset: </w:t>
      </w:r>
      <w:r>
        <w:rPr>
          <w:rFonts w:ascii="Consolas" w:hAnsi="Consolas"/>
          <w:sz w:val="20"/>
        </w:rPr>
        <w:t>silver/nccs_bmf/analysis/nccs_bmf_analysis_variables.parquet</w:t>
      </w:r>
      <w:r>
        <w:t>.</w:t>
      </w:r>
    </w:p>
    <w:p>
      <w:pPr>
        <w:pStyle w:val="ListBullet"/>
      </w:pPr>
      <w:r>
        <w:t xml:space="preserve">Geography metrics: </w:t>
      </w:r>
      <w:r>
        <w:rPr>
          <w:rFonts w:ascii="Consolas" w:hAnsi="Consolas"/>
          <w:sz w:val="20"/>
        </w:rPr>
        <w:t>silver/nccs_bmf/analysis/nccs_bmf_analysis_geography_metrics.parquet</w:t>
      </w:r>
      <w:r>
        <w:t>.</w:t>
      </w:r>
    </w:p>
    <w:p>
      <w:pPr>
        <w:pStyle w:val="ListBullet"/>
      </w:pPr>
      <w:r>
        <w:t xml:space="preserve">Field metrics: </w:t>
      </w:r>
      <w:r>
        <w:rPr>
          <w:rFonts w:ascii="Consolas" w:hAnsi="Consolas"/>
          <w:sz w:val="20"/>
        </w:rPr>
        <w:t>silver/nccs_bmf/analysis/nccs_bmf_analysis_field_metrics.parquet</w:t>
      </w:r>
      <w:r>
        <w:t>.</w:t>
      </w:r>
    </w:p>
    <w:p>
      <w:pPr>
        <w:pStyle w:val="ListBullet"/>
      </w:pPr>
      <w:r>
        <w:t xml:space="preserve">Pipeline documentation: </w:t>
      </w:r>
      <w:r>
        <w:rPr>
          <w:rFonts w:ascii="Consolas" w:hAnsi="Consolas"/>
          <w:sz w:val="20"/>
        </w:rPr>
        <w:t>silver/nccs_bmf/analysis/documentation/nccs_bmf_pipeline.md</w:t>
      </w:r>
      <w:r>
        <w:t>.</w:t>
      </w:r>
    </w:p>
    <w:p>
      <w:pPr>
        <w:pStyle w:val="ListBullet"/>
      </w:pPr>
      <w:r>
        <w:t xml:space="preserve">Variable mapping: </w:t>
      </w:r>
      <w:r>
        <w:rPr>
          <w:rFonts w:ascii="Consolas" w:hAnsi="Consolas"/>
          <w:sz w:val="20"/>
        </w:rPr>
        <w:t>silver/nccs_bmf/analysis/variable_mappings/nccs_bmf_analysis_variable_mapping.md</w:t>
      </w:r>
      <w:r>
        <w:t>.</w:t>
      </w:r>
    </w:p>
    <w:p>
      <w:pPr>
        <w:pStyle w:val="ListBullet"/>
      </w:pPr>
      <w:r>
        <w:t xml:space="preserve">Coverage evidence: </w:t>
      </w:r>
      <w:r>
        <w:rPr>
          <w:rFonts w:ascii="Consolas" w:hAnsi="Consolas"/>
          <w:sz w:val="20"/>
        </w:rPr>
        <w:t>silver/nccs_bmf/analysis/quality/coverage/nccs_bmf_analysis_variable_coverage.csv</w:t>
      </w:r>
      <w:r>
        <w:t>.</w:t>
      </w:r>
    </w:p>
    <w:p>
      <w:pPr>
        <w:pStyle w:val="Heading2"/>
      </w:pPr>
      <w:r>
        <w:t>Analysis Data Dictionary</w:t>
      </w:r>
    </w:p>
    <w:p>
      <w:pPr>
        <w:spacing w:before="0" w:after="80"/>
      </w:pPr>
      <w:r>
        <w:t xml:space="preserve">Use </w:t>
      </w:r>
      <w:r>
        <w:rPr>
          <w:rFonts w:ascii="Consolas" w:hAnsi="Consolas"/>
          <w:sz w:val="20"/>
        </w:rPr>
        <w:t>docs/final_preprocessing_docs/technical_docs/analysis_variable_mappings/nccs_bmf_analysis_variable_mapping.md</w:t>
      </w:r>
      <w:r>
        <w:t xml:space="preserve"> as the analysis-ready data dictionary. Use </w:t>
      </w:r>
      <w:r>
        <w:rPr>
          <w:rFonts w:ascii="Consolas" w:hAnsi="Consolas"/>
          <w:sz w:val="20"/>
        </w:rPr>
        <w:t>docs/final_preprocessing_docs/technical_docs/quality/coverage_evidence/nccs_bmf_analysis_variable_coverage.csv</w:t>
      </w:r>
      <w:r>
        <w:t xml:space="preserve"> to confirm populated counts and coverage.</w:t>
      </w:r>
    </w:p>
    <w:p>
      <w:pPr>
        <w:pStyle w:val="Heading2"/>
      </w:pPr>
      <w:r>
        <w:t>Supporting Raw Dictionaries</w:t>
      </w:r>
    </w:p>
    <w:p>
      <w:pPr>
        <w:pStyle w:val="ListBullet"/>
      </w:pPr>
      <w:r/>
      <w:r>
        <w:rPr>
          <w:rFonts w:ascii="Consolas" w:hAnsi="Consolas"/>
          <w:sz w:val="20"/>
        </w:rPr>
        <w:t>docs/final_preprocessing_docs/technical_docs/source_dictionaries/irs_eo_bmf/eo-info.pdf</w:t>
      </w:r>
      <w:r>
        <w:t>.</w:t>
      </w:r>
    </w:p>
    <w:p>
      <w:pPr>
        <w:pStyle w:val="ListBullet"/>
      </w:pPr>
      <w:r/>
      <w:r>
        <w:rPr>
          <w:rFonts w:ascii="Consolas" w:hAnsi="Consolas"/>
          <w:sz w:val="20"/>
        </w:rPr>
        <w:t>docs/final_preprocessing_docs/technical_docs/source_dictionaries/nccs_bmf_raw_monthly/2026-03-BMF_header_dictionary.csv</w:t>
      </w:r>
      <w:r>
        <w:t>.</w:t>
      </w:r>
    </w:p>
    <w:p>
      <w:pPr>
        <w:pStyle w:val="ListBullet"/>
      </w:pPr>
      <w:r/>
      <w:r>
        <w:rPr>
          <w:rFonts w:ascii="Consolas" w:hAnsi="Consolas"/>
          <w:sz w:val="20"/>
        </w:rPr>
        <w:t>docs/final_preprocessing_docs/technical_docs/source_dictionaries/nccs_bmf_legacy_2022/dd_unavailable.html</w:t>
      </w:r>
      <w:r>
        <w:t>.</w:t>
      </w:r>
    </w:p>
    <w:p>
      <w:pPr>
        <w:pStyle w:val="ListBullet"/>
      </w:pPr>
      <w:r/>
      <w:r>
        <w:rPr>
          <w:rFonts w:ascii="Consolas" w:hAnsi="Consolas"/>
          <w:sz w:val="20"/>
        </w:rPr>
        <w:t>docs/final_preprocessing_docs/technical_docs/source_dictionaries/nccs_bmf_legacy_2022/BMF-2022-08-501CX-NONPROFIT-PX_header_dictionary.csv</w:t>
      </w:r>
      <w:r>
        <w:t>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0" w:lineRule="exact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0" w:lineRule="exact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0" w:lineRule="exact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60" w:lineRule="exact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60" w:lineRule="exact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