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GivingTuesday 990 DataMart Client Documentation</w:t>
      </w:r>
    </w:p>
    <w:p>
      <w:pPr>
        <w:pStyle w:val="Heading2"/>
      </w:pPr>
      <w:r>
        <w:t>Background</w:t>
      </w:r>
    </w:p>
    <w:p>
      <w:pPr>
        <w:spacing w:before="0" w:after="80"/>
      </w:pPr>
      <w:r>
        <w:t xml:space="preserve">The GivingTuesday 990 DataMart pipeline uses the public GivingTuesday DataMart catalog and selected raw DataMart CSV files to build benchmark-filtered filing outputs and a basic-only analysis dataset for </w:t>
      </w:r>
      <w:r>
        <w:rPr>
          <w:rFonts w:ascii="Consolas" w:hAnsi="Consolas"/>
          <w:sz w:val="20"/>
        </w:rPr>
        <w:t>2022-2024</w:t>
      </w:r>
      <w:r>
        <w:t>.</w:t>
      </w:r>
    </w:p>
    <w:p>
      <w:pPr>
        <w:spacing w:before="0" w:after="80"/>
      </w:pPr>
      <w:r>
        <w:t xml:space="preserve">The detailed technical pipeline documentation is </w:t>
      </w:r>
      <w:r>
        <w:rPr>
          <w:rFonts w:ascii="Consolas" w:hAnsi="Consolas"/>
          <w:sz w:val="20"/>
        </w:rPr>
        <w:t>documentation/final_preprocessing_docs/technical_docs/pipeline_docs/givingtuesday_datamart_pipeline.md</w:t>
      </w:r>
      <w:r>
        <w:t>.</w:t>
      </w:r>
    </w:p>
    <w:p>
      <w:pPr>
        <w:pStyle w:val="Heading2"/>
      </w:pPr>
      <w:r>
        <w:t>Data Provenance</w:t>
      </w:r>
    </w:p>
    <w:p>
      <w:pPr>
        <w:pStyle w:val="ListBullet"/>
      </w:pPr>
      <w:r>
        <w:t>Producer: GivingTuesday.</w:t>
      </w:r>
    </w:p>
    <w:p>
      <w:pPr>
        <w:pStyle w:val="ListBullet"/>
      </w:pPr>
      <w:r>
        <w:t xml:space="preserve">Source page: </w:t>
      </w:r>
      <w:r>
        <w:rPr>
          <w:rFonts w:ascii="Consolas" w:hAnsi="Consolas"/>
          <w:sz w:val="20"/>
        </w:rPr>
        <w:t>https://990data.givingtuesday.org/datamarts/</w:t>
      </w:r>
      <w:r>
        <w:t>.</w:t>
      </w:r>
    </w:p>
    <w:p>
      <w:pPr>
        <w:pStyle w:val="ListBullet"/>
      </w:pPr>
      <w:r>
        <w:t xml:space="preserve">Public catalog API: </w:t>
      </w:r>
      <w:r>
        <w:rPr>
          <w:rFonts w:ascii="Consolas" w:hAnsi="Consolas"/>
          <w:sz w:val="20"/>
        </w:rPr>
        <w:t>https://grantstory-api.gtdata.org/v2/public/678d25291eceb5d121099200/items?limit=200</w:t>
      </w:r>
      <w:r>
        <w:t>.</w:t>
      </w:r>
    </w:p>
    <w:p>
      <w:pPr>
        <w:pStyle w:val="ListBullet"/>
      </w:pPr>
      <w:r>
        <w:t>Per-file download URLs are catalog-derived and captured in pipeline manifests.</w:t>
      </w:r>
    </w:p>
    <w:p>
      <w:pPr>
        <w:pStyle w:val="ListBullet"/>
      </w:pPr>
      <w:r>
        <w:t>Raw dictionary support comes from the exported catalog and field dictionary files.</w:t>
      </w:r>
    </w:p>
    <w:p>
      <w:pPr>
        <w:pStyle w:val="Heading2"/>
      </w:pPr>
      <w:r>
        <w:t>Collection Method</w:t>
      </w:r>
    </w:p>
    <w:p>
      <w:pPr>
        <w:spacing w:before="0" w:after="80"/>
      </w:pPr>
      <w:r>
        <w:t>The pipeline consumes GivingTuesday DataMart files derived from public nonprofit filing data and GivingTuesday's cataloged standard-field extracts. This repo does not collect voluntary survey responses and does not build the GT analysis layer from IRS XML directly.</w:t>
      </w:r>
    </w:p>
    <w:p>
      <w:pPr>
        <w:pStyle w:val="Heading2"/>
      </w:pPr>
      <w:r>
        <w:t>Inclusion Criteria And Limitations</w:t>
      </w:r>
    </w:p>
    <w:p>
      <w:pPr>
        <w:spacing w:before="0" w:after="80"/>
      </w:pPr>
      <w:r>
        <w:t xml:space="preserve">The pipeline selects the Combined Forms DataMart plus Basic Fields files for Forms 990, 990-EZ, and 990-PF, restricts the current analysis window to tax years </w:t>
      </w:r>
      <w:r>
        <w:rPr>
          <w:rFonts w:ascii="Consolas" w:hAnsi="Consolas"/>
          <w:sz w:val="20"/>
        </w:rPr>
        <w:t>2022-2024</w:t>
      </w:r>
      <w:r>
        <w:t>, and applies benchmark geography/ROI admission before heavy combine stages. The final analysis layer is GT basic-only and uses documented NCCS/IRS classification enrichment because the GT raw fields used here do not carry the required NTEE fields directly.</w:t>
      </w:r>
    </w:p>
    <w:p>
      <w:pPr>
        <w:pStyle w:val="Heading2"/>
      </w:pPr>
      <w:r>
        <w:t>Download And S3 Storage</w:t>
      </w:r>
    </w:p>
    <w:p>
      <w:pPr>
        <w:spacing w:before="0" w:after="80"/>
      </w:pPr>
      <w:r>
        <w:t xml:space="preserve">Required raw GT CSVs and metadata are downloaded locally, uploaded unchanged to Bronze S3 under </w:t>
      </w:r>
      <w:r>
        <w:rPr>
          <w:rFonts w:ascii="Consolas" w:hAnsi="Consolas"/>
          <w:sz w:val="20"/>
        </w:rPr>
        <w:t>bronze/givingtuesday_990/datamarts/raw/</w:t>
      </w:r>
      <w:r>
        <w:t xml:space="preserve"> and </w:t>
      </w:r>
      <w:r>
        <w:rPr>
          <w:rFonts w:ascii="Consolas" w:hAnsi="Consolas"/>
          <w:sz w:val="20"/>
        </w:rPr>
        <w:t>bronze/givingtuesday_990/datamarts/metadata/</w:t>
      </w:r>
      <w:r>
        <w:t xml:space="preserve">, and verified with source/local/S3 byte checks. Pre-Silver and Silver filing outputs are stored under GT Bronze/Silver filing prefixes, and analysis documentation is stored under </w:t>
      </w:r>
      <w:r>
        <w:rPr>
          <w:rFonts w:ascii="Consolas" w:hAnsi="Consolas"/>
          <w:sz w:val="20"/>
        </w:rPr>
        <w:t>silver/givingtuesday_990/analysis/</w:t>
      </w:r>
      <w:r>
        <w:t>.</w:t>
      </w:r>
    </w:p>
    <w:p>
      <w:pPr>
        <w:pStyle w:val="Heading2"/>
      </w:pPr>
      <w:r>
        <w:t>Datatype Transformation</w:t>
      </w:r>
    </w:p>
    <w:p>
      <w:pPr>
        <w:spacing w:before="0" w:after="80"/>
      </w:pPr>
      <w:r>
        <w:t>Raw GT CSV files remain unchanged in Bronze S3. Later stages create a normalized Combined cache Parquet, admitted pre-Silver Parquet files, Silver benchmark Parquet files, and final analysis Parquet outputs.</w:t>
      </w:r>
    </w:p>
    <w:p>
      <w:pPr>
        <w:pStyle w:val="Heading2"/>
      </w:pPr>
      <w:r>
        <w:t>Data Cleaning</w:t>
      </w:r>
    </w:p>
    <w:p>
      <w:pPr>
        <w:spacing w:before="0" w:after="80"/>
      </w:pPr>
      <w:r>
        <w:t>Cleaning includes catalog-driven required-file selection, raw header-based field dictionary export, low-risk field normalization, ROI key construction, benchmark geography assignment, deterministic filing deduplication, Basic/Combined curation, calculated revenue/contribution/grant fields, NCCS/IRS classification enrichment, and imputed/proxy exclusion-support flags.</w:t>
      </w:r>
    </w:p>
    <w:p>
      <w:pPr>
        <w:pStyle w:val="Heading2"/>
      </w:pPr>
      <w:r>
        <w:t>Analysis-Ready Outputs</w:t>
      </w:r>
    </w:p>
    <w:p>
      <w:pPr>
        <w:pStyle w:val="ListBullet"/>
      </w:pPr>
      <w:r>
        <w:t xml:space="preserve">Row-level analysis dataset: </w:t>
      </w:r>
      <w:r>
        <w:rPr>
          <w:rFonts w:ascii="Consolas" w:hAnsi="Consolas"/>
          <w:sz w:val="20"/>
        </w:rPr>
        <w:t>silver/givingtuesday_990/analysis/givingtuesday_990_basic_allforms_analysis_variables.parquet</w:t>
      </w:r>
      <w:r>
        <w:t>.</w:t>
      </w:r>
    </w:p>
    <w:p>
      <w:pPr>
        <w:pStyle w:val="ListBullet"/>
      </w:pPr>
      <w:r>
        <w:t xml:space="preserve">Region metrics: </w:t>
      </w:r>
      <w:r>
        <w:rPr>
          <w:rFonts w:ascii="Consolas" w:hAnsi="Consolas"/>
          <w:sz w:val="20"/>
        </w:rPr>
        <w:t>silver/givingtuesday_990/analysis/givingtuesday_990_basic_allforms_analysis_region_metrics.parquet</w:t>
      </w:r>
      <w:r>
        <w:t>.</w:t>
      </w:r>
    </w:p>
    <w:p>
      <w:pPr>
        <w:pStyle w:val="ListBullet"/>
      </w:pPr>
      <w:r>
        <w:t xml:space="preserve">Pipeline documentation: </w:t>
      </w:r>
      <w:r>
        <w:rPr>
          <w:rFonts w:ascii="Consolas" w:hAnsi="Consolas"/>
          <w:sz w:val="20"/>
        </w:rPr>
        <w:t>silver/givingtuesday_990/analysis/documentation/givingtuesday_datamart_pipeline.md</w:t>
      </w:r>
      <w:r>
        <w:t>.</w:t>
      </w:r>
    </w:p>
    <w:p>
      <w:pPr>
        <w:pStyle w:val="ListBullet"/>
      </w:pPr>
      <w:r>
        <w:t xml:space="preserve">Variable mapping: </w:t>
      </w:r>
      <w:r>
        <w:rPr>
          <w:rFonts w:ascii="Consolas" w:hAnsi="Consolas"/>
          <w:sz w:val="20"/>
        </w:rPr>
        <w:t>silver/givingtuesday_990/analysis/variable_mappings/givingtuesday_basic_analysis_variable_mapping.md</w:t>
      </w:r>
      <w:r>
        <w:t>.</w:t>
      </w:r>
    </w:p>
    <w:p>
      <w:pPr>
        <w:pStyle w:val="ListBullet"/>
      </w:pPr>
      <w:r>
        <w:t xml:space="preserve">Coverage evidence: </w:t>
      </w:r>
      <w:r>
        <w:rPr>
          <w:rFonts w:ascii="Consolas" w:hAnsi="Consolas"/>
          <w:sz w:val="20"/>
        </w:rPr>
        <w:t>silver/givingtuesday_990/analysis/quality/coverage/givingtuesday_990_basic_allforms_analysis_variable_coverage.csv</w:t>
      </w:r>
      <w:r>
        <w:t>.</w:t>
      </w:r>
    </w:p>
    <w:p>
      <w:pPr>
        <w:pStyle w:val="Heading2"/>
      </w:pPr>
      <w:r>
        <w:t>Analysis Data Dictionary</w:t>
      </w:r>
    </w:p>
    <w:p>
      <w:pPr>
        <w:spacing w:before="0" w:after="80"/>
      </w:pPr>
      <w:r>
        <w:t xml:space="preserve">Use </w:t>
      </w:r>
      <w:r>
        <w:rPr>
          <w:rFonts w:ascii="Consolas" w:hAnsi="Consolas"/>
          <w:sz w:val="20"/>
        </w:rPr>
        <w:t>documentation/final_preprocessing_docs/technical_docs/analysis_variable_mappings/givingtuesday_basic_analysis_variable_mapping.md</w:t>
      </w:r>
      <w:r>
        <w:t xml:space="preserve"> as the analysis-ready data dictionary. Use </w:t>
      </w:r>
      <w:r>
        <w:rPr>
          <w:rFonts w:ascii="Consolas" w:hAnsi="Consolas"/>
          <w:sz w:val="20"/>
        </w:rPr>
        <w:t>documentation/final_preprocessing_docs/technical_docs/quality/coverage_evidence/givingtuesday_990_basic_allforms_analysis_variable_coverage.csv</w:t>
      </w:r>
      <w:r>
        <w:t xml:space="preserve"> to confirm populated counts and coverage.</w:t>
      </w:r>
    </w:p>
    <w:p>
      <w:pPr>
        <w:pStyle w:val="Heading2"/>
      </w:pPr>
      <w:r>
        <w:t>Supporting Raw Dictionaries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documentation/final_preprocessing_docs/technical_docs/source_dictionaries/givingtuesday_datamarts/datamart_catalog.md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documentation/final_preprocessing_docs/technical_docs/source_dictionaries/givingtuesday_datamarts/datamart_fields.md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documentation/final_preprocessing_docs/technical_docs/source_dictionaries/givingtuesday_datamarts/datamart_catalog.csv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documentation/final_preprocessing_docs/technical_docs/source_dictionaries/givingtuesday_datamarts/datamart_fields.csv</w:t>
      </w:r>
      <w:r>
        <w:t>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0" w:lineRule="exac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0" w:lineRule="exact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0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6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60" w:lineRule="exact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