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IRS EO BMF Client Documentation</w:t>
      </w:r>
    </w:p>
    <w:p>
      <w:pPr>
        <w:pStyle w:val="Heading2"/>
      </w:pPr>
      <w:r>
        <w:t>Background</w:t>
      </w:r>
    </w:p>
    <w:p>
      <w:pPr>
        <w:spacing w:before="0" w:after="80"/>
      </w:pPr>
      <w:r>
        <w:t>The IRS Exempt Organizations Business Master File (EO BMF) is a registry-style dataset used here to support nonprofit counts, exempt-organization classification, NTEE/subsection context, and benchmark-region analysis. It is not a full annual Form 990 filing dataset and does not contain the full financial detail available from return-level sources.</w:t>
      </w:r>
    </w:p>
    <w:p>
      <w:pPr>
        <w:spacing w:before="0" w:after="80"/>
      </w:pPr>
      <w:r>
        <w:t xml:space="preserve">The detailed technical pipeline documentation is </w:t>
      </w:r>
      <w:r>
        <w:rPr>
          <w:rFonts w:ascii="Consolas" w:hAnsi="Consolas"/>
          <w:sz w:val="20"/>
        </w:rPr>
        <w:t>documentation/final_preprocessing_docs/technical_docs/pipeline_docs/irs_bmf_pipeline.md</w:t>
      </w:r>
      <w:r>
        <w:t>.</w:t>
      </w:r>
    </w:p>
    <w:p>
      <w:pPr>
        <w:pStyle w:val="Heading2"/>
      </w:pPr>
      <w:r>
        <w:t>Data Provenance</w:t>
      </w:r>
    </w:p>
    <w:p>
      <w:pPr>
        <w:pStyle w:val="ListBullet"/>
      </w:pPr>
      <w:r>
        <w:t>Producer: Internal Revenue Service.</w:t>
      </w:r>
    </w:p>
    <w:p>
      <w:pPr>
        <w:pStyle w:val="ListBullet"/>
      </w:pPr>
      <w:r>
        <w:t>Source: IRS Statistics of Income public EO BMF state CSV extracts.</w:t>
      </w:r>
    </w:p>
    <w:p>
      <w:pPr>
        <w:pStyle w:val="ListBullet"/>
      </w:pPr>
      <w:r>
        <w:t xml:space="preserve">Downloaded files: </w:t>
      </w:r>
      <w:r>
        <w:rPr>
          <w:rFonts w:ascii="Consolas" w:hAnsi="Consolas"/>
          <w:sz w:val="20"/>
        </w:rPr>
        <w:t>eo_sd.csv</w:t>
      </w:r>
      <w:r>
        <w:t xml:space="preserve">, </w:t>
      </w:r>
      <w:r>
        <w:rPr>
          <w:rFonts w:ascii="Consolas" w:hAnsi="Consolas"/>
          <w:sz w:val="20"/>
        </w:rPr>
        <w:t>eo_mn.csv</w:t>
      </w:r>
      <w:r>
        <w:t xml:space="preserve">, </w:t>
      </w:r>
      <w:r>
        <w:rPr>
          <w:rFonts w:ascii="Consolas" w:hAnsi="Consolas"/>
          <w:sz w:val="20"/>
        </w:rPr>
        <w:t>eo_mt.csv</w:t>
      </w:r>
      <w:r>
        <w:t xml:space="preserve">, and </w:t>
      </w:r>
      <w:r>
        <w:rPr>
          <w:rFonts w:ascii="Consolas" w:hAnsi="Consolas"/>
          <w:sz w:val="20"/>
        </w:rPr>
        <w:t>eo_az.csv</w:t>
      </w:r>
      <w:r>
        <w:t>.</w:t>
      </w:r>
    </w:p>
    <w:p>
      <w:pPr>
        <w:pStyle w:val="ListBullet"/>
      </w:pPr>
      <w:r>
        <w:t xml:space="preserve">Source URLs: </w:t>
      </w:r>
      <w:r>
        <w:rPr>
          <w:rFonts w:ascii="Consolas" w:hAnsi="Consolas"/>
          <w:sz w:val="20"/>
        </w:rPr>
        <w:t>https://www.irs.gov/pub/irs-soi/eo_{state}.csv</w:t>
      </w:r>
      <w:r>
        <w:t>.</w:t>
      </w:r>
    </w:p>
    <w:p>
      <w:pPr>
        <w:pStyle w:val="ListBullet"/>
      </w:pPr>
      <w:r>
        <w:t xml:space="preserve">Raw dictionary: </w:t>
      </w:r>
      <w:r>
        <w:rPr>
          <w:rFonts w:ascii="Consolas" w:hAnsi="Consolas"/>
          <w:sz w:val="20"/>
        </w:rPr>
        <w:t>documentation/final_preprocessing_docs/technical_docs/source_dictionaries/irs_eo_bmf/eo-info.pdf</w:t>
      </w:r>
      <w:r>
        <w:t>.</w:t>
      </w:r>
    </w:p>
    <w:p>
      <w:pPr>
        <w:pStyle w:val="Heading2"/>
      </w:pPr>
      <w:r>
        <w:t>Collection Method</w:t>
      </w:r>
    </w:p>
    <w:p>
      <w:pPr>
        <w:spacing w:before="0" w:after="80"/>
      </w:pPr>
      <w:r>
        <w:t>The EO BMF is an IRS administrative registry extract. It is not a voluntary survey and it is not a complete Form 990 filing table. The fields reflect IRS exempt-organization registry information and limited registry financial/classification fields.</w:t>
      </w:r>
    </w:p>
    <w:p>
      <w:pPr>
        <w:pStyle w:val="Heading2"/>
      </w:pPr>
      <w:r>
        <w:t>Inclusion Criteria And Limitations</w:t>
      </w:r>
    </w:p>
    <w:p>
      <w:pPr>
        <w:spacing w:before="0" w:after="80"/>
      </w:pPr>
      <w:r>
        <w:t xml:space="preserve">The pipeline includes the configured benchmark states SD, MN, MT, and AZ, filters records to the benchmark counties, and keeps analysis tax years </w:t>
      </w:r>
      <w:r>
        <w:rPr>
          <w:rFonts w:ascii="Consolas" w:hAnsi="Consolas"/>
          <w:sz w:val="20"/>
        </w:rPr>
        <w:t>2022-2024</w:t>
      </w:r>
      <w:r>
        <w:t xml:space="preserve"> inferred from </w:t>
      </w:r>
      <w:r>
        <w:rPr>
          <w:rFonts w:ascii="Consolas" w:hAnsi="Consolas"/>
          <w:sz w:val="20"/>
        </w:rPr>
        <w:t>TAX_PERIOD</w:t>
      </w:r>
      <w:r>
        <w:t>. IRS EO BMF lacks several Form 990-style fields, including total expense, detailed contribution/grant components, net assets, net margin, and months of reserves.</w:t>
      </w:r>
    </w:p>
    <w:p>
      <w:pPr>
        <w:pStyle w:val="Heading2"/>
      </w:pPr>
      <w:r>
        <w:t>Download And S3 Storage</w:t>
      </w:r>
    </w:p>
    <w:p>
      <w:pPr>
        <w:spacing w:before="0" w:after="80"/>
      </w:pPr>
      <w:r>
        <w:t xml:space="preserve">Raw state CSV files are downloaded from IRS public URLs, stored locally under the IRS BMF raw data root, uploaded unchanged to Bronze S3 under </w:t>
      </w:r>
      <w:r>
        <w:rPr>
          <w:rFonts w:ascii="Consolas" w:hAnsi="Consolas"/>
          <w:sz w:val="20"/>
        </w:rPr>
        <w:t>bronze/irs990/bmf/</w:t>
      </w:r>
      <w:r>
        <w:t xml:space="preserve">, and verified with source/local/S3 byte checks. Filtered outputs are stored under </w:t>
      </w:r>
      <w:r>
        <w:rPr>
          <w:rFonts w:ascii="Consolas" w:hAnsi="Consolas"/>
          <w:sz w:val="20"/>
        </w:rPr>
        <w:t>silver/irs990/bmf/</w:t>
      </w:r>
      <w:r>
        <w:t xml:space="preserve">, and analysis documentation is stored under </w:t>
      </w:r>
      <w:r>
        <w:rPr>
          <w:rFonts w:ascii="Consolas" w:hAnsi="Consolas"/>
          <w:sz w:val="20"/>
        </w:rPr>
        <w:t>silver/irs990/bmf/analysis/</w:t>
      </w:r>
      <w:r>
        <w:t>.</w:t>
      </w:r>
    </w:p>
    <w:p>
      <w:pPr>
        <w:pStyle w:val="Heading2"/>
      </w:pPr>
      <w:r>
        <w:t>Datatype Transformation</w:t>
      </w:r>
    </w:p>
    <w:p>
      <w:pPr>
        <w:spacing w:before="0" w:after="80"/>
      </w:pPr>
      <w:r>
        <w:t>Raw IRS CSV files remain unchanged in Bronze S3. The pipeline writes Parquet only after benchmark filtering and analysis extraction: combined filtered Parquet, yearly benchmark Parquet, row-level analysis Parquet, geography metrics Parquet, and field metrics Parquet.</w:t>
      </w:r>
    </w:p>
    <w:p>
      <w:pPr>
        <w:pStyle w:val="Heading2"/>
      </w:pPr>
      <w:r>
        <w:t>Data Cleaning</w:t>
      </w:r>
    </w:p>
    <w:p>
      <w:pPr>
        <w:spacing w:before="0" w:after="80"/>
      </w:pPr>
      <w:r>
        <w:t xml:space="preserve">Cleaning includes ZIP normalization, county and benchmark-region assignment, benchmark-county filtering, tax-year derivation from </w:t>
      </w:r>
      <w:r>
        <w:rPr>
          <w:rFonts w:ascii="Consolas" w:hAnsi="Consolas"/>
          <w:sz w:val="20"/>
        </w:rPr>
        <w:t>TAX_PERIOD</w:t>
      </w:r>
      <w:r>
        <w:t>, filter-before-combine processing, cross-state duplicate EIN-year resolution, IRS-first NTEE/subsection retention, NCCS fallback enrichment for analyst-facing fields, and explicit proxy/imputed classification flags.</w:t>
      </w:r>
    </w:p>
    <w:p>
      <w:pPr>
        <w:pStyle w:val="Heading2"/>
      </w:pPr>
      <w:r>
        <w:t>Analysis-Ready Outputs</w:t>
      </w:r>
    </w:p>
    <w:p>
      <w:pPr>
        <w:pStyle w:val="ListBullet"/>
      </w:pPr>
      <w:r>
        <w:t xml:space="preserve">Row-level analysis dataset: </w:t>
      </w:r>
      <w:r>
        <w:rPr>
          <w:rFonts w:ascii="Consolas" w:hAnsi="Consolas"/>
          <w:sz w:val="20"/>
        </w:rPr>
        <w:t>silver/irs990/bmf/analysis/irs_bmf_analysis_variables.parquet</w:t>
      </w:r>
      <w:r>
        <w:t>.</w:t>
      </w:r>
    </w:p>
    <w:p>
      <w:pPr>
        <w:pStyle w:val="ListBullet"/>
      </w:pPr>
      <w:r>
        <w:t xml:space="preserve">Geography metrics: </w:t>
      </w:r>
      <w:r>
        <w:rPr>
          <w:rFonts w:ascii="Consolas" w:hAnsi="Consolas"/>
          <w:sz w:val="20"/>
        </w:rPr>
        <w:t>silver/irs990/bmf/analysis/irs_bmf_analysis_geography_metrics.parquet</w:t>
      </w:r>
      <w:r>
        <w:t>.</w:t>
      </w:r>
    </w:p>
    <w:p>
      <w:pPr>
        <w:pStyle w:val="ListBullet"/>
      </w:pPr>
      <w:r>
        <w:t xml:space="preserve">Field metrics: </w:t>
      </w:r>
      <w:r>
        <w:rPr>
          <w:rFonts w:ascii="Consolas" w:hAnsi="Consolas"/>
          <w:sz w:val="20"/>
        </w:rPr>
        <w:t>silver/irs990/bmf/analysis/irs_bmf_analysis_field_metrics.parquet</w:t>
      </w:r>
      <w:r>
        <w:t>.</w:t>
      </w:r>
    </w:p>
    <w:p>
      <w:pPr>
        <w:pStyle w:val="ListBullet"/>
      </w:pPr>
      <w:r>
        <w:t xml:space="preserve">Pipeline documentation: </w:t>
      </w:r>
      <w:r>
        <w:rPr>
          <w:rFonts w:ascii="Consolas" w:hAnsi="Consolas"/>
          <w:sz w:val="20"/>
        </w:rPr>
        <w:t>silver/irs990/bmf/analysis/documentation/irs_bmf_pipeline.md</w:t>
      </w:r>
      <w:r>
        <w:t>.</w:t>
      </w:r>
    </w:p>
    <w:p>
      <w:pPr>
        <w:pStyle w:val="ListBullet"/>
      </w:pPr>
      <w:r>
        <w:t xml:space="preserve">Variable mapping: </w:t>
      </w:r>
      <w:r>
        <w:rPr>
          <w:rFonts w:ascii="Consolas" w:hAnsi="Consolas"/>
          <w:sz w:val="20"/>
        </w:rPr>
        <w:t>silver/irs990/bmf/analysis/variable_mappings/irs_bmf_analysis_variable_mapping.md</w:t>
      </w:r>
      <w:r>
        <w:t>.</w:t>
      </w:r>
    </w:p>
    <w:p>
      <w:pPr>
        <w:pStyle w:val="ListBullet"/>
      </w:pPr>
      <w:r>
        <w:t xml:space="preserve">Coverage evidence: </w:t>
      </w:r>
      <w:r>
        <w:rPr>
          <w:rFonts w:ascii="Consolas" w:hAnsi="Consolas"/>
          <w:sz w:val="20"/>
        </w:rPr>
        <w:t>silver/irs990/bmf/analysis/quality/coverage/irs_bmf_analysis_variable_coverage.csv</w:t>
      </w:r>
      <w:r>
        <w:t>.</w:t>
      </w:r>
    </w:p>
    <w:p>
      <w:pPr>
        <w:pStyle w:val="Heading2"/>
      </w:pPr>
      <w:r>
        <w:t>Analysis Data Dictionary</w:t>
      </w:r>
    </w:p>
    <w:p>
      <w:pPr>
        <w:spacing w:before="0" w:after="80"/>
      </w:pPr>
      <w:r>
        <w:t xml:space="preserve">Use </w:t>
      </w:r>
      <w:r>
        <w:rPr>
          <w:rFonts w:ascii="Consolas" w:hAnsi="Consolas"/>
          <w:sz w:val="20"/>
        </w:rPr>
        <w:t>documentation/final_preprocessing_docs/technical_docs/analysis_variable_mappings/irs_bmf_analysis_variable_mapping.md</w:t>
      </w:r>
      <w:r>
        <w:t xml:space="preserve"> as the analysis-ready data dictionary. Use </w:t>
      </w:r>
      <w:r>
        <w:rPr>
          <w:rFonts w:ascii="Consolas" w:hAnsi="Consolas"/>
          <w:sz w:val="20"/>
        </w:rPr>
        <w:t>documentation/final_preprocessing_docs/technical_docs/quality/coverage_evidence/irs_bmf_analysis_variable_coverage.csv</w:t>
      </w:r>
      <w:r>
        <w:t xml:space="preserve"> to confirm populated counts and coverage.</w:t>
      </w:r>
    </w:p>
    <w:p>
      <w:pPr>
        <w:pStyle w:val="Heading2"/>
      </w:pPr>
      <w:r>
        <w:t>Supporting Raw Dictionaries</w:t>
      </w:r>
    </w:p>
    <w:p>
      <w:pPr>
        <w:pStyle w:val="ListBullet"/>
      </w:pPr>
      <w:r/>
      <w:r>
        <w:rPr>
          <w:rFonts w:ascii="Consolas" w:hAnsi="Consolas"/>
          <w:sz w:val="20"/>
        </w:rPr>
        <w:t>documentation/final_preprocessing_docs/technical_docs/source_dictionaries/irs_eo_bmf/eo-info.pdf</w:t>
      </w:r>
      <w:r>
        <w:t>.</w:t>
      </w:r>
    </w:p>
    <w:p>
      <w:pPr>
        <w:pStyle w:val="ListBullet"/>
      </w:pPr>
      <w:r/>
      <w:r>
        <w:rPr>
          <w:rFonts w:ascii="Consolas" w:hAnsi="Consolas"/>
          <w:sz w:val="20"/>
        </w:rPr>
        <w:t>documentation/final_preprocessing_docs/technical_docs/source_dictionaries/README.md</w:t>
      </w:r>
      <w:r>
        <w:t>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0" w:lineRule="exact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60" w:lineRule="exact"/>
      <w:outlineLvl w:val="0"/>
    </w:pPr>
    <w:rPr>
      <w:rFonts w:asciiTheme="majorHAnsi" w:eastAsiaTheme="majorEastAsia" w:hAnsiTheme="majorHAnsi" w:cstheme="majorBidi" w:ascii="Calibri Light" w:hAnsi="Calibri Light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60" w:lineRule="exact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0" w:lineRule="exact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60" w:lineRule="exact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60" w:lineRule="exact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