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NCCS 990 Core Client Documentation</w:t>
      </w:r>
    </w:p>
    <w:p>
      <w:pPr>
        <w:pStyle w:val="Heading2"/>
      </w:pPr>
      <w:r>
        <w:t>Background</w:t>
      </w:r>
    </w:p>
    <w:p>
      <w:pPr>
        <w:spacing w:before="0" w:after="80"/>
      </w:pPr>
      <w:r>
        <w:t>The NCCS 990 Core dataset is a processed public filing layer used here as a co-equal source-specific Form 990 analysis package. It provides harmonized filing fields and uses BMF bridge inputs for benchmark geography.</w:t>
      </w:r>
    </w:p>
    <w:p>
      <w:pPr>
        <w:spacing w:before="0" w:after="80"/>
      </w:pPr>
      <w:r>
        <w:t xml:space="preserve">The detailed technical pipeline documentation is </w:t>
      </w:r>
      <w:r>
        <w:rPr>
          <w:rFonts w:ascii="Consolas" w:hAnsi="Consolas"/>
          <w:sz w:val="20"/>
        </w:rPr>
        <w:t>documentation/final_preprocessing_docs/technical_docs/pipeline_docs/nccs_990_core_pipeline.md</w:t>
      </w:r>
      <w:r>
        <w:t>.</w:t>
      </w:r>
    </w:p>
    <w:p>
      <w:pPr>
        <w:pStyle w:val="Heading2"/>
      </w:pPr>
      <w:r>
        <w:t>Data Provenance</w:t>
      </w:r>
    </w:p>
    <w:p>
      <w:pPr>
        <w:pStyle w:val="ListBullet"/>
      </w:pPr>
      <w:r>
        <w:t>Producer: National Center for Charitable Statistics at the Urban Institute.</w:t>
      </w:r>
    </w:p>
    <w:p>
      <w:pPr>
        <w:pStyle w:val="ListBullet"/>
      </w:pPr>
      <w:r>
        <w:t xml:space="preserve">Core catalog page: </w:t>
      </w:r>
      <w:r>
        <w:rPr>
          <w:rFonts w:ascii="Consolas" w:hAnsi="Consolas"/>
          <w:sz w:val="20"/>
        </w:rPr>
        <w:t>https://nccs.urban.org/nccs/catalogs/catalog-core.html</w:t>
      </w:r>
      <w:r>
        <w:t>.</w:t>
      </w:r>
    </w:p>
    <w:p>
      <w:pPr>
        <w:pStyle w:val="ListBullet"/>
      </w:pPr>
      <w:r>
        <w:t xml:space="preserve">BMF bridge catalog page: </w:t>
      </w:r>
      <w:r>
        <w:rPr>
          <w:rFonts w:ascii="Consolas" w:hAnsi="Consolas"/>
          <w:sz w:val="20"/>
        </w:rPr>
        <w:t>https://nccs.urban.org/nccs/catalogs/catalog-bmf.html</w:t>
      </w:r>
      <w:r>
        <w:t>.</w:t>
      </w:r>
    </w:p>
    <w:p>
      <w:pPr>
        <w:pStyle w:val="ListBullet"/>
      </w:pPr>
      <w:r>
        <w:t>Raw dictionaries: NCCS Core public charity, private foundation, and harmonized BMF bridge dictionaries.</w:t>
      </w:r>
    </w:p>
    <w:p>
      <w:pPr>
        <w:pStyle w:val="Heading2"/>
      </w:pPr>
      <w:r>
        <w:t>Collection Method</w:t>
      </w:r>
    </w:p>
    <w:p>
      <w:pPr>
        <w:spacing w:before="0" w:after="80"/>
      </w:pPr>
      <w:r>
        <w:t>NCCS Core is a processed public filing dataset derived from IRS Form 990, 990-EZ, and 990-PF filing records. The BMF bridge files are used for geographic linkage. This is not a voluntary survey.</w:t>
      </w:r>
    </w:p>
    <w:p>
      <w:pPr>
        <w:pStyle w:val="Heading2"/>
      </w:pPr>
      <w:r>
        <w:t>Inclusion Criteria And Limitations</w:t>
      </w:r>
    </w:p>
    <w:p>
      <w:pPr>
        <w:spacing w:before="0" w:after="80"/>
      </w:pPr>
      <w:r>
        <w:t xml:space="preserve">The current pipeline scope is tax year </w:t>
      </w:r>
      <w:r>
        <w:rPr>
          <w:rFonts w:ascii="Consolas" w:hAnsi="Consolas"/>
          <w:sz w:val="20"/>
        </w:rPr>
        <w:t>2022</w:t>
      </w:r>
      <w:r>
        <w:t xml:space="preserve">. It includes selected Core public-charity and private-foundation files and filters records to benchmark geography through the BMF bridge. Overlapping </w:t>
      </w:r>
      <w:r>
        <w:rPr>
          <w:rFonts w:ascii="Consolas" w:hAnsi="Consolas"/>
          <w:sz w:val="20"/>
        </w:rPr>
        <w:t>PC</w:t>
      </w:r>
      <w:r>
        <w:t xml:space="preserve"> and </w:t>
      </w:r>
      <w:r>
        <w:rPr>
          <w:rFonts w:ascii="Consolas" w:hAnsi="Consolas"/>
          <w:sz w:val="20"/>
        </w:rPr>
        <w:t>PZ</w:t>
      </w:r>
      <w:r>
        <w:t xml:space="preserve"> rows are intentionally preserved, </w:t>
      </w:r>
      <w:r>
        <w:rPr>
          <w:rFonts w:ascii="Consolas" w:hAnsi="Consolas"/>
          <w:sz w:val="20"/>
        </w:rPr>
        <w:t>harm_filing_form</w:t>
      </w:r>
      <w:r>
        <w:t xml:space="preserve"> is sparse by design, and bridge geography should be treated as a current-address approximation.</w:t>
      </w:r>
    </w:p>
    <w:p>
      <w:pPr>
        <w:pStyle w:val="Heading2"/>
      </w:pPr>
      <w:r>
        <w:t>Download And S3 Storage</w:t>
      </w:r>
    </w:p>
    <w:p>
      <w:pPr>
        <w:spacing w:before="0" w:after="80"/>
      </w:pPr>
      <w:r>
        <w:t xml:space="preserve">Raw Core files, dictionaries, bridge BMF files, and release metadata are downloaded locally, uploaded unchanged to Bronze S3 under </w:t>
      </w:r>
      <w:r>
        <w:rPr>
          <w:rFonts w:ascii="Consolas" w:hAnsi="Consolas"/>
          <w:sz w:val="20"/>
        </w:rPr>
        <w:t>bronze/nccs_990/core/</w:t>
      </w:r>
      <w:r>
        <w:t xml:space="preserve">, and verified with source/local/S3 byte checks. Filtered Core outputs are stored under </w:t>
      </w:r>
      <w:r>
        <w:rPr>
          <w:rFonts w:ascii="Consolas" w:hAnsi="Consolas"/>
          <w:sz w:val="20"/>
        </w:rPr>
        <w:t>silver/nccs_990/core/</w:t>
      </w:r>
      <w:r>
        <w:t xml:space="preserve">, and analysis documentation is stored under </w:t>
      </w:r>
      <w:r>
        <w:rPr>
          <w:rFonts w:ascii="Consolas" w:hAnsi="Consolas"/>
          <w:sz w:val="20"/>
        </w:rPr>
        <w:t>silver/nccs_990/core/analysis/</w:t>
      </w:r>
      <w:r>
        <w:t>.</w:t>
      </w:r>
    </w:p>
    <w:p>
      <w:pPr>
        <w:pStyle w:val="Heading2"/>
      </w:pPr>
      <w:r>
        <w:t>Datatype Transformation</w:t>
      </w:r>
    </w:p>
    <w:p>
      <w:pPr>
        <w:spacing w:before="0" w:after="80"/>
      </w:pPr>
      <w:r>
        <w:t>Raw Core CSV files and dictionaries remain unchanged in Bronze S3. After benchmark filtering, per-file filtered CSV outputs and a combined filtered Core Parquet are written. Final analysis outputs are written as Parquet.</w:t>
      </w:r>
    </w:p>
    <w:p>
      <w:pPr>
        <w:pStyle w:val="Heading2"/>
      </w:pPr>
      <w:r>
        <w:t>Data Cleaning</w:t>
      </w:r>
    </w:p>
    <w:p>
      <w:pPr>
        <w:spacing w:before="0" w:after="80"/>
      </w:pPr>
      <w:r>
        <w:t>Cleaning includes bridge-based county assignment, benchmark geography admission, combined filtered output construction, identity and geography fallback handling, filing-context preservation, classification enrichment, calculated metrics, net-margin cleaning support, and imputed/proxy exclusion-support flags.</w:t>
      </w:r>
    </w:p>
    <w:p>
      <w:pPr>
        <w:pStyle w:val="Heading2"/>
      </w:pPr>
      <w:r>
        <w:t>Analysis-Ready Outputs</w:t>
      </w:r>
    </w:p>
    <w:p>
      <w:pPr>
        <w:pStyle w:val="ListBullet"/>
      </w:pPr>
      <w:r>
        <w:t xml:space="preserve">Row-level analysis dataset: </w:t>
      </w:r>
      <w:r>
        <w:rPr>
          <w:rFonts w:ascii="Consolas" w:hAnsi="Consolas"/>
          <w:sz w:val="20"/>
        </w:rPr>
        <w:t>silver/nccs_990/core/analysis/nccs_990_core_analysis_variables.parquet</w:t>
      </w:r>
      <w:r>
        <w:t>.</w:t>
      </w:r>
    </w:p>
    <w:p>
      <w:pPr>
        <w:pStyle w:val="ListBullet"/>
      </w:pPr>
      <w:r>
        <w:t xml:space="preserve">Geography metrics: </w:t>
      </w:r>
      <w:r>
        <w:rPr>
          <w:rFonts w:ascii="Consolas" w:hAnsi="Consolas"/>
          <w:sz w:val="20"/>
        </w:rPr>
        <w:t>silver/nccs_990/core/analysis/nccs_990_core_analysis_geography_metrics.parquet</w:t>
      </w:r>
      <w:r>
        <w:t>.</w:t>
      </w:r>
    </w:p>
    <w:p>
      <w:pPr>
        <w:pStyle w:val="ListBullet"/>
      </w:pPr>
      <w:r>
        <w:t xml:space="preserve">Pipeline documentation: </w:t>
      </w:r>
      <w:r>
        <w:rPr>
          <w:rFonts w:ascii="Consolas" w:hAnsi="Consolas"/>
          <w:sz w:val="20"/>
        </w:rPr>
        <w:t>silver/nccs_990/core/analysis/documentation/nccs_990_core_pipeline.md</w:t>
      </w:r>
      <w:r>
        <w:t>.</w:t>
      </w:r>
    </w:p>
    <w:p>
      <w:pPr>
        <w:pStyle w:val="ListBullet"/>
      </w:pPr>
      <w:r>
        <w:t xml:space="preserve">Variable mapping: </w:t>
      </w:r>
      <w:r>
        <w:rPr>
          <w:rFonts w:ascii="Consolas" w:hAnsi="Consolas"/>
          <w:sz w:val="20"/>
        </w:rPr>
        <w:t>silver/nccs_990/core/analysis/variable_mappings/nccs_990_core_analysis_variable_mapping.md</w:t>
      </w:r>
      <w:r>
        <w:t>.</w:t>
      </w:r>
    </w:p>
    <w:p>
      <w:pPr>
        <w:pStyle w:val="ListBullet"/>
      </w:pPr>
      <w:r>
        <w:t xml:space="preserve">Coverage evidence: </w:t>
      </w:r>
      <w:r>
        <w:rPr>
          <w:rFonts w:ascii="Consolas" w:hAnsi="Consolas"/>
          <w:sz w:val="20"/>
        </w:rPr>
        <w:t>silver/nccs_990/core/analysis/quality/coverage/nccs_990_core_analysis_variable_coverage.csv</w:t>
      </w:r>
      <w:r>
        <w:t>.</w:t>
      </w:r>
    </w:p>
    <w:p>
      <w:pPr>
        <w:pStyle w:val="Heading2"/>
      </w:pPr>
      <w:r>
        <w:t>Analysis Data Dictionary</w:t>
      </w:r>
    </w:p>
    <w:p>
      <w:pPr>
        <w:spacing w:before="0" w:after="80"/>
      </w:pPr>
      <w:r>
        <w:t xml:space="preserve">Use </w:t>
      </w:r>
      <w:r>
        <w:rPr>
          <w:rFonts w:ascii="Consolas" w:hAnsi="Consolas"/>
          <w:sz w:val="20"/>
        </w:rPr>
        <w:t>documentation/final_preprocessing_docs/technical_docs/analysis_variable_mappings/nccs_990_core_analysis_variable_mapping.md</w:t>
      </w:r>
      <w:r>
        <w:t xml:space="preserve"> as the analysis-ready data dictionary. Use </w:t>
      </w:r>
      <w:r>
        <w:rPr>
          <w:rFonts w:ascii="Consolas" w:hAnsi="Consolas"/>
          <w:sz w:val="20"/>
        </w:rPr>
        <w:t>documentation/final_preprocessing_docs/technical_docs/quality/coverage_evidence/nccs_990_core_analysis_variable_coverage.csv</w:t>
      </w:r>
      <w:r>
        <w:t xml:space="preserve"> to confirm populated counts and coverage.</w:t>
      </w:r>
    </w:p>
    <w:p>
      <w:pPr>
        <w:pStyle w:val="Heading2"/>
      </w:pPr>
      <w:r>
        <w:t>Supporting Raw Dictionaries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documentation/final_preprocessing_docs/technical_docs/source_dictionaries/nccs_990_core/CORE-HRMN_dd.csv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documentation/final_preprocessing_docs/technical_docs/source_dictionaries/nccs_990_core/DD-PF-HRMN-V0.csv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documentation/final_preprocessing_docs/technical_docs/source_dictionaries/nccs_990_core/harmonized_data_dictionary.xlsx</w:t>
      </w:r>
      <w:r>
        <w:t>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0" w:lineRule="exac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0" w:lineRule="exact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0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6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60" w:lineRule="exact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