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NCCS 990 Postcard Client Documentation</w:t>
      </w:r>
    </w:p>
    <w:p>
      <w:pPr>
        <w:pStyle w:val="Heading2"/>
      </w:pPr>
      <w:r>
        <w:t>Background</w:t>
      </w:r>
    </w:p>
    <w:p>
      <w:pPr>
        <w:spacing w:before="0" w:after="80"/>
      </w:pPr>
      <w:r>
        <w:t>The NCCS 990 Postcard dataset is used as a small-filer support layer. It captures Form 990-N/e-Postcard records but does not provide the full financial detail available in Form 990, 990-EZ, or 990-PF sources.</w:t>
      </w:r>
    </w:p>
    <w:p>
      <w:pPr>
        <w:spacing w:before="0" w:after="80"/>
      </w:pPr>
      <w:r>
        <w:t xml:space="preserve">The detailed technical pipeline documentation is </w:t>
      </w:r>
      <w:r>
        <w:rPr>
          <w:rFonts w:ascii="Consolas" w:hAnsi="Consolas"/>
          <w:sz w:val="20"/>
        </w:rPr>
        <w:t>documentation/final_preprocessing_docs/technical_docs/pipeline_docs/nccs_990_postcard_pipeline.md</w:t>
      </w:r>
      <w:r>
        <w:t>.</w:t>
      </w:r>
    </w:p>
    <w:p>
      <w:pPr>
        <w:pStyle w:val="Heading2"/>
      </w:pPr>
      <w:r>
        <w:t>Data Provenance</w:t>
      </w:r>
    </w:p>
    <w:p>
      <w:pPr>
        <w:pStyle w:val="ListBullet"/>
      </w:pPr>
      <w:r>
        <w:t>Producer: NCCS publishes the monthly postcard files; the source fields correspond to IRS Form 990-N/e-Postcard data.</w:t>
      </w:r>
    </w:p>
    <w:p>
      <w:pPr>
        <w:pStyle w:val="ListBullet"/>
      </w:pPr>
      <w:r>
        <w:t xml:space="preserve">Dataset page: </w:t>
      </w:r>
      <w:r>
        <w:rPr>
          <w:rFonts w:ascii="Consolas" w:hAnsi="Consolas"/>
          <w:sz w:val="20"/>
        </w:rPr>
        <w:t>https://nccs.urban.org/nccs/datasets/postcard/</w:t>
      </w:r>
      <w:r>
        <w:t>.</w:t>
      </w:r>
    </w:p>
    <w:p>
      <w:pPr>
        <w:pStyle w:val="ListBullet"/>
      </w:pPr>
      <w:r>
        <w:t xml:space="preserve">Raw monthly base: </w:t>
      </w:r>
      <w:r>
        <w:rPr>
          <w:rFonts w:ascii="Consolas" w:hAnsi="Consolas"/>
          <w:sz w:val="20"/>
        </w:rPr>
        <w:t>https://nccsdata.s3.us-east-1.amazonaws.com/raw/e-postcard/</w:t>
      </w:r>
      <w:r>
        <w:t>.</w:t>
      </w:r>
    </w:p>
    <w:p>
      <w:pPr>
        <w:pStyle w:val="ListBullet"/>
      </w:pPr>
      <w:r>
        <w:t xml:space="preserve">Raw dictionary: </w:t>
      </w:r>
      <w:r>
        <w:rPr>
          <w:rFonts w:ascii="Consolas" w:hAnsi="Consolas"/>
          <w:sz w:val="20"/>
        </w:rPr>
        <w:t>documentation/final_preprocessing_docs/technical_docs/source_dictionaries/irs_990n_postcard/990n-data-dictionary.pdf</w:t>
      </w:r>
      <w:r>
        <w:t>.</w:t>
      </w:r>
    </w:p>
    <w:p>
      <w:pPr>
        <w:pStyle w:val="Heading2"/>
      </w:pPr>
      <w:r>
        <w:t>Collection Method</w:t>
      </w:r>
    </w:p>
    <w:p>
      <w:pPr>
        <w:spacing w:before="0" w:after="80"/>
      </w:pPr>
      <w:r>
        <w:t>Form 990-N/e-Postcard is a required IRS annual notice for eligible small exempt organizations. It is not a voluntary survey and does not contain full return-level financial fields.</w:t>
      </w:r>
    </w:p>
    <w:p>
      <w:pPr>
        <w:pStyle w:val="Heading2"/>
      </w:pPr>
      <w:r>
        <w:t>Inclusion Criteria And Limitations</w:t>
      </w:r>
    </w:p>
    <w:p>
      <w:pPr>
        <w:spacing w:before="0" w:after="80"/>
      </w:pPr>
      <w:r>
        <w:t xml:space="preserve">The pipeline uses the latest available postcard snapshot-year monthly files, filters each monthly file to benchmark geography, keeps the latest retained row per EIN, and limits the final analysis layer to filing tax years </w:t>
      </w:r>
      <w:r>
        <w:rPr>
          <w:rFonts w:ascii="Consolas" w:hAnsi="Consolas"/>
          <w:sz w:val="20"/>
        </w:rPr>
        <w:t>2022-2024</w:t>
      </w:r>
      <w:r>
        <w:t>. Revenue, expense, assets, reserves, contribution, and grant variables remain unavailable because they are not present in the source.</w:t>
      </w:r>
    </w:p>
    <w:p>
      <w:pPr>
        <w:pStyle w:val="Heading2"/>
      </w:pPr>
      <w:r>
        <w:t>Download And S3 Storage</w:t>
      </w:r>
    </w:p>
    <w:p>
      <w:pPr>
        <w:spacing w:before="0" w:after="80"/>
      </w:pPr>
      <w:r>
        <w:t xml:space="preserve">Monthly raw postcard CSVs and metadata are downloaded locally, uploaded unchanged to Bronze S3 under </w:t>
      </w:r>
      <w:r>
        <w:rPr>
          <w:rFonts w:ascii="Consolas" w:hAnsi="Consolas"/>
          <w:sz w:val="20"/>
        </w:rPr>
        <w:t>bronze/nccs_990/postcard/</w:t>
      </w:r>
      <w:r>
        <w:t xml:space="preserve">, and verified with source/local/S3 byte checks. Filtered retained derivatives are stored under </w:t>
      </w:r>
      <w:r>
        <w:rPr>
          <w:rFonts w:ascii="Consolas" w:hAnsi="Consolas"/>
          <w:sz w:val="20"/>
        </w:rPr>
        <w:t>silver/nccs_990/postcard/</w:t>
      </w:r>
      <w:r>
        <w:t xml:space="preserve">, and analysis documentation is stored under </w:t>
      </w:r>
      <w:r>
        <w:rPr>
          <w:rFonts w:ascii="Consolas" w:hAnsi="Consolas"/>
          <w:sz w:val="20"/>
        </w:rPr>
        <w:t>silver/nccs_990/postcard/analysis/</w:t>
      </w:r>
      <w:r>
        <w:t>.</w:t>
      </w:r>
    </w:p>
    <w:p>
      <w:pPr>
        <w:pStyle w:val="Heading2"/>
      </w:pPr>
      <w:r>
        <w:t>Datatype Transformation</w:t>
      </w:r>
    </w:p>
    <w:p>
      <w:pPr>
        <w:spacing w:before="0" w:after="80"/>
      </w:pPr>
      <w:r>
        <w:t>Raw monthly CSV files remain unchanged in Bronze S3. After benchmark filtering and retained-row construction, filtered derivatives are written as CSV and final analysis outputs are written as Parquet.</w:t>
      </w:r>
    </w:p>
    <w:p>
      <w:pPr>
        <w:pStyle w:val="Heading2"/>
      </w:pPr>
      <w:r>
        <w:t>Data Cleaning</w:t>
      </w:r>
    </w:p>
    <w:p>
      <w:pPr>
        <w:spacing w:before="0" w:after="80"/>
      </w:pPr>
      <w:r>
        <w:t>Cleaning includes monthly source discovery, ZIP normalization, organization-ZIP then officer-ZIP geography fallback, benchmark geography admission, latest-snapshot EIN deduplication, retained tax-year filtering, classification enrichment, and imputed/proxy exclusion-support flags.</w:t>
      </w:r>
    </w:p>
    <w:p>
      <w:pPr>
        <w:pStyle w:val="Heading2"/>
      </w:pPr>
      <w:r>
        <w:t>Analysis-Ready Outputs</w:t>
      </w:r>
    </w:p>
    <w:p>
      <w:pPr>
        <w:pStyle w:val="ListBullet"/>
      </w:pPr>
      <w:r>
        <w:t xml:space="preserve">Row-level analysis dataset: </w:t>
      </w:r>
      <w:r>
        <w:rPr>
          <w:rFonts w:ascii="Consolas" w:hAnsi="Consolas"/>
          <w:sz w:val="20"/>
        </w:rPr>
        <w:t>silver/nccs_990/postcard/analysis/nccs_990_postcard_analysis_variables.parquet</w:t>
      </w:r>
      <w:r>
        <w:t>.</w:t>
      </w:r>
    </w:p>
    <w:p>
      <w:pPr>
        <w:pStyle w:val="ListBullet"/>
      </w:pPr>
      <w:r>
        <w:t xml:space="preserve">Geography metrics: </w:t>
      </w:r>
      <w:r>
        <w:rPr>
          <w:rFonts w:ascii="Consolas" w:hAnsi="Consolas"/>
          <w:sz w:val="20"/>
        </w:rPr>
        <w:t>silver/nccs_990/postcard/analysis/nccs_990_postcard_analysis_geography_metrics.parquet</w:t>
      </w:r>
      <w:r>
        <w:t>.</w:t>
      </w:r>
    </w:p>
    <w:p>
      <w:pPr>
        <w:pStyle w:val="ListBullet"/>
      </w:pPr>
      <w:r>
        <w:t xml:space="preserve">Pipeline documentation: </w:t>
      </w:r>
      <w:r>
        <w:rPr>
          <w:rFonts w:ascii="Consolas" w:hAnsi="Consolas"/>
          <w:sz w:val="20"/>
        </w:rPr>
        <w:t>silver/nccs_990/postcard/analysis/documentation/nccs_990_postcard_pipeline.md</w:t>
      </w:r>
      <w:r>
        <w:t>.</w:t>
      </w:r>
    </w:p>
    <w:p>
      <w:pPr>
        <w:pStyle w:val="ListBullet"/>
      </w:pPr>
      <w:r>
        <w:t xml:space="preserve">Variable mapping: </w:t>
      </w:r>
      <w:r>
        <w:rPr>
          <w:rFonts w:ascii="Consolas" w:hAnsi="Consolas"/>
          <w:sz w:val="20"/>
        </w:rPr>
        <w:t>silver/nccs_990/postcard/analysis/variable_mappings/nccs_990_postcard_analysis_variable_mapping.md</w:t>
      </w:r>
      <w:r>
        <w:t>.</w:t>
      </w:r>
    </w:p>
    <w:p>
      <w:pPr>
        <w:pStyle w:val="ListBullet"/>
      </w:pPr>
      <w:r>
        <w:t xml:space="preserve">Coverage evidence: </w:t>
      </w:r>
      <w:r>
        <w:rPr>
          <w:rFonts w:ascii="Consolas" w:hAnsi="Consolas"/>
          <w:sz w:val="20"/>
        </w:rPr>
        <w:t>silver/nccs_990/postcard/analysis/quality/coverage/nccs_990_postcard_analysis_variable_coverage.csv</w:t>
      </w:r>
      <w:r>
        <w:t>.</w:t>
      </w:r>
    </w:p>
    <w:p>
      <w:pPr>
        <w:pStyle w:val="Heading2"/>
      </w:pPr>
      <w:r>
        <w:t>Analysis Data Dictionary</w:t>
      </w:r>
    </w:p>
    <w:p>
      <w:pPr>
        <w:spacing w:before="0" w:after="80"/>
      </w:pPr>
      <w:r>
        <w:t xml:space="preserve">Use </w:t>
      </w:r>
      <w:r>
        <w:rPr>
          <w:rFonts w:ascii="Consolas" w:hAnsi="Consolas"/>
          <w:sz w:val="20"/>
        </w:rPr>
        <w:t>documentation/final_preprocessing_docs/technical_docs/analysis_variable_mappings/nccs_990_postcard_analysis_variable_mapping.md</w:t>
      </w:r>
      <w:r>
        <w:t xml:space="preserve"> as the analysis-ready data dictionary. Use </w:t>
      </w:r>
      <w:r>
        <w:rPr>
          <w:rFonts w:ascii="Consolas" w:hAnsi="Consolas"/>
          <w:sz w:val="20"/>
        </w:rPr>
        <w:t>documentation/final_preprocessing_docs/technical_docs/quality/coverage_evidence/nccs_990_postcard_analysis_variable_coverage.csv</w:t>
      </w:r>
      <w:r>
        <w:t xml:space="preserve"> to confirm populated counts and coverage.</w:t>
      </w:r>
    </w:p>
    <w:p>
      <w:pPr>
        <w:pStyle w:val="Heading2"/>
      </w:pPr>
      <w:r>
        <w:t>Supporting Raw Dictionaries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documentation/final_preprocessing_docs/technical_docs/source_dictionaries/irs_990n_postcard/990n-data-dictionary.pdf</w:t>
      </w:r>
      <w:r>
        <w:t>.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documentation/final_preprocessing_docs/technical_docs/source_dictionaries/irs_990n_postcard/2026-03-E-POSTCARD_header_dictionary.csv</w:t>
      </w:r>
      <w:r>
        <w:t>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0" w:lineRule="exact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60" w:lineRule="exact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60" w:lineRule="exact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0" w:lineRule="exact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60" w:lineRule="exact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60" w:lineRule="exact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