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NCCS BMF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>The NCCS BMF dataset is used as a nonprofit registry and classification layer for annual organization counts, geography, subsection logic, and NTEE-based field composition. In this project it complements IRS EO BMF and supports downstream classification enrichment.</w:t>
      </w:r>
    </w:p>
    <w:p>
      <w:pPr>
        <w:spacing w:before="0" w:after="80"/>
      </w:pPr>
      <w:r>
        <w:t xml:space="preserve">The detailed technical pipeline documentation is </w:t>
      </w:r>
      <w:r>
        <w:rPr>
          <w:rFonts w:ascii="Consolas" w:hAnsi="Consolas"/>
          <w:sz w:val="20"/>
        </w:rPr>
        <w:t>documentation/final_preprocessing_docs/technical_docs/pipeline_docs/nccs_bmf_pipeline.md</w:t>
      </w:r>
      <w:r>
        <w:t>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National Center for Charitable Statistics at the Urban Institute.</w:t>
      </w:r>
    </w:p>
    <w:p>
      <w:pPr>
        <w:pStyle w:val="ListBullet"/>
      </w:pPr>
      <w:r>
        <w:t xml:space="preserve">Source pages: </w:t>
      </w:r>
      <w:r>
        <w:rPr>
          <w:rFonts w:ascii="Consolas" w:hAnsi="Consolas"/>
          <w:sz w:val="20"/>
        </w:rPr>
        <w:t>https://nccs.urban.org/nccs/datasets/bmf/</w:t>
      </w:r>
      <w:r>
        <w:t xml:space="preserve"> and </w:t>
      </w:r>
      <w:r>
        <w:rPr>
          <w:rFonts w:ascii="Consolas" w:hAnsi="Consolas"/>
          <w:sz w:val="20"/>
        </w:rPr>
        <w:t>https://nccs.urban.org/nccs/catalogs/catalog-bmf.html</w:t>
      </w:r>
      <w:r>
        <w:t>.</w:t>
      </w:r>
    </w:p>
    <w:p>
      <w:pPr>
        <w:pStyle w:val="ListBullet"/>
      </w:pPr>
      <w:r>
        <w:t xml:space="preserve">Raw monthly source base: </w:t>
      </w:r>
      <w:r>
        <w:rPr>
          <w:rFonts w:ascii="Consolas" w:hAnsi="Consolas"/>
          <w:sz w:val="20"/>
        </w:rPr>
        <w:t>https://nccsdata.s3.us-east-1.amazonaws.com/raw/bmf/</w:t>
      </w:r>
      <w:r>
        <w:t>.</w:t>
      </w:r>
    </w:p>
    <w:p>
      <w:pPr>
        <w:pStyle w:val="ListBullet"/>
      </w:pPr>
      <w:r>
        <w:t xml:space="preserve">Legacy source base: </w:t>
      </w:r>
      <w:r>
        <w:rPr>
          <w:rFonts w:ascii="Consolas" w:hAnsi="Consolas"/>
          <w:sz w:val="20"/>
        </w:rPr>
        <w:t>https://nccsdata.s3.us-east-1.amazonaws.com/legacy/bmf/</w:t>
      </w:r>
      <w:r>
        <w:t>.</w:t>
      </w:r>
    </w:p>
    <w:p>
      <w:pPr>
        <w:pStyle w:val="ListBullet"/>
      </w:pPr>
      <w:r>
        <w:t>Raw dictionary support: IRS EO BMF dictionary plus generated NCCS header companions.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NCCS BMF is a public BMF registry dataset derived from IRS exempt-organization records. It is not a voluntary survey and it does not contain complete Form 990 filing detail.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pipeline selects representative yearly BMF files, filters each year to benchmark geography, and builds the analysis-ready layer for </w:t>
      </w:r>
      <w:r>
        <w:rPr>
          <w:rFonts w:ascii="Consolas" w:hAnsi="Consolas"/>
          <w:sz w:val="20"/>
        </w:rPr>
        <w:t>2022-2024</w:t>
      </w:r>
      <w:r>
        <w:t>. The 2022 legacy file links to an unavailable profile dictionary, so this package includes a generated header companion and preserves that limitation explicitly.</w:t>
      </w:r>
    </w:p>
    <w:p>
      <w:pPr>
        <w:pStyle w:val="Heading2"/>
      </w:pPr>
      <w:r>
        <w:t>Download And S3 Storage</w:t>
      </w:r>
    </w:p>
    <w:p>
      <w:pPr>
        <w:spacing w:before="0" w:after="80"/>
      </w:pPr>
      <w:r>
        <w:t xml:space="preserve">The selected yearly raw BMF files and release metadata are downloaded locally, uploaded unchanged to Bronze S3 under </w:t>
      </w:r>
      <w:r>
        <w:rPr>
          <w:rFonts w:ascii="Consolas" w:hAnsi="Consolas"/>
          <w:sz w:val="20"/>
        </w:rPr>
        <w:t>bronze/nccs_bmf/</w:t>
      </w:r>
      <w:r>
        <w:t xml:space="preserve">, and verified with local/S3 byte checks. Filtered yearly parquets and exact-year lookup files are stored under </w:t>
      </w:r>
      <w:r>
        <w:rPr>
          <w:rFonts w:ascii="Consolas" w:hAnsi="Consolas"/>
          <w:sz w:val="20"/>
        </w:rPr>
        <w:t>silver/nccs_bmf/</w:t>
      </w:r>
      <w:r>
        <w:t xml:space="preserve">, and analysis documentation is stored under </w:t>
      </w:r>
      <w:r>
        <w:rPr>
          <w:rFonts w:ascii="Consolas" w:hAnsi="Consolas"/>
          <w:sz w:val="20"/>
        </w:rPr>
        <w:t>silver/nccs_bmf/analysis/</w:t>
      </w:r>
      <w:r>
        <w:t>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annual CSV files remain unchanged in Bronze S3. The pipeline writes Parquet after benchmark filtering: yearly benchmark Parquet, exact-year lookup Parquet, row-level analysis Parquet, geography metrics Parquet, and field metrics Parquet.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>Cleaning includes annual source selection, ZIP normalization, county and benchmark-region assignment, benchmark filtering, exact-year lookup construction, analysis-only duplicate resolution, IRS/NCCS classification fallback enrichment, and imputed/proxy flags for hospital, university, and political-organization exclusions.</w:t>
      </w:r>
    </w:p>
    <w:p>
      <w:pPr>
        <w:pStyle w:val="Heading2"/>
      </w:pPr>
      <w:r>
        <w:t>Analysis-Ready Outputs</w:t>
      </w:r>
    </w:p>
    <w:p>
      <w:pPr>
        <w:pStyle w:val="ListBullet"/>
      </w:pPr>
      <w:r>
        <w:t xml:space="preserve">Row-level analysis dataset: </w:t>
      </w:r>
      <w:r>
        <w:rPr>
          <w:rFonts w:ascii="Consolas" w:hAnsi="Consolas"/>
          <w:sz w:val="20"/>
        </w:rPr>
        <w:t>silver/nccs_bmf/analysis/nccs_bmf_analysis_variables.parquet</w:t>
      </w:r>
      <w:r>
        <w:t>.</w:t>
      </w:r>
    </w:p>
    <w:p>
      <w:pPr>
        <w:pStyle w:val="ListBullet"/>
      </w:pPr>
      <w:r>
        <w:t xml:space="preserve">Geography metrics: </w:t>
      </w:r>
      <w:r>
        <w:rPr>
          <w:rFonts w:ascii="Consolas" w:hAnsi="Consolas"/>
          <w:sz w:val="20"/>
        </w:rPr>
        <w:t>silver/nccs_bmf/analysis/nccs_bmf_analysis_geography_metrics.parquet</w:t>
      </w:r>
      <w:r>
        <w:t>.</w:t>
      </w:r>
    </w:p>
    <w:p>
      <w:pPr>
        <w:pStyle w:val="ListBullet"/>
      </w:pPr>
      <w:r>
        <w:t xml:space="preserve">Field metrics: </w:t>
      </w:r>
      <w:r>
        <w:rPr>
          <w:rFonts w:ascii="Consolas" w:hAnsi="Consolas"/>
          <w:sz w:val="20"/>
        </w:rPr>
        <w:t>silver/nccs_bmf/analysis/nccs_bmf_analysis_field_metrics.parquet</w:t>
      </w:r>
      <w:r>
        <w:t>.</w:t>
      </w:r>
    </w:p>
    <w:p>
      <w:pPr>
        <w:pStyle w:val="ListBullet"/>
      </w:pPr>
      <w:r>
        <w:t xml:space="preserve">Pipeline documentation: </w:t>
      </w:r>
      <w:r>
        <w:rPr>
          <w:rFonts w:ascii="Consolas" w:hAnsi="Consolas"/>
          <w:sz w:val="20"/>
        </w:rPr>
        <w:t>silver/nccs_bmf/analysis/documentation/nccs_bmf_pipeline.md</w:t>
      </w:r>
      <w:r>
        <w:t>.</w:t>
      </w:r>
    </w:p>
    <w:p>
      <w:pPr>
        <w:pStyle w:val="ListBullet"/>
      </w:pPr>
      <w:r>
        <w:t xml:space="preserve">Variable mapping: </w:t>
      </w:r>
      <w:r>
        <w:rPr>
          <w:rFonts w:ascii="Consolas" w:hAnsi="Consolas"/>
          <w:sz w:val="20"/>
        </w:rPr>
        <w:t>silver/nccs_bmf/analysis/variable_mappings/nccs_bmf_analysis_variable_mapping.md</w:t>
      </w:r>
      <w:r>
        <w:t>.</w:t>
      </w:r>
    </w:p>
    <w:p>
      <w:pPr>
        <w:pStyle w:val="ListBullet"/>
      </w:pPr>
      <w:r>
        <w:t xml:space="preserve">Coverage evidence: </w:t>
      </w:r>
      <w:r>
        <w:rPr>
          <w:rFonts w:ascii="Consolas" w:hAnsi="Consolas"/>
          <w:sz w:val="20"/>
        </w:rPr>
        <w:t>silver/nccs_bmf/analysis/quality/coverage/nccs_bmf_analysis_variable_coverage.csv</w:t>
      </w:r>
      <w:r>
        <w:t>.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 xml:space="preserve">Use </w:t>
      </w:r>
      <w:r>
        <w:rPr>
          <w:rFonts w:ascii="Consolas" w:hAnsi="Consolas"/>
          <w:sz w:val="20"/>
        </w:rPr>
        <w:t>documentation/final_preprocessing_docs/technical_docs/analysis_variable_mappings/nccs_bmf_analysis_variable_mapping.md</w:t>
      </w:r>
      <w:r>
        <w:t xml:space="preserve"> as the analysis-ready data dictionary. Use </w:t>
      </w:r>
      <w:r>
        <w:rPr>
          <w:rFonts w:ascii="Consolas" w:hAnsi="Consolas"/>
          <w:sz w:val="20"/>
        </w:rPr>
        <w:t>documentation/final_preprocessing_docs/technical_docs/quality/coverage_evidence/nccs_bmf_analysis_variable_coverage.csv</w:t>
      </w:r>
      <w:r>
        <w:t xml:space="preserve"> to confirm populated counts and coverage.</w:t>
      </w:r>
    </w:p>
    <w:p>
      <w:pPr>
        <w:pStyle w:val="Heading2"/>
      </w:pPr>
      <w:r>
        <w:t>Supporting Raw Dictionaries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documentation/final_preprocessing_docs/technical_docs/source_dictionaries/irs_eo_bmf/eo-info.pdf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documentation/final_preprocessing_docs/technical_docs/source_dictionaries/nccs_bmf_raw_monthly/2026-03-BMF_header_dictionary.csv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documentation/final_preprocessing_docs/technical_docs/source_dictionaries/nccs_bmf_legacy_2022/dd_unavailable.html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documentation/final_preprocessing_docs/technical_docs/source_dictionaries/nccs_bmf_legacy_2022/BMF-2022-08-501CX-NONPROFIT-PX_header_dictionary.csv</w:t>
      </w:r>
      <w:r>
        <w:t>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