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NCCS Efile Client Documentation</w:t>
      </w:r>
    </w:p>
    <w:p>
      <w:pPr>
        <w:pStyle w:val="Heading2"/>
      </w:pPr>
      <w:r>
        <w:t>Background</w:t>
      </w:r>
    </w:p>
    <w:p>
      <w:pPr>
        <w:spacing w:before="0" w:after="80"/>
      </w:pPr>
      <w:r>
        <w:t>The NCCS efile dataset provides parsed public efile Form 990 table data. In this project it is converted into benchmark-filtered annual filing rowsets and a row-level analysis-ready efile dataset.</w:t>
      </w:r>
    </w:p>
    <w:p>
      <w:pPr>
        <w:spacing w:before="0" w:after="80"/>
      </w:pPr>
      <w:r>
        <w:t xml:space="preserve">The detailed technical pipeline documentation is </w:t>
      </w:r>
      <w:r>
        <w:rPr>
          <w:rFonts w:ascii="Consolas" w:hAnsi="Consolas"/>
          <w:sz w:val="20"/>
        </w:rPr>
        <w:t>documentation/final_preprocessing_docs/technical_docs/pipeline_docs/nccs_efile_pipeline.md</w:t>
      </w:r>
      <w:r>
        <w:t>.</w:t>
      </w:r>
    </w:p>
    <w:p>
      <w:pPr>
        <w:pStyle w:val="Heading2"/>
      </w:pPr>
      <w:r>
        <w:t>Data Provenance</w:t>
      </w:r>
    </w:p>
    <w:p>
      <w:pPr>
        <w:pStyle w:val="ListBullet"/>
      </w:pPr>
      <w:r>
        <w:t>Producer: National Center for Charitable Statistics public efile release.</w:t>
      </w:r>
    </w:p>
    <w:p>
      <w:pPr>
        <w:pStyle w:val="ListBullet"/>
      </w:pPr>
      <w:r>
        <w:t xml:space="preserve">Dataset page: </w:t>
      </w:r>
      <w:r>
        <w:rPr>
          <w:rFonts w:ascii="Consolas" w:hAnsi="Consolas"/>
          <w:sz w:val="20"/>
        </w:rPr>
        <w:t>https://nccs.urban.org/nccs/datasets/efile/</w:t>
      </w:r>
      <w:r>
        <w:t>.</w:t>
      </w:r>
    </w:p>
    <w:p>
      <w:pPr>
        <w:pStyle w:val="ListBullet"/>
      </w:pPr>
      <w:r>
        <w:t xml:space="preserve">Catalog page: </w:t>
      </w:r>
      <w:r>
        <w:rPr>
          <w:rFonts w:ascii="Consolas" w:hAnsi="Consolas"/>
          <w:sz w:val="20"/>
        </w:rPr>
        <w:t>https://nccs.urban.org/nccs/catalogs/catalog-efile-v2_1.html</w:t>
      </w:r>
      <w:r>
        <w:t>.</w:t>
      </w:r>
    </w:p>
    <w:p>
      <w:pPr>
        <w:pStyle w:val="ListBullet"/>
      </w:pPr>
      <w:r>
        <w:t xml:space="preserve">Public data base: </w:t>
      </w:r>
      <w:r>
        <w:rPr>
          <w:rFonts w:ascii="Consolas" w:hAnsi="Consolas"/>
          <w:sz w:val="20"/>
        </w:rPr>
        <w:t>https://nccs-efile.s3.us-east-1.amazonaws.com/public/efile_v2_1/</w:t>
      </w:r>
      <w:r>
        <w:t>.</w:t>
      </w:r>
    </w:p>
    <w:p>
      <w:pPr>
        <w:pStyle w:val="ListBullet"/>
      </w:pPr>
      <w:r>
        <w:t xml:space="preserve">Raw dictionary: </w:t>
      </w:r>
      <w:r>
        <w:rPr>
          <w:rFonts w:ascii="Consolas" w:hAnsi="Consolas"/>
          <w:sz w:val="20"/>
        </w:rPr>
        <w:t>documentation/final_preprocessing_docs/technical_docs/source_dictionaries/nccs_efile/data-dictionary.html</w:t>
      </w:r>
      <w:r>
        <w:t>.</w:t>
      </w:r>
    </w:p>
    <w:p>
      <w:pPr>
        <w:pStyle w:val="Heading2"/>
      </w:pPr>
      <w:r>
        <w:t>Collection Method</w:t>
      </w:r>
    </w:p>
    <w:p>
      <w:pPr>
        <w:spacing w:before="0" w:after="80"/>
      </w:pPr>
      <w:r>
        <w:t>The source tables are derived from public electronic IRS Form 990 filing data. They represent required tax filings for filing organizations rather than voluntary survey responses.</w:t>
      </w:r>
    </w:p>
    <w:p>
      <w:pPr>
        <w:pStyle w:val="Heading2"/>
      </w:pPr>
      <w:r>
        <w:t>Inclusion Criteria And Limitations</w:t>
      </w:r>
    </w:p>
    <w:p>
      <w:pPr>
        <w:spacing w:before="0" w:after="80"/>
      </w:pPr>
      <w:r>
        <w:t xml:space="preserve">The pipeline includes the required HEADER, SUMMARY, and Schedule A table families for tax years </w:t>
      </w:r>
      <w:r>
        <w:rPr>
          <w:rFonts w:ascii="Consolas" w:hAnsi="Consolas"/>
          <w:sz w:val="20"/>
        </w:rPr>
        <w:t>2022-2024</w:t>
      </w:r>
      <w:r>
        <w:t>. Geography admission is determined from HEADER rows before the wide table join, and one selected filing is retained per EIN-tax-year. Fields not reliably present in the efile source remain unavailable rather than being weakly backfilled from other datasets.</w:t>
      </w:r>
    </w:p>
    <w:p>
      <w:pPr>
        <w:pStyle w:val="Heading2"/>
      </w:pPr>
      <w:r>
        <w:t>Download And S3 Storage</w:t>
      </w:r>
    </w:p>
    <w:p>
      <w:pPr>
        <w:spacing w:before="0" w:after="80"/>
      </w:pPr>
      <w:r>
        <w:t xml:space="preserve">Annual raw CSV tables and discovery metadata are downloaded locally, uploaded unchanged to Bronze S3 under </w:t>
      </w:r>
      <w:r>
        <w:rPr>
          <w:rFonts w:ascii="Consolas" w:hAnsi="Consolas"/>
          <w:sz w:val="20"/>
        </w:rPr>
        <w:t>bronze/nccs_efile/</w:t>
      </w:r>
      <w:r>
        <w:t xml:space="preserve">, and verified with source/local/S3 byte checks. Annual benchmark outputs are stored under </w:t>
      </w:r>
      <w:r>
        <w:rPr>
          <w:rFonts w:ascii="Consolas" w:hAnsi="Consolas"/>
          <w:sz w:val="20"/>
        </w:rPr>
        <w:t>silver/nccs_efile/</w:t>
      </w:r>
      <w:r>
        <w:t xml:space="preserve">, and analysis documentation is stored under </w:t>
      </w:r>
      <w:r>
        <w:rPr>
          <w:rFonts w:ascii="Consolas" w:hAnsi="Consolas"/>
          <w:sz w:val="20"/>
        </w:rPr>
        <w:t>silver/nccs_efile/analysis/</w:t>
      </w:r>
      <w:r>
        <w:t>.</w:t>
      </w:r>
    </w:p>
    <w:p>
      <w:pPr>
        <w:pStyle w:val="Heading2"/>
      </w:pPr>
      <w:r>
        <w:t>Datatype Transformation</w:t>
      </w:r>
    </w:p>
    <w:p>
      <w:pPr>
        <w:spacing w:before="0" w:after="80"/>
      </w:pPr>
      <w:r>
        <w:t>Raw annual CSV tables remain unchanged in Bronze S3. After benchmark filtering and selected-filing construction, annual benchmark outputs and the final analysis outputs are written as Parquet.</w:t>
      </w:r>
    </w:p>
    <w:p>
      <w:pPr>
        <w:pStyle w:val="Heading2"/>
      </w:pPr>
      <w:r>
        <w:t>Data Cleaning</w:t>
      </w:r>
    </w:p>
    <w:p>
      <w:pPr>
        <w:spacing w:before="0" w:after="80"/>
      </w:pPr>
      <w:r>
        <w:t>Cleaning includes HEADER-based benchmark geography filtering, ZIP/county/region mapping, deterministic filing ranking, selected-filing retention, SUMMARY and Schedule A joins only for retained filings, calculated metrics, classification enrichment, and imputed/proxy exclusion-support flags.</w:t>
      </w:r>
    </w:p>
    <w:p>
      <w:pPr>
        <w:pStyle w:val="Heading2"/>
      </w:pPr>
      <w:r>
        <w:t>Analysis-Ready Outputs</w:t>
      </w:r>
    </w:p>
    <w:p>
      <w:pPr>
        <w:pStyle w:val="ListBullet"/>
      </w:pPr>
      <w:r>
        <w:t xml:space="preserve">Row-level analysis dataset: </w:t>
      </w:r>
      <w:r>
        <w:rPr>
          <w:rFonts w:ascii="Consolas" w:hAnsi="Consolas"/>
          <w:sz w:val="20"/>
        </w:rPr>
        <w:t>silver/nccs_efile/analysis/nccs_efile_analysis_variables.parquet</w:t>
      </w:r>
      <w:r>
        <w:t>.</w:t>
      </w:r>
    </w:p>
    <w:p>
      <w:pPr>
        <w:pStyle w:val="ListBullet"/>
      </w:pPr>
      <w:r>
        <w:t xml:space="preserve">Region metrics: </w:t>
      </w:r>
      <w:r>
        <w:rPr>
          <w:rFonts w:ascii="Consolas" w:hAnsi="Consolas"/>
          <w:sz w:val="20"/>
        </w:rPr>
        <w:t>silver/nccs_efile/analysis/nccs_efile_analysis_geography_metrics.parquet</w:t>
      </w:r>
      <w:r>
        <w:t>.</w:t>
      </w:r>
    </w:p>
    <w:p>
      <w:pPr>
        <w:pStyle w:val="ListBullet"/>
      </w:pPr>
      <w:r>
        <w:t xml:space="preserve">Pipeline documentation: </w:t>
      </w:r>
      <w:r>
        <w:rPr>
          <w:rFonts w:ascii="Consolas" w:hAnsi="Consolas"/>
          <w:sz w:val="20"/>
        </w:rPr>
        <w:t>silver/nccs_efile/analysis/documentation/nccs_efile_pipeline.md</w:t>
      </w:r>
      <w:r>
        <w:t>.</w:t>
      </w:r>
    </w:p>
    <w:p>
      <w:pPr>
        <w:pStyle w:val="ListBullet"/>
      </w:pPr>
      <w:r>
        <w:t xml:space="preserve">Variable mapping: </w:t>
      </w:r>
      <w:r>
        <w:rPr>
          <w:rFonts w:ascii="Consolas" w:hAnsi="Consolas"/>
          <w:sz w:val="20"/>
        </w:rPr>
        <w:t>silver/nccs_efile/analysis/variable_mappings/nccs_efile_analysis_variable_mapping.md</w:t>
      </w:r>
      <w:r>
        <w:t>.</w:t>
      </w:r>
    </w:p>
    <w:p>
      <w:pPr>
        <w:pStyle w:val="ListBullet"/>
      </w:pPr>
      <w:r>
        <w:t xml:space="preserve">Coverage evidence: </w:t>
      </w:r>
      <w:r>
        <w:rPr>
          <w:rFonts w:ascii="Consolas" w:hAnsi="Consolas"/>
          <w:sz w:val="20"/>
        </w:rPr>
        <w:t>silver/nccs_efile/analysis/quality/coverage/nccs_efile_analysis_variable_coverage.csv</w:t>
      </w:r>
      <w:r>
        <w:t>.</w:t>
      </w:r>
    </w:p>
    <w:p>
      <w:pPr>
        <w:pStyle w:val="Heading2"/>
      </w:pPr>
      <w:r>
        <w:t>Analysis Data Dictionary</w:t>
      </w:r>
    </w:p>
    <w:p>
      <w:pPr>
        <w:spacing w:before="0" w:after="80"/>
      </w:pPr>
      <w:r>
        <w:t xml:space="preserve">Use </w:t>
      </w:r>
      <w:r>
        <w:rPr>
          <w:rFonts w:ascii="Consolas" w:hAnsi="Consolas"/>
          <w:sz w:val="20"/>
        </w:rPr>
        <w:t>documentation/final_preprocessing_docs/technical_docs/analysis_variable_mappings/nccs_efile_analysis_variable_mapping.md</w:t>
      </w:r>
      <w:r>
        <w:t xml:space="preserve"> as the analysis-ready data dictionary. Use </w:t>
      </w:r>
      <w:r>
        <w:rPr>
          <w:rFonts w:ascii="Consolas" w:hAnsi="Consolas"/>
          <w:sz w:val="20"/>
        </w:rPr>
        <w:t>documentation/final_preprocessing_docs/technical_docs/quality/coverage_evidence/nccs_efile_analysis_variable_coverage.csv</w:t>
      </w:r>
      <w:r>
        <w:t xml:space="preserve"> to confirm populated counts and coverage.</w:t>
      </w:r>
    </w:p>
    <w:p>
      <w:pPr>
        <w:pStyle w:val="Heading2"/>
      </w:pPr>
      <w:r>
        <w:t>Supporting Raw Dictionaries</w:t>
      </w:r>
    </w:p>
    <w:p>
      <w:pPr>
        <w:pStyle w:val="ListBullet"/>
      </w:pPr>
      <w:r/>
      <w:r>
        <w:rPr>
          <w:rFonts w:ascii="Consolas" w:hAnsi="Consolas"/>
          <w:sz w:val="20"/>
        </w:rPr>
        <w:t>documentation/final_preprocessing_docs/technical_docs/source_dictionaries/nccs_efile/data-dictionary.html</w:t>
      </w:r>
      <w:r>
        <w:t>.</w:t>
      </w:r>
    </w:p>
    <w:p>
      <w:pPr>
        <w:pStyle w:val="ListBullet"/>
      </w:pPr>
      <w:r/>
      <w:r>
        <w:rPr>
          <w:rFonts w:ascii="Consolas" w:hAnsi="Consolas"/>
          <w:sz w:val="20"/>
        </w:rPr>
        <w:t>documentation/final_preprocessing_docs/technical_docs/source_dictionaries/nccs_efile/data-dictionary_variables.csv</w:t>
      </w:r>
      <w:r>
        <w:t>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60" w:lineRule="exact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60" w:lineRule="exact"/>
      <w:outlineLvl w:val="0"/>
    </w:pPr>
    <w:rPr>
      <w:rFonts w:asciiTheme="majorHAnsi" w:eastAsiaTheme="majorEastAsia" w:hAnsiTheme="majorHAnsi" w:cstheme="majorBidi" w:ascii="Calibri Light" w:hAnsi="Calibri Light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60" w:lineRule="exact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0" w:lineRule="exact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60" w:lineRule="exact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60" w:lineRule="exact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