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480"/>
              <w:left w:type="dxa" w:w="600"/>
              <w:bottom w:type="dxa" w:w="240"/>
              <w:right w:type="dxa" w:w="600"/>
            </w:tcMar>
          </w:tcPr>
          <w:p>
            <w:r>
              <w:rPr>
                <w:rFonts w:ascii="Arial" w:cs="Arial" w:eastAsia="Arial" w:hAnsi="Arial"/>
                <w:b/>
                <w:bCs/>
                <w:color w:val="FFFFFF"/>
                <w:sz w:val="48"/>
                <w:szCs w:val="48"/>
              </w:rPr>
              <w:t xml:space="preserve">ENTROPY-ZERO  /  SOCIETY 7.0</w:t>
            </w:r>
          </w:p>
          <w:p>
            <w:r>
              <w:rPr>
                <w:rFonts w:ascii="Arial" w:cs="Arial" w:eastAsia="Arial" w:hAnsi="Arial"/>
                <w:color w:val="B2E0E5"/>
                <w:sz w:val="32"/>
                <w:szCs w:val="32"/>
              </w:rPr>
              <w:t xml:space="preserve">Research &amp; Simulation Model Blueprint</w:t>
            </w:r>
          </w:p>
        </w:tc>
      </w:tr>
      <w:tr>
        <w:tc>
          <w:tcPr>
            <w:tcW w:type="dxa" w:w="9360"/>
            <w:tcBorders>
              <w:top w:val="none" w:color="FFFFFF" w:sz="0"/>
              <w:left w:val="none" w:color="FFFFFF" w:sz="0"/>
              <w:bottom w:val="none" w:color="FFFFFF" w:sz="0"/>
              <w:right w:val="none" w:color="FFFFFF" w:sz="0"/>
            </w:tcBorders>
            <w:shd w:fill="0E6B75" w:val="clear"/>
            <w:tcMar>
              <w:top w:type="dxa" w:w="160"/>
              <w:left w:type="dxa" w:w="600"/>
              <w:bottom w:type="dxa" w:w="160"/>
              <w:right w:type="dxa" w:w="600"/>
            </w:tcMar>
          </w:tcPr>
          <w:p>
            <w:r>
              <w:rPr>
                <w:rFonts w:ascii="Arial" w:cs="Arial" w:eastAsia="Arial" w:hAnsi="Arial"/>
                <w:b/>
                <w:bCs/>
                <w:color w:val="FFFFFF"/>
                <w:sz w:val="20"/>
                <w:szCs w:val="20"/>
              </w:rPr>
              <w:t xml:space="preserve">Classification: </w:t>
            </w:r>
            <w:r>
              <w:rPr>
                <w:rFonts w:ascii="Arial" w:cs="Arial" w:eastAsia="Arial" w:hAnsi="Arial"/>
                <w:color w:val="E0F4F6"/>
                <w:sz w:val="20"/>
                <w:szCs w:val="20"/>
              </w:rPr>
              <w:t xml:space="preserve">Draft v1.0    </w:t>
            </w:r>
            <w:r>
              <w:rPr>
                <w:rFonts w:ascii="Arial" w:cs="Arial" w:eastAsia="Arial" w:hAnsi="Arial"/>
                <w:b/>
                <w:bCs/>
                <w:color w:val="FFFFFF"/>
                <w:sz w:val="20"/>
                <w:szCs w:val="20"/>
              </w:rPr>
              <w:t xml:space="preserve">  |  Model Type: </w:t>
            </w:r>
            <w:r>
              <w:rPr>
                <w:rFonts w:ascii="Arial" w:cs="Arial" w:eastAsia="Arial" w:hAnsi="Arial"/>
                <w:color w:val="E0F4F6"/>
                <w:sz w:val="20"/>
                <w:szCs w:val="20"/>
              </w:rPr>
              <w:t xml:space="preserve">City-Cell Metabolism Simulation    </w:t>
            </w:r>
            <w:r>
              <w:rPr>
                <w:rFonts w:ascii="Arial" w:cs="Arial" w:eastAsia="Arial" w:hAnsi="Arial"/>
                <w:b/>
                <w:bCs/>
                <w:color w:val="FFFFFF"/>
                <w:sz w:val="20"/>
                <w:szCs w:val="20"/>
              </w:rPr>
              <w:t xml:space="preserve">  |  Scope: </w:t>
            </w:r>
            <w:r>
              <w:rPr>
                <w:rFonts w:ascii="Arial" w:cs="Arial" w:eastAsia="Arial" w:hAnsi="Arial"/>
                <w:color w:val="E0F4F6"/>
                <w:sz w:val="20"/>
                <w:szCs w:val="20"/>
              </w:rPr>
              <w:t xml:space="preserve">100-Person Biospheric Cell</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1.  Executive Summary</w:t>
      </w:r>
    </w:p>
    <w:p>
      <w:pPr>
        <w:shd w:fill="E0F4F6" w:val="clear"/>
        <w:spacing w:after="120" w:before="120"/>
        <w:ind w:left="360" w:right="360"/>
      </w:pPr>
      <w:r>
        <w:rPr>
          <w:rFonts w:ascii="Arial" w:cs="Arial" w:eastAsia="Arial" w:hAnsi="Arial"/>
          <w:i/>
          <w:iCs/>
          <w:color w:val="0D2B4E"/>
          <w:sz w:val="22"/>
          <w:szCs w:val="22"/>
        </w:rPr>
        <w:t xml:space="preserve">Before any physical pilot, this project simulates a Society 7.0 city cell using Biosphere 2-inspired variables: light limitation, oxygen-carbon cycling, water recovery, food lag, soil respiration, and atmospheric latency. The simulation evaluates whether the ENTROPY-ZERO framework prevents cascading failure through early detection and coordinated intervention.</w:t>
      </w:r>
    </w:p>
    <w:p>
      <w:pPr>
        <w:spacing w:after="120" w:before="80"/>
        <w:jc w:val="left"/>
      </w:pPr>
      <w:r>
        <w:rPr>
          <w:rFonts w:ascii="Arial" w:cs="Arial" w:eastAsia="Arial" w:hAnsi="Arial"/>
          <w:b w:val="false"/>
          <w:bCs w:val="false"/>
          <w:i w:val="false"/>
          <w:iCs w:val="false"/>
          <w:color w:val="222222"/>
          <w:sz w:val="22"/>
          <w:szCs w:val="22"/>
        </w:rPr>
        <w:t xml:space="preserve"/>
      </w:r>
    </w:p>
    <w:p>
      <w:pPr>
        <w:spacing w:after="140" w:before="80"/>
        <w:jc w:val="left"/>
      </w:pPr>
      <w:r>
        <w:rPr>
          <w:rFonts w:ascii="Arial" w:cs="Arial" w:eastAsia="Arial" w:hAnsi="Arial"/>
          <w:b w:val="false"/>
          <w:bCs w:val="false"/>
          <w:i w:val="false"/>
          <w:iCs w:val="false"/>
          <w:color w:val="222222"/>
          <w:sz w:val="22"/>
          <w:szCs w:val="22"/>
        </w:rPr>
        <w:t xml:space="preserve">This blueprint defines the complete research and simulation architecture for ENTROPY-ZERO / Society 7.0 — a metabolic model of a sustainable human settlement. Rather than rendering a city-scale digital twin from the outset, the strategy centres on a minimum-viable city cell: a 100-person biospheric unit that proves the core sustainability logic across seven interdependent systems.</w:t>
      </w:r>
    </w:p>
    <w:p>
      <w:pPr>
        <w:spacing w:after="240" w:before="80"/>
        <w:jc w:val="left"/>
      </w:pPr>
      <w:r>
        <w:rPr>
          <w:rFonts w:ascii="Arial" w:cs="Arial" w:eastAsia="Arial" w:hAnsi="Arial"/>
          <w:b w:val="false"/>
          <w:bCs w:val="false"/>
          <w:i w:val="false"/>
          <w:iCs w:val="false"/>
          <w:color w:val="222222"/>
          <w:sz w:val="22"/>
          <w:szCs w:val="22"/>
        </w:rPr>
        <w:t xml:space="preserve">The simulation tracks population demand, oxygen and CO₂ balance, energy generation, water recovery, food lag, waste circularity, mobility load, and governance response over time. Stress scenarios — low sunlight, atmospheric latency events, crop failure, waste overload, energy shortage — are used to validate whether the framework can maintain systemic equilibrium.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Objective</w:t>
            </w:r>
          </w:p>
        </w:tc>
        <w:tc>
          <w:tcPr>
            <w:tcW w:type="dxa" w:w="6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Proof of Concept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Demonstrate ENTROPY-ZERO sustainability logic in a controlled 100-person simulation</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Failure Validation</w:t>
            </w:r>
          </w:p>
        </w:tc>
        <w:tc>
          <w:tcPr>
            <w:tcW w:type="dxa" w:w="63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Stress-test all seven core loops under adversarial scenarios</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Intervention 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Verify that governance and metabolic tile interventions reduce correction latency</w:t>
            </w:r>
          </w:p>
        </w:tc>
      </w:tr>
      <w:tr>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Research Output</w:t>
            </w:r>
          </w:p>
        </w:tc>
        <w:tc>
          <w:tcPr>
            <w:tcW w:type="dxa" w:w="63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Produce a publication-ready model blueprint, dashboard, and scenario analysis report</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2.  Research Framework</w:t>
      </w:r>
    </w:p>
    <w:p>
      <w:pPr>
        <w:pStyle w:val="Heading2"/>
        <w:pBdr>
          <w:left w:val="single" w:color="0E6B75" w:sz="16" w:space="6"/>
        </w:pBdr>
        <w:spacing w:after="140" w:before="280"/>
        <w:ind w:left="220"/>
      </w:pPr>
      <w:r>
        <w:rPr>
          <w:rFonts w:ascii="Arial" w:cs="Arial" w:eastAsia="Arial" w:hAnsi="Arial"/>
          <w:b/>
          <w:bCs/>
          <w:color w:val="0D2B4E"/>
          <w:sz w:val="28"/>
          <w:szCs w:val="28"/>
        </w:rPr>
        <w:t xml:space="preserve">2.1  Theoretical Foundation</w:t>
      </w:r>
    </w:p>
    <w:p>
      <w:pPr>
        <w:spacing w:after="120" w:before="80"/>
        <w:jc w:val="left"/>
      </w:pPr>
      <w:r>
        <w:rPr>
          <w:rFonts w:ascii="Arial" w:cs="Arial" w:eastAsia="Arial" w:hAnsi="Arial"/>
          <w:b w:val="false"/>
          <w:bCs w:val="false"/>
          <w:i w:val="false"/>
          <w:iCs w:val="false"/>
          <w:color w:val="222222"/>
          <w:sz w:val="22"/>
          <w:szCs w:val="22"/>
        </w:rPr>
        <w:t xml:space="preserve">Society 7.0 conceptualises a human settlement as a living metabolism — a closed or semi-closed system in which every resource flow is tracked, every waste stream is converted, and every governance action is logged. The model draws directly from the lessons of Biosphere 2 (1991-1993), in which oxygen depletion, food lag, CO₂ sequestration failure, and governance breakdown were all observed in a real closed-system human habitat.</w:t>
      </w:r>
    </w:p>
    <w:p>
      <w:pPr>
        <w:spacing w:after="220" w:before="80"/>
        <w:jc w:val="left"/>
      </w:pPr>
      <w:r>
        <w:rPr>
          <w:rFonts w:ascii="Arial" w:cs="Arial" w:eastAsia="Arial" w:hAnsi="Arial"/>
          <w:b w:val="false"/>
          <w:bCs w:val="false"/>
          <w:i w:val="false"/>
          <w:iCs w:val="false"/>
          <w:color w:val="222222"/>
          <w:sz w:val="22"/>
          <w:szCs w:val="22"/>
        </w:rPr>
        <w:t xml:space="preserve">ENTROPY-ZERO names the target state: a civilisation in which entropy — disorder, waste, inefficiency, ecological debt — asymptotically approaches zero through continuous feedback and metabolic correction. The city cell is the smallest unit in which this logic can be tested.</w:t>
      </w:r>
    </w:p>
    <w:p>
      <w:pPr>
        <w:pStyle w:val="Heading2"/>
        <w:pBdr>
          <w:left w:val="single" w:color="0E6B75" w:sz="16" w:space="6"/>
        </w:pBdr>
        <w:spacing w:after="140" w:before="280"/>
        <w:ind w:left="220"/>
      </w:pPr>
      <w:r>
        <w:rPr>
          <w:rFonts w:ascii="Arial" w:cs="Arial" w:eastAsia="Arial" w:hAnsi="Arial"/>
          <w:b/>
          <w:bCs/>
          <w:color w:val="0D2B4E"/>
          <w:sz w:val="28"/>
          <w:szCs w:val="28"/>
        </w:rPr>
        <w:t xml:space="preserve">2.2  Research Questions</w:t>
      </w:r>
    </w:p>
    <w:p>
      <w:pPr>
        <w:pStyle w:val="ListParagraph"/>
        <w:numPr>
          <w:ilvl w:val="0"/>
          <w:numId w:val="2"/>
        </w:numPr>
        <w:spacing w:after="60" w:before="60"/>
      </w:pPr>
      <w:r>
        <w:rPr>
          <w:rFonts w:ascii="Arial" w:cs="Arial" w:eastAsia="Arial" w:hAnsi="Arial"/>
          <w:color w:val="222222"/>
          <w:sz w:val="22"/>
          <w:szCs w:val="22"/>
        </w:rPr>
        <w:t xml:space="preserve">Can a 100-person biospheric cell maintain atmospheric stability (O₂/CO₂ balance) under normal and stressed conditions?</w:t>
      </w:r>
    </w:p>
    <w:p>
      <w:pPr>
        <w:pStyle w:val="ListParagraph"/>
        <w:numPr>
          <w:ilvl w:val="0"/>
          <w:numId w:val="2"/>
        </w:numPr>
        <w:spacing w:after="60" w:before="60"/>
      </w:pPr>
      <w:r>
        <w:rPr>
          <w:rFonts w:ascii="Arial" w:cs="Arial" w:eastAsia="Arial" w:hAnsi="Arial"/>
          <w:color w:val="222222"/>
          <w:sz w:val="22"/>
          <w:szCs w:val="22"/>
        </w:rPr>
        <w:t xml:space="preserve">Do metabolic surface interventions (smart tiles, surface lungs) meaningfully reduce atmospheric correction latency?</w:t>
      </w:r>
    </w:p>
    <w:p>
      <w:pPr>
        <w:pStyle w:val="ListParagraph"/>
        <w:numPr>
          <w:ilvl w:val="0"/>
          <w:numId w:val="2"/>
        </w:numPr>
        <w:spacing w:after="60" w:before="60"/>
      </w:pPr>
      <w:r>
        <w:rPr>
          <w:rFonts w:ascii="Arial" w:cs="Arial" w:eastAsia="Arial" w:hAnsi="Arial"/>
          <w:color w:val="222222"/>
          <w:sz w:val="22"/>
          <w:szCs w:val="22"/>
        </w:rPr>
        <w:t xml:space="preserve">At what thresholds do individual system failures cascade into multi-system collapse?</w:t>
      </w:r>
    </w:p>
    <w:p>
      <w:pPr>
        <w:pStyle w:val="ListParagraph"/>
        <w:numPr>
          <w:ilvl w:val="0"/>
          <w:numId w:val="2"/>
        </w:numPr>
        <w:spacing w:after="60" w:before="60"/>
      </w:pPr>
      <w:r>
        <w:rPr>
          <w:rFonts w:ascii="Arial" w:cs="Arial" w:eastAsia="Arial" w:hAnsi="Arial"/>
          <w:color w:val="222222"/>
          <w:sz w:val="22"/>
          <w:szCs w:val="22"/>
        </w:rPr>
        <w:t xml:space="preserve">Can a governance model with pre-defined intervention rules prevent cascading failure without human decision latency?</w:t>
      </w:r>
    </w:p>
    <w:p>
      <w:pPr>
        <w:pStyle w:val="ListParagraph"/>
        <w:numPr>
          <w:ilvl w:val="0"/>
          <w:numId w:val="2"/>
        </w:numPr>
        <w:spacing w:after="60" w:before="60"/>
      </w:pPr>
      <w:r>
        <w:rPr>
          <w:rFonts w:ascii="Arial" w:cs="Arial" w:eastAsia="Arial" w:hAnsi="Arial"/>
          <w:color w:val="222222"/>
          <w:sz w:val="22"/>
          <w:szCs w:val="22"/>
        </w:rPr>
        <w:t xml:space="preserve">What is the minimum resource configuration required to keep the ENTROPY-ZERO Stability Index above 70?</w:t>
      </w:r>
    </w:p>
    <w:p>
      <w:pPr>
        <w:spacing w:after="0" w:before="200"/>
      </w:pPr>
    </w:p>
    <w:p>
      <w:pPr>
        <w:pStyle w:val="Heading2"/>
        <w:pBdr>
          <w:left w:val="single" w:color="0E6B75" w:sz="16" w:space="6"/>
        </w:pBdr>
        <w:spacing w:after="140" w:before="280"/>
        <w:ind w:left="220"/>
      </w:pPr>
      <w:r>
        <w:rPr>
          <w:rFonts w:ascii="Arial" w:cs="Arial" w:eastAsia="Arial" w:hAnsi="Arial"/>
          <w:b/>
          <w:bCs/>
          <w:color w:val="0D2B4E"/>
          <w:sz w:val="28"/>
          <w:szCs w:val="28"/>
        </w:rPr>
        <w:t xml:space="preserve">2.3  Scope and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Dimension</w:t>
            </w:r>
          </w:p>
        </w:tc>
        <w:tc>
          <w:tcPr>
            <w:tcW w:type="dxa" w:w="34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 Scope</w:t>
            </w:r>
          </w:p>
        </w:tc>
        <w:tc>
          <w:tcPr>
            <w:tcW w:type="dxa" w:w="34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Out of Scope (Phase 1)</w:t>
            </w:r>
          </w:p>
        </w:tc>
      </w:tr>
      <w:tr>
        <w:tc>
          <w:tcPr>
            <w:tcW w:type="dxa" w:w="24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Population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 residents, synthetic agent behaviour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Real human subjects, &gt;1 000 persons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Systems</w:t>
            </w:r>
          </w:p>
        </w:tc>
        <w:tc>
          <w:tcPr>
            <w:tcW w:type="dxa" w:w="34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7 core loops (see Section 3)</w:t>
            </w:r>
          </w:p>
        </w:tc>
        <w:tc>
          <w:tcPr>
            <w:tcW w:type="dxa" w:w="34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Telecommunications, healthcare hardware</w:t>
            </w:r>
          </w:p>
        </w:tc>
      </w:tr>
      <w:tr>
        <w:tc>
          <w:tcPr>
            <w:tcW w:type="dxa" w:w="24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Modelling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Python time-step, agent-based (Mesa)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CFD, physical sensor arrays</w:t>
            </w:r>
          </w:p>
        </w:tc>
      </w:tr>
      <w:tr>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Output</w:t>
            </w:r>
          </w:p>
        </w:tc>
        <w:tc>
          <w:tcPr>
            <w:tcW w:type="dxa" w:w="34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Stability Index, scenario reports, dashboard</w:t>
            </w:r>
          </w:p>
        </w:tc>
        <w:tc>
          <w:tcPr>
            <w:tcW w:type="dxa" w:w="34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Physical prototype, hardware deployment</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3.  System Architecture — The 7 Core Loops</w:t>
      </w:r>
    </w:p>
    <w:p>
      <w:pPr>
        <w:spacing w:after="120" w:before="80"/>
        <w:jc w:val="left"/>
      </w:pPr>
      <w:r>
        <w:rPr>
          <w:rFonts w:ascii="Arial" w:cs="Arial" w:eastAsia="Arial" w:hAnsi="Arial"/>
          <w:b w:val="false"/>
          <w:bCs w:val="false"/>
          <w:i w:val="false"/>
          <w:iCs w:val="false"/>
          <w:color w:val="222222"/>
          <w:sz w:val="22"/>
          <w:szCs w:val="22"/>
        </w:rPr>
        <w:t xml:space="preserve">The simulation models the city cell as seven interdependent metabolic loops. Each loop has inputs, outputs, internal state variables, threshold triggers, and intervention responses. The table below defines the full architecture.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20"/>
        <w:gridCol w:w="1920"/>
        <w:gridCol w:w="2040"/>
        <w:gridCol w:w="2040"/>
      </w:tblGrid>
      <w:tr>
        <w:tc>
          <w:tcPr>
            <w:tcW w:type="dxa" w:w="14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Loop</w:t>
            </w:r>
          </w:p>
        </w:tc>
        <w:tc>
          <w:tcPr>
            <w:tcW w:type="dxa" w:w="192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Inputs</w:t>
            </w:r>
          </w:p>
        </w:tc>
        <w:tc>
          <w:tcPr>
            <w:tcW w:type="dxa" w:w="192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Outputs</w:t>
            </w:r>
          </w:p>
        </w:tc>
        <w:tc>
          <w:tcPr>
            <w:tcW w:type="dxa" w:w="20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Threshold Trigger</w:t>
            </w:r>
          </w:p>
        </w:tc>
        <w:tc>
          <w:tcPr>
            <w:tcW w:type="dxa" w:w="20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Intervention</w:t>
            </w:r>
          </w:p>
        </w:tc>
      </w:tr>
      <w:tr>
        <w:tc>
          <w:tcPr>
            <w:tcW w:type="dxa" w:w="14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Atmosphere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O₂ demand, photosynthesis rate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CO₂ level, breathable ppm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CO₂ &gt; 1 500 ppm</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Activate scrubber / algae routing</w:t>
            </w:r>
          </w:p>
        </w:tc>
      </w:tr>
      <w:tr>
        <w:tc>
          <w:tcPr>
            <w:tcW w:type="dxa" w:w="14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Energy</w:t>
            </w:r>
          </w:p>
        </w:tc>
        <w:tc>
          <w:tcPr>
            <w:tcW w:type="dxa" w:w="19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Solar irradiance, battery state</w:t>
            </w:r>
          </w:p>
        </w:tc>
        <w:tc>
          <w:tcPr>
            <w:tcW w:type="dxa" w:w="19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Reserve %, demand met ratio</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Reserve &lt; 20%</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Load shedding, reduce grow lights</w:t>
            </w:r>
          </w:p>
        </w:tc>
      </w:tr>
      <w:tr>
        <w:tc>
          <w:tcPr>
            <w:tcW w:type="dxa" w:w="14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Water</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Precipitation, evaporation, use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Reserve level, recovery rate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Reserve &lt; 30%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Irrigation pause, grey-water recycle</w:t>
            </w:r>
          </w:p>
        </w:tc>
      </w:tr>
      <w:tr>
        <w:tc>
          <w:tcPr>
            <w:tcW w:type="dxa" w:w="14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Food</w:t>
            </w:r>
          </w:p>
        </w:tc>
        <w:tc>
          <w:tcPr>
            <w:tcW w:type="dxa" w:w="19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Stored food, grow output, crop cycles</w:t>
            </w:r>
          </w:p>
        </w:tc>
        <w:tc>
          <w:tcPr>
            <w:tcW w:type="dxa" w:w="19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Days of food remaining, lag index</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&lt; 14 days remaining</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Activate algae/microgreens, import</w:t>
            </w:r>
          </w:p>
        </w:tc>
      </w:tr>
      <w:tr>
        <w:tc>
          <w:tcPr>
            <w:tcW w:type="dxa" w:w="14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Waste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Organic waste rate, compost load</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O₂ drawdown, VOC index, nutrient return</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Microbial O₂ demand &gt; 5%</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Route to digester, pause composting</w:t>
            </w:r>
          </w:p>
        </w:tc>
      </w:tr>
      <w:tr>
        <w:tc>
          <w:tcPr>
            <w:tcW w:type="dxa" w:w="14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Mobility</w:t>
            </w:r>
          </w:p>
        </w:tc>
        <w:tc>
          <w:tcPr>
            <w:tcW w:type="dxa" w:w="19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Trip demand, mode split, energy use</w:t>
            </w:r>
          </w:p>
        </w:tc>
        <w:tc>
          <w:tcPr>
            <w:tcW w:type="dxa" w:w="19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Energy consumed, CO₂ emitted, latency</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Energy share &gt; 25%</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Restrict autonomous transit, promote walking</w:t>
            </w:r>
          </w:p>
        </w:tc>
      </w:tr>
      <w:tr>
        <w:tc>
          <w:tcPr>
            <w:tcW w:type="dxa" w:w="14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Governance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Sensor alerts, threshold breaches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Audit log, intervention count, response time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Any loop &lt; 50% stability</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Issue directive, log decision, escalate</w:t>
            </w:r>
          </w:p>
        </w:tc>
      </w:tr>
    </w:tbl>
    <w:p>
      <w:pPr>
        <w:spacing w:after="0" w:before="260"/>
      </w:pPr>
    </w:p>
    <w:p>
      <w:pPr>
        <w:pStyle w:val="Heading2"/>
        <w:pBdr>
          <w:left w:val="single" w:color="0E6B75" w:sz="16" w:space="6"/>
        </w:pBdr>
        <w:spacing w:after="140" w:before="280"/>
        <w:ind w:left="220"/>
      </w:pPr>
      <w:r>
        <w:rPr>
          <w:rFonts w:ascii="Arial" w:cs="Arial" w:eastAsia="Arial" w:hAnsi="Arial"/>
          <w:b/>
          <w:bCs/>
          <w:color w:val="0D2B4E"/>
          <w:sz w:val="28"/>
          <w:szCs w:val="28"/>
        </w:rPr>
        <w:t xml:space="preserve">3.1  Metabolic Flow Model</w:t>
      </w:r>
    </w:p>
    <w:p>
      <w:pPr>
        <w:spacing w:after="120" w:before="80"/>
        <w:jc w:val="left"/>
      </w:pPr>
      <w:r>
        <w:rPr>
          <w:rFonts w:ascii="Arial" w:cs="Arial" w:eastAsia="Arial" w:hAnsi="Arial"/>
          <w:b w:val="false"/>
          <w:bCs w:val="false"/>
          <w:i w:val="false"/>
          <w:iCs w:val="false"/>
          <w:color w:val="222222"/>
          <w:sz w:val="22"/>
          <w:szCs w:val="22"/>
        </w:rPr>
        <w:t xml:space="preserve">The city cell operates as two reciprocal flows: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A5068" w:sz="1"/>
              <w:left w:val="single" w:color="3A5068" w:sz="1"/>
              <w:bottom w:val="single" w:color="3A5068" w:sz="1"/>
              <w:right w:val="single" w:color="3A5068" w:sz="1"/>
            </w:tcBorders>
            <w:shd w:fill="3A5068"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Residents CONSUME</w:t>
            </w:r>
          </w:p>
        </w:tc>
        <w:tc>
          <w:tcPr>
            <w:tcW w:type="dxa" w:w="4680"/>
            <w:tcBorders>
              <w:top w:val="single" w:color="0E6B75" w:sz="1"/>
              <w:left w:val="single" w:color="0E6B75" w:sz="1"/>
              <w:bottom w:val="single" w:color="0E6B75" w:sz="1"/>
              <w:right w:val="single" w:color="0E6B75" w:sz="1"/>
            </w:tcBorders>
            <w:shd w:fill="0E6B75"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Residents PRODUCE</w:t>
            </w:r>
          </w:p>
        </w:tc>
      </w:tr>
      <w:tr>
        <w:tc>
          <w:tcPr>
            <w:tcW w:type="dxa" w:w="468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Oxygen (O₂)</w:t>
            </w:r>
          </w:p>
        </w:tc>
        <w:tc>
          <w:tcPr>
            <w:tcW w:type="dxa" w:w="468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Carbon dioxide (CO₂)</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Food (kcal/day per capita)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Organic waste (kg/day per capita)</w:t>
            </w:r>
          </w:p>
        </w:tc>
      </w:tr>
      <w:tr>
        <w:tc>
          <w:tcPr>
            <w:tcW w:type="dxa" w:w="468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Water (litres/day per capita)</w:t>
            </w:r>
          </w:p>
        </w:tc>
        <w:tc>
          <w:tcPr>
            <w:tcW w:type="dxa" w:w="468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Grey water and black water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Energy (kWh/day per capita)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Heat dissipation and mobility demand</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4.  MVP Simulation Model — v0.1 Architecture</w:t>
      </w:r>
    </w:p>
    <w:p>
      <w:pPr>
        <w:pStyle w:val="Heading2"/>
        <w:pBdr>
          <w:left w:val="single" w:color="0E6B75" w:sz="16" w:space="6"/>
        </w:pBdr>
        <w:spacing w:after="140" w:before="280"/>
        <w:ind w:left="220"/>
      </w:pPr>
      <w:r>
        <w:rPr>
          <w:rFonts w:ascii="Arial" w:cs="Arial" w:eastAsia="Arial" w:hAnsi="Arial"/>
          <w:b/>
          <w:bCs/>
          <w:color w:val="0D2B4E"/>
          <w:sz w:val="28"/>
          <w:szCs w:val="28"/>
        </w:rPr>
        <w:t xml:space="preserve">4.1  City-Cell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Component</w:t>
            </w:r>
          </w:p>
        </w:tc>
        <w:tc>
          <w:tcPr>
            <w:tcW w:type="dxa" w:w="62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Specification</w:t>
            </w:r>
          </w:p>
        </w:tc>
      </w:tr>
      <w:tr>
        <w:tc>
          <w:tcPr>
            <w:tcW w:type="dxa" w:w="31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Population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100 synthetic residents; age distribution 20-65</w:t>
            </w:r>
          </w:p>
        </w:tc>
      </w:tr>
      <w:tr>
        <w:tc>
          <w:tcPr>
            <w:tcW w:type="dxa" w:w="31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Buildings</w:t>
            </w:r>
          </w:p>
        </w:tc>
        <w:tc>
          <w:tcPr>
            <w:tcW w:type="dxa" w:w="62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 mixed-use structures (residential + productive)</w:t>
            </w:r>
          </w:p>
        </w:tc>
      </w:tr>
      <w:tr>
        <w:tc>
          <w:tcPr>
            <w:tcW w:type="dxa" w:w="31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Food Zone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 hydroponic + algae production zone; microgreens buffer</w:t>
            </w:r>
          </w:p>
        </w:tc>
      </w:tr>
      <w:tr>
        <w:tc>
          <w:tcPr>
            <w:tcW w:type="dxa" w:w="31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Water System</w:t>
            </w:r>
          </w:p>
        </w:tc>
        <w:tc>
          <w:tcPr>
            <w:tcW w:type="dxa" w:w="62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 closed water recovery loop; grey/black water separation</w:t>
            </w:r>
          </w:p>
        </w:tc>
      </w:tr>
      <w:tr>
        <w:tc>
          <w:tcPr>
            <w:tcW w:type="dxa" w:w="31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Energy System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 solar array + battery storage; no fossil fuel fallback</w:t>
            </w:r>
          </w:p>
        </w:tc>
      </w:tr>
      <w:tr>
        <w:tc>
          <w:tcPr>
            <w:tcW w:type="dxa" w:w="31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Waste System</w:t>
            </w:r>
          </w:p>
        </w:tc>
        <w:tc>
          <w:tcPr>
            <w:tcW w:type="dxa" w:w="62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 organic digester + composting bypass; nutrient return pathway</w:t>
            </w:r>
          </w:p>
        </w:tc>
      </w:tr>
      <w:tr>
        <w:tc>
          <w:tcPr>
            <w:tcW w:type="dxa" w:w="31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Mobility Loop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Walking, cycling, autonomous electric transit; SUMO-compatible</w:t>
            </w:r>
          </w:p>
        </w:tc>
      </w:tr>
      <w:tr>
        <w:tc>
          <w:tcPr>
            <w:tcW w:type="dxa" w:w="31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Atmosphere</w:t>
            </w:r>
          </w:p>
        </w:tc>
        <w:tc>
          <w:tcPr>
            <w:tcW w:type="dxa" w:w="62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 atmospheric control layer; electrolysis + CO₂ scrubber + metabolic tile surface</w:t>
            </w:r>
          </w:p>
        </w:tc>
      </w:tr>
      <w:tr>
        <w:tc>
          <w:tcPr>
            <w:tcW w:type="dxa" w:w="31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Governance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Rule-based intervention engine; real-time audit log; threshold escalation matrix</w:t>
            </w:r>
          </w:p>
        </w:tc>
      </w:tr>
    </w:tbl>
    <w:p>
      <w:pPr>
        <w:spacing w:after="0" w:before="260"/>
      </w:pPr>
    </w:p>
    <w:p>
      <w:pPr>
        <w:pStyle w:val="Heading2"/>
        <w:pBdr>
          <w:left w:val="single" w:color="0E6B75" w:sz="16" w:space="6"/>
        </w:pBdr>
        <w:spacing w:after="140" w:before="280"/>
        <w:ind w:left="220"/>
      </w:pPr>
      <w:r>
        <w:rPr>
          <w:rFonts w:ascii="Arial" w:cs="Arial" w:eastAsia="Arial" w:hAnsi="Arial"/>
          <w:b/>
          <w:bCs/>
          <w:color w:val="0D2B4E"/>
          <w:sz w:val="28"/>
          <w:szCs w:val="28"/>
        </w:rPr>
        <w:t xml:space="preserve">4.2  Core Simulation Variables</w:t>
      </w:r>
    </w:p>
    <w:p>
      <w:pPr>
        <w:spacing w:after="120" w:before="80"/>
        <w:jc w:val="left"/>
      </w:pPr>
      <w:r>
        <w:rPr>
          <w:rFonts w:ascii="Arial" w:cs="Arial" w:eastAsia="Arial" w:hAnsi="Arial"/>
          <w:b w:val="false"/>
          <w:bCs w:val="false"/>
          <w:i w:val="false"/>
          <w:iCs w:val="false"/>
          <w:color w:val="222222"/>
          <w:sz w:val="22"/>
          <w:szCs w:val="22"/>
        </w:rPr>
        <w:t xml:space="preserve">The MVP tracks seven primary state variables at each time step (default: 1-hour resolution):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520"/>
        <w:gridCol w:w="2400"/>
        <w:gridCol w:w="2400"/>
      </w:tblGrid>
      <w:tr>
        <w:tc>
          <w:tcPr>
            <w:tcW w:type="dxa" w:w="20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Variable</w:t>
            </w:r>
          </w:p>
        </w:tc>
        <w:tc>
          <w:tcPr>
            <w:tcW w:type="dxa" w:w="252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Unit</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Normal Range</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Alert Threshold</w:t>
            </w:r>
          </w:p>
        </w:tc>
      </w:tr>
      <w:tr>
        <w:tc>
          <w:tcPr>
            <w:tcW w:type="dxa" w:w="20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Population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Count (persons)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N/A (fixed for v0.1)</w:t>
            </w:r>
          </w:p>
        </w:tc>
      </w:tr>
      <w:tr>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O₂ Level</w:t>
            </w:r>
          </w:p>
        </w:tc>
        <w:tc>
          <w:tcPr>
            <w:tcW w:type="dxa" w:w="25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 vol (target ~20.9%)</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19.5 - 21.5%</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&lt; 19.5% or &gt; 23%</w:t>
            </w:r>
          </w:p>
        </w:tc>
      </w:tr>
      <w:tr>
        <w:tc>
          <w:tcPr>
            <w:tcW w:type="dxa" w:w="20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CO₂ Level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ppm (target &lt; 800 ppm)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400 - 800 ppm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&gt; 1 500 ppm</w:t>
            </w:r>
          </w:p>
        </w:tc>
      </w:tr>
      <w:tr>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Energy Reserve</w:t>
            </w:r>
          </w:p>
        </w:tc>
        <w:tc>
          <w:tcPr>
            <w:tcW w:type="dxa" w:w="25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 of battery capacity</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40 - 100%</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&lt; 20%</w:t>
            </w:r>
          </w:p>
        </w:tc>
      </w:tr>
      <w:tr>
        <w:tc>
          <w:tcPr>
            <w:tcW w:type="dxa" w:w="20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Water 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 of storage capacity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40 - 100%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&lt; 30%</w:t>
            </w:r>
          </w:p>
        </w:tc>
      </w:tr>
      <w:tr>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Food Reserve</w:t>
            </w:r>
          </w:p>
        </w:tc>
        <w:tc>
          <w:tcPr>
            <w:tcW w:type="dxa" w:w="25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Days of consumption remaining</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21 - 90 days</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&lt; 14 days</w:t>
            </w:r>
          </w:p>
        </w:tc>
      </w:tr>
      <w:tr>
        <w:tc>
          <w:tcPr>
            <w:tcW w:type="dxa" w:w="20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Waste Load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kg/day + O₂ drawdown index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0 - 3% O₂ drawdown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&gt; 5% drawdown</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5.  Stress Scenarios &amp; Failure Analysis</w:t>
      </w:r>
    </w:p>
    <w:p>
      <w:pPr>
        <w:spacing w:after="120" w:before="80"/>
        <w:jc w:val="left"/>
      </w:pPr>
      <w:r>
        <w:rPr>
          <w:rFonts w:ascii="Arial" w:cs="Arial" w:eastAsia="Arial" w:hAnsi="Arial"/>
          <w:b w:val="false"/>
          <w:bCs w:val="false"/>
          <w:i w:val="false"/>
          <w:iCs w:val="false"/>
          <w:color w:val="222222"/>
          <w:sz w:val="22"/>
          <w:szCs w:val="22"/>
        </w:rPr>
        <w:t xml:space="preserve">The simulation derives its scientific value from adversarial testing. Five canonical stress scenarios are designed to expose failure cascades and validate intervention effectiveness. Each scenario runs in isolation and in combination (multi-fault testing).</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2880"/>
        <w:gridCol w:w="2880"/>
      </w:tblGrid>
      <w:tr>
        <w:tc>
          <w:tcPr>
            <w:tcW w:type="dxa" w:w="14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Scenario</w:t>
            </w:r>
          </w:p>
        </w:tc>
        <w:tc>
          <w:tcPr>
            <w:tcW w:type="dxa" w:w="21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Trigger Condition</w:t>
            </w:r>
          </w:p>
        </w:tc>
        <w:tc>
          <w:tcPr>
            <w:tcW w:type="dxa" w:w="28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Cascade Chain</w:t>
            </w:r>
          </w:p>
        </w:tc>
        <w:tc>
          <w:tcPr>
            <w:tcW w:type="dxa" w:w="28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Key Metric to Observe</w:t>
            </w:r>
          </w:p>
        </w:tc>
      </w:tr>
      <w:tr>
        <w:tc>
          <w:tcPr>
            <w:tcW w:type="dxa" w:w="14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A — Low Sunlight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Solar drops 60% for 72 hours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Energy reserve falls → grow lights reduce → food production slows → O₂ lag → CO₂ rise → governance alerts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Time-to-governance-alert; Stability Index floor</w:t>
            </w:r>
          </w:p>
        </w:tc>
      </w:tr>
      <w:tr>
        <w:tc>
          <w:tcPr>
            <w:tcW w:type="dxa" w:w="14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B — CO₂ Spike</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Population density doubles in one zone</w:t>
            </w:r>
          </w:p>
        </w:tc>
        <w:tc>
          <w:tcPr>
            <w:tcW w:type="dxa" w:w="28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CO₂ climbs → air routing activates → scrubbers on → energy demand increases → battery stress</w:t>
            </w:r>
          </w:p>
        </w:tc>
        <w:tc>
          <w:tcPr>
            <w:tcW w:type="dxa" w:w="28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Atmospheric latency (minutes to correction); energy draw of scrubbers</w:t>
            </w:r>
          </w:p>
        </w:tc>
      </w:tr>
      <w:tr>
        <w:tc>
          <w:tcPr>
            <w:tcW w:type="dxa" w:w="14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C — Food Lag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Primary crop cycle fails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Stored food depletes → fast-food systems activate → algae/microgreens compensate → rationing threshold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Days to rationing threshold; fast-food system response lag</w:t>
            </w:r>
          </w:p>
        </w:tc>
      </w:tr>
      <w:tr>
        <w:tc>
          <w:tcPr>
            <w:tcW w:type="dxa" w:w="14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D — Waste Overload</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Organic waste rate increases 3x</w:t>
            </w:r>
          </w:p>
        </w:tc>
        <w:tc>
          <w:tcPr>
            <w:tcW w:type="dxa" w:w="28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Microbial O₂ drawdown rises → CO₂ climbs → compost/digester threshold → VOC alert</w:t>
            </w:r>
          </w:p>
        </w:tc>
        <w:tc>
          <w:tcPr>
            <w:tcW w:type="dxa" w:w="288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O₂ drawdown index; time to digester activation</w:t>
            </w:r>
          </w:p>
        </w:tc>
      </w:tr>
      <w:tr>
        <w:tc>
          <w:tcPr>
            <w:tcW w:type="dxa" w:w="144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E — Tile Intervention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Metabolic tiles activated vs. baseline (A/B test)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With tiles: atmospheric correction in ~90 min. Without tiles: 6+ hours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Correction latency reduction; energy cost of tile operation</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6.  ENTROPY-ZERO Stability Index</w:t>
      </w:r>
    </w:p>
    <w:p>
      <w:pPr>
        <w:spacing w:after="120" w:before="80"/>
        <w:jc w:val="left"/>
      </w:pPr>
      <w:r>
        <w:rPr>
          <w:rFonts w:ascii="Arial" w:cs="Arial" w:eastAsia="Arial" w:hAnsi="Arial"/>
          <w:b w:val="false"/>
          <w:bCs w:val="false"/>
          <w:i w:val="false"/>
          <w:iCs w:val="false"/>
          <w:color w:val="222222"/>
          <w:sz w:val="22"/>
          <w:szCs w:val="22"/>
        </w:rPr>
        <w:t xml:space="preserve">The ENTROPY-ZERO Stability Index (EZSI) is the signature composite metric of the simulation. It provides a single dashboard-ready score (0-100) representing the overall health of the city cell. It is computed at every time step and logged for post-run analysis.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800"/>
        <w:gridCol w:w="2400"/>
        <w:gridCol w:w="1800"/>
      </w:tblGrid>
      <w:tr>
        <w:tc>
          <w:tcPr>
            <w:tcW w:type="dxa" w:w="33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Component</w:t>
            </w:r>
          </w:p>
        </w:tc>
        <w:tc>
          <w:tcPr>
            <w:tcW w:type="dxa" w:w="18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Weight</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Scoring Basis</w:t>
            </w:r>
          </w:p>
        </w:tc>
        <w:tc>
          <w:tcPr>
            <w:tcW w:type="dxa" w:w="18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Max Points</w:t>
            </w:r>
          </w:p>
        </w:tc>
      </w:tr>
      <w:tr>
        <w:tc>
          <w:tcPr>
            <w:tcW w:type="dxa" w:w="33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Atmospheric Stability (O₂/CO₂)</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Distance from O₂/CO₂ safe thresholds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25</w:t>
            </w:r>
          </w:p>
        </w:tc>
      </w:tr>
      <w:tr>
        <w:tc>
          <w:tcPr>
            <w:tcW w:type="dxa" w:w="33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Energy Resilience</w:t>
            </w:r>
          </w:p>
        </w:tc>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20%</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Reserve level + demand-met ratio</w:t>
            </w:r>
          </w:p>
        </w:tc>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20</w:t>
            </w:r>
          </w:p>
        </w:tc>
      </w:tr>
      <w:tr>
        <w:tc>
          <w:tcPr>
            <w:tcW w:type="dxa" w:w="33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Water 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Reserve level + recovery rate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15</w:t>
            </w:r>
          </w:p>
        </w:tc>
      </w:tr>
      <w:tr>
        <w:tc>
          <w:tcPr>
            <w:tcW w:type="dxa" w:w="33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Food Security</w:t>
            </w:r>
          </w:p>
        </w:tc>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15%</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Days remaining + production rate</w:t>
            </w:r>
          </w:p>
        </w:tc>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15</w:t>
            </w:r>
          </w:p>
        </w:tc>
      </w:tr>
      <w:tr>
        <w:tc>
          <w:tcPr>
            <w:tcW w:type="dxa" w:w="33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Waste Circularity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Nutrient return rate + drawdown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10</w:t>
            </w:r>
          </w:p>
        </w:tc>
      </w:tr>
      <w:tr>
        <w:tc>
          <w:tcPr>
            <w:tcW w:type="dxa" w:w="33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Mobility Efficiency</w:t>
            </w:r>
          </w:p>
        </w:tc>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5%</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Energy share + CO₂ per trip</w:t>
            </w:r>
          </w:p>
        </w:tc>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5</w:t>
            </w:r>
          </w:p>
        </w:tc>
      </w:tr>
      <w:tr>
        <w:tc>
          <w:tcPr>
            <w:tcW w:type="dxa" w:w="33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Governance Responsiveness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Mean response time to threshold breach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222222"/>
                <w:sz w:val="22"/>
                <w:szCs w:val="22"/>
              </w:rPr>
              <w:t xml:space="preserve">10</w:t>
            </w:r>
          </w:p>
        </w:tc>
      </w:tr>
      <w:tr>
        <w:tc>
          <w:tcPr>
            <w:tcW w:type="dxa" w:w="336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100%</w:t>
            </w:r>
          </w:p>
        </w:tc>
        <w:tc>
          <w:tcPr>
            <w:tcW w:type="dxa" w:w="240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22"/>
                <w:szCs w:val="22"/>
              </w:rPr>
              <w:t xml:space="preserve">100</w:t>
            </w:r>
          </w:p>
        </w:tc>
      </w:tr>
    </w:tbl>
    <w:p>
      <w:pPr>
        <w:spacing w:after="0" w:before="200"/>
      </w:pPr>
    </w:p>
    <w:p>
      <w:pPr>
        <w:pStyle w:val="Heading2"/>
        <w:pBdr>
          <w:left w:val="single" w:color="0E6B75" w:sz="16" w:space="6"/>
        </w:pBdr>
        <w:spacing w:after="140" w:before="280"/>
        <w:ind w:left="220"/>
      </w:pPr>
      <w:r>
        <w:rPr>
          <w:rFonts w:ascii="Arial" w:cs="Arial" w:eastAsia="Arial" w:hAnsi="Arial"/>
          <w:b/>
          <w:bCs/>
          <w:color w:val="0D2B4E"/>
          <w:sz w:val="28"/>
          <w:szCs w:val="28"/>
        </w:rPr>
        <w:t xml:space="preserve">6.1  EZSI Score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Score Range</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Status</w:t>
            </w:r>
          </w:p>
        </w:tc>
        <w:tc>
          <w:tcPr>
            <w:tcW w:type="dxa" w:w="51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Interpretation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1D7A4E"/>
                <w:sz w:val="20"/>
                <w:szCs w:val="20"/>
              </w:rPr>
              <w:t xml:space="preserve">90 - 100</w:t>
            </w:r>
          </w:p>
        </w:tc>
        <w:tc>
          <w:tcPr>
            <w:tcW w:type="dxa" w:w="2400"/>
            <w:tcBorders>
              <w:top w:val="none" w:color="FFFFFF" w:sz="0"/>
              <w:left w:val="none" w:color="FFFFFF" w:sz="0"/>
              <w:bottom w:val="none" w:color="FFFFFF" w:sz="0"/>
              <w:right w:val="none" w:color="FFFFFF" w:sz="0"/>
            </w:tcBorders>
            <w:shd w:fill="1D7A4E"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STABLE / REGENERATIVE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systems operating within optimal thresholds. Positive feedback loops active.</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D4880C"/>
                <w:sz w:val="20"/>
                <w:szCs w:val="20"/>
              </w:rPr>
              <w:t xml:space="preserve">70 - 89</w:t>
            </w:r>
          </w:p>
        </w:tc>
        <w:tc>
          <w:tcPr>
            <w:tcW w:type="dxa" w:w="2400"/>
            <w:tcBorders>
              <w:top w:val="none" w:color="FFFFFF" w:sz="0"/>
              <w:left w:val="none" w:color="FFFFFF" w:sz="0"/>
              <w:bottom w:val="none" w:color="FFFFFF" w:sz="0"/>
              <w:right w:val="none" w:color="FFFFFF" w:sz="0"/>
            </w:tcBorders>
            <w:shd w:fill="D4880C"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FUNCTIONAL / STRESSED</w:t>
            </w:r>
          </w:p>
        </w:tc>
        <w:tc>
          <w:tcPr>
            <w:tcW w:type="dxa" w:w="5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Acceptable operation. One or more systems under mild stress. Monitoring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50 - 69</w:t>
            </w:r>
          </w:p>
        </w:tc>
        <w:tc>
          <w:tcPr>
            <w:tcW w:type="dxa" w:w="2400"/>
            <w:tcBorders>
              <w:top w:val="none" w:color="FFFFFF" w:sz="0"/>
              <w:left w:val="none" w:color="FFFFFF" w:sz="0"/>
              <w:bottom w:val="none" w:color="FFFFFF" w:sz="0"/>
              <w:right w:val="none" w:color="FFFFFF" w:sz="0"/>
            </w:tcBorders>
            <w:shd w:fill="E67E22"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FRAGILE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Multiple systems stressed. Governance intervention active. Risk of cascade failure.</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C0392B"/>
                <w:sz w:val="20"/>
                <w:szCs w:val="20"/>
              </w:rPr>
              <w:t xml:space="preserve">&lt; 50</w:t>
            </w:r>
          </w:p>
        </w:tc>
        <w:tc>
          <w:tcPr>
            <w:tcW w:type="dxa" w:w="2400"/>
            <w:tcBorders>
              <w:top w:val="none" w:color="FFFFFF" w:sz="0"/>
              <w:left w:val="none" w:color="FFFFFF" w:sz="0"/>
              <w:bottom w:val="none" w:color="FFFFFF" w:sz="0"/>
              <w:right w:val="none" w:color="FFFFFF" w:sz="0"/>
            </w:tcBorders>
            <w:shd w:fill="C0392B"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CASCADE FAILURE RISK</w:t>
            </w:r>
          </w:p>
        </w:tc>
        <w:tc>
          <w:tcPr>
            <w:tcW w:type="dxa" w:w="5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Emergency mode. One or more systems below survivable threshold. Immediate intervention required.</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7.  Technology Stack</w:t>
      </w:r>
    </w:p>
    <w:p>
      <w:pPr>
        <w:spacing w:after="120" w:before="80"/>
        <w:jc w:val="left"/>
      </w:pPr>
      <w:r>
        <w:rPr>
          <w:rFonts w:ascii="Arial" w:cs="Arial" w:eastAsia="Arial" w:hAnsi="Arial"/>
          <w:b w:val="false"/>
          <w:bCs w:val="false"/>
          <w:i w:val="false"/>
          <w:iCs w:val="false"/>
          <w:color w:val="222222"/>
          <w:sz w:val="22"/>
          <w:szCs w:val="22"/>
        </w:rPr>
        <w:t xml:space="preserve">The simulation is designed for maximum reproducibility on minimal hardware. All tools are open-source or free-tier. Phase 1 requires only Python and a standard laptop.</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3000"/>
      </w:tblGrid>
      <w:tr>
        <w:tc>
          <w:tcPr>
            <w:tcW w:type="dxa" w:w="18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Phase</w:t>
            </w:r>
          </w:p>
        </w:tc>
        <w:tc>
          <w:tcPr>
            <w:tcW w:type="dxa" w:w="21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Tool</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Purpose</w:t>
            </w:r>
          </w:p>
        </w:tc>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Phase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Python (NumPy, Pandas)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Core time-step simulation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Runs on any standard laptop. Primary engine.</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Phase 1</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Excel / Google Sheets</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Rapid prototyping and parameter tuning</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Day 1 model. Validate equations before coding.</w:t>
            </w:r>
          </w:p>
        </w:tc>
      </w:tr>
      <w:tr>
        <w:tc>
          <w:tcPr>
            <w:tcW w:type="dxa" w:w="18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Phase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Streamlit / HTML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Live dashboard display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6-card dashboard. Free to deploy on Streamlit Cloud.</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Phase 2</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Mesa (Python ABM)</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Agent-based resident behaviour</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Models individual decisions, spatial grids, scheduler.</w:t>
            </w:r>
          </w:p>
        </w:tc>
      </w:tr>
      <w:tr>
        <w:tc>
          <w:tcPr>
            <w:tcW w:type="dxa" w:w="18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Phase 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SUMO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Mobility and transport simulation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Open-source. Simulates vehicles, pedestrians, emissions.</w:t>
            </w:r>
          </w:p>
        </w:tc>
      </w:tr>
      <w:tr>
        <w:tc>
          <w:tcPr>
            <w:tcW w:type="dxa" w:w="18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Phase 3</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EnergyPlus</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Whole-building energy modelling</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Free. HVAC, lighting, plug loads, water use per building.</w:t>
            </w:r>
          </w:p>
        </w:tc>
      </w:tr>
      <w:tr>
        <w:tc>
          <w:tcPr>
            <w:tcW w:type="dxa" w:w="18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18"/>
                <w:szCs w:val="18"/>
              </w:rPr>
              <w:t xml:space="preserve">Phase 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Blender / Canva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Visual city-cell render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Non-technical stakeholder communication layer.</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8.  Build Roadmap — 7-Day Proof of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960"/>
        <w:gridCol w:w="2340"/>
      </w:tblGrid>
      <w:tr>
        <w:tc>
          <w:tcPr>
            <w:tcW w:type="dxa" w:w="9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Day</w:t>
            </w:r>
          </w:p>
        </w:tc>
        <w:tc>
          <w:tcPr>
            <w:tcW w:type="dxa" w:w="21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Phase</w:t>
            </w:r>
          </w:p>
        </w:tc>
        <w:tc>
          <w:tcPr>
            <w:tcW w:type="dxa" w:w="39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Deliverable</w:t>
            </w:r>
          </w:p>
        </w:tc>
        <w:tc>
          <w:tcPr>
            <w:tcW w:type="dxa" w:w="23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Success Criterion</w:t>
            </w:r>
          </w:p>
        </w:tc>
      </w:tr>
      <w:tr>
        <w:tc>
          <w:tcPr>
            <w:tcW w:type="dxa" w:w="9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center"/>
            </w:pPr>
            <w:r>
              <w:rPr>
                <w:rFonts w:ascii="Arial" w:cs="Arial" w:eastAsia="Arial" w:hAnsi="Arial"/>
                <w:b/>
                <w:bCs/>
                <w:color w:val="0D2B4E"/>
                <w:sz w:val="20"/>
                <w:szCs w:val="20"/>
              </w:rPr>
              <w:t xml:space="preserve">1</w:t>
            </w:r>
          </w:p>
        </w:tc>
        <w:tc>
          <w:tcPr>
            <w:tcW w:type="dxa" w:w="21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Spreadsheet Prototype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Equations for population, O₂, CO₂, water, food, energy, waste in Google Sheets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7 variables update correctly over a 7-day simulated run</w:t>
            </w:r>
          </w:p>
        </w:tc>
      </w:tr>
      <w:tr>
        <w:tc>
          <w:tcPr>
            <w:tcW w:type="dxa" w:w="9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bCs/>
                <w:color w:val="0D2B4E"/>
                <w:sz w:val="20"/>
                <w:szCs w:val="20"/>
              </w:rPr>
              <w:t xml:space="preserve">2</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Python Core Model</w:t>
            </w:r>
          </w:p>
        </w:tc>
        <w:tc>
          <w:tcPr>
            <w:tcW w:type="dxa" w:w="39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Time-step simulation in Python; state vector updates every simulated hour</w:t>
            </w:r>
          </w:p>
        </w:tc>
        <w:tc>
          <w:tcPr>
            <w:tcW w:type="dxa" w:w="23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Model produces stable 30-day run without errors</w:t>
            </w:r>
          </w:p>
        </w:tc>
      </w:tr>
      <w:tr>
        <w:tc>
          <w:tcPr>
            <w:tcW w:type="dxa" w:w="9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center"/>
            </w:pPr>
            <w:r>
              <w:rPr>
                <w:rFonts w:ascii="Arial" w:cs="Arial" w:eastAsia="Arial" w:hAnsi="Arial"/>
                <w:b/>
                <w:bCs/>
                <w:color w:val="0D2B4E"/>
                <w:sz w:val="20"/>
                <w:szCs w:val="20"/>
              </w:rPr>
              <w:t xml:space="preserve">3</w:t>
            </w:r>
          </w:p>
        </w:tc>
        <w:tc>
          <w:tcPr>
            <w:tcW w:type="dxa" w:w="21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Stress Scenarios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Implement Scenarios A through E; log cascade sequences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5 scenarios produce observable cascade chains</w:t>
            </w:r>
          </w:p>
        </w:tc>
      </w:tr>
      <w:tr>
        <w:tc>
          <w:tcPr>
            <w:tcW w:type="dxa" w:w="9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bCs/>
                <w:color w:val="0D2B4E"/>
                <w:sz w:val="20"/>
                <w:szCs w:val="20"/>
              </w:rPr>
              <w:t xml:space="preserve">4</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Intervention Logic</w:t>
            </w:r>
          </w:p>
        </w:tc>
        <w:tc>
          <w:tcPr>
            <w:tcW w:type="dxa" w:w="39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Rule engine: if-threshold-then-action for all 7 loops; governance audit log</w:t>
            </w:r>
          </w:p>
        </w:tc>
        <w:tc>
          <w:tcPr>
            <w:tcW w:type="dxa" w:w="23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Interventions prevent EZSI from dropping below 50 in Scenarios A-D</w:t>
            </w:r>
          </w:p>
        </w:tc>
      </w:tr>
      <w:tr>
        <w:tc>
          <w:tcPr>
            <w:tcW w:type="dxa" w:w="9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center"/>
            </w:pPr>
            <w:r>
              <w:rPr>
                <w:rFonts w:ascii="Arial" w:cs="Arial" w:eastAsia="Arial" w:hAnsi="Arial"/>
                <w:b/>
                <w:bCs/>
                <w:color w:val="0D2B4E"/>
                <w:sz w:val="20"/>
                <w:szCs w:val="20"/>
              </w:rPr>
              <w:t xml:space="preserve">5</w:t>
            </w:r>
          </w:p>
        </w:tc>
        <w:tc>
          <w:tcPr>
            <w:tcW w:type="dxa" w:w="21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Dashboard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Streamlit or HTML dashboard with 6 status cards + intervention timeline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Dashboard renders live from simulation output</w:t>
            </w:r>
          </w:p>
        </w:tc>
      </w:tr>
      <w:tr>
        <w:tc>
          <w:tcPr>
            <w:tcW w:type="dxa" w:w="9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bCs/>
                <w:color w:val="0D2B4E"/>
                <w:sz w:val="20"/>
                <w:szCs w:val="20"/>
              </w:rPr>
              <w:t xml:space="preserve">6</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Visual Layer</w:t>
            </w:r>
          </w:p>
        </w:tc>
        <w:tc>
          <w:tcPr>
            <w:tcW w:type="dxa" w:w="39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City-cell diagram: 10 buildings, zones, flow arrows; Blender or Canva mockup</w:t>
            </w:r>
          </w:p>
        </w:tc>
        <w:tc>
          <w:tcPr>
            <w:tcW w:type="dxa" w:w="23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Stakeholder-presentable visual with labelled system zones</w:t>
            </w:r>
          </w:p>
        </w:tc>
      </w:tr>
      <w:tr>
        <w:tc>
          <w:tcPr>
            <w:tcW w:type="dxa" w:w="9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center"/>
            </w:pPr>
            <w:r>
              <w:rPr>
                <w:rFonts w:ascii="Arial" w:cs="Arial" w:eastAsia="Arial" w:hAnsi="Arial"/>
                <w:b/>
                <w:bCs/>
                <w:color w:val="0D2B4E"/>
                <w:sz w:val="20"/>
                <w:szCs w:val="20"/>
              </w:rPr>
              <w:t xml:space="preserve">7</w:t>
            </w:r>
          </w:p>
        </w:tc>
        <w:tc>
          <w:tcPr>
            <w:tcW w:type="dxa" w:w="21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Research Brief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Write-up: model description, assumptions, scenario results, EZSI analysis, future pilot pathway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Publication-ready 10-page brief with figures and data appendix</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9.  Dashboard Specification</w:t>
      </w:r>
    </w:p>
    <w:p>
      <w:pPr>
        <w:pStyle w:val="Heading2"/>
        <w:pBdr>
          <w:left w:val="single" w:color="0E6B75" w:sz="16" w:space="6"/>
        </w:pBdr>
        <w:spacing w:after="140" w:before="280"/>
        <w:ind w:left="220"/>
      </w:pPr>
      <w:r>
        <w:rPr>
          <w:rFonts w:ascii="Arial" w:cs="Arial" w:eastAsia="Arial" w:hAnsi="Arial"/>
          <w:b/>
          <w:bCs/>
          <w:color w:val="0D2B4E"/>
          <w:sz w:val="28"/>
          <w:szCs w:val="28"/>
        </w:rPr>
        <w:t xml:space="preserve">9.1  Six Primary Status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Card</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Primary Metric</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Secondary Metric</w:t>
            </w:r>
          </w:p>
        </w:tc>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Alert Condition</w:t>
            </w:r>
          </w:p>
        </w:tc>
      </w:tr>
      <w:tr>
        <w:tc>
          <w:tcPr>
            <w:tcW w:type="dxa" w:w="15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1 — Atmosphere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CO₂ ppm (live)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O₂ % vol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CO₂ &gt; 1 500 ppm | O₂ &lt; 19.5%</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2 — Energy</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Battery reserve %</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Solar input kW</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Reserve &lt; 20%</w:t>
            </w:r>
          </w:p>
        </w:tc>
      </w:tr>
      <w:tr>
        <w:tc>
          <w:tcPr>
            <w:tcW w:type="dxa" w:w="15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3 — Water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Storage 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Recovery rate L/day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Reserve &lt; 30%</w:t>
            </w:r>
          </w:p>
        </w:tc>
      </w:tr>
      <w:tr>
        <w:tc>
          <w:tcPr>
            <w:tcW w:type="dxa" w:w="15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4 — Food</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Days of supply remaining</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Hydroponic output kg/day</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14 days remaining</w:t>
            </w:r>
          </w:p>
        </w:tc>
      </w:tr>
      <w:tr>
        <w:tc>
          <w:tcPr>
            <w:tcW w:type="dxa" w:w="156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5 — Waste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Circularity index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O₂ drawdown index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Drawdown &gt; 5%</w:t>
            </w:r>
          </w:p>
        </w:tc>
      </w:tr>
      <w:tr>
        <w:tc>
          <w:tcPr>
            <w:tcW w:type="dxa" w:w="156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6 — EZSI</w:t>
            </w:r>
          </w:p>
        </w:tc>
        <w:tc>
          <w:tcPr>
            <w:tcW w:type="dxa" w:w="24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ENTROPY-ZERO Stability Index (0-100)</w:t>
            </w:r>
          </w:p>
        </w:tc>
        <w:tc>
          <w:tcPr>
            <w:tcW w:type="dxa" w:w="24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Trend arrow (rising / falling)</w:t>
            </w:r>
          </w:p>
        </w:tc>
        <w:tc>
          <w:tcPr>
            <w:tcW w:type="dxa" w:w="30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EZSI &lt; 70</w:t>
            </w:r>
          </w:p>
        </w:tc>
      </w:tr>
    </w:tbl>
    <w:p>
      <w:pPr>
        <w:spacing w:after="0" w:before="200"/>
      </w:pPr>
    </w:p>
    <w:p>
      <w:pPr>
        <w:pStyle w:val="Heading2"/>
        <w:pBdr>
          <w:left w:val="single" w:color="0E6B75" w:sz="16" w:space="6"/>
        </w:pBdr>
        <w:spacing w:after="140" w:before="280"/>
        <w:ind w:left="220"/>
      </w:pPr>
      <w:r>
        <w:rPr>
          <w:rFonts w:ascii="Arial" w:cs="Arial" w:eastAsia="Arial" w:hAnsi="Arial"/>
          <w:b/>
          <w:bCs/>
          <w:color w:val="0D2B4E"/>
          <w:sz w:val="28"/>
          <w:szCs w:val="28"/>
        </w:rPr>
        <w:t xml:space="preserve">9.2  Intervention Timeline Log Format</w:t>
      </w:r>
    </w:p>
    <w:p>
      <w:pPr>
        <w:shd w:fill="E0F4F6" w:val="clear"/>
        <w:spacing w:after="120" w:before="120"/>
        <w:ind w:left="360" w:right="360"/>
      </w:pPr>
      <w:r>
        <w:rPr>
          <w:rFonts w:ascii="Arial" w:cs="Arial" w:eastAsia="Arial" w:hAnsi="Arial"/>
          <w:i/>
          <w:iCs/>
          <w:color w:val="0D2B4E"/>
          <w:sz w:val="22"/>
          <w:szCs w:val="22"/>
        </w:rPr>
        <w:t xml:space="preserve">Sample log output — 24-hour simulated period under Scenario A (Low Sunlight):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040"/>
        <w:gridCol w:w="3000"/>
        <w:gridCol w:w="3000"/>
      </w:tblGrid>
      <w:tr>
        <w:tc>
          <w:tcPr>
            <w:tcW w:type="dxa" w:w="132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Time</w:t>
            </w:r>
          </w:p>
        </w:tc>
        <w:tc>
          <w:tcPr>
            <w:tcW w:type="dxa" w:w="204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System</w:t>
            </w:r>
          </w:p>
        </w:tc>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Event</w:t>
            </w:r>
          </w:p>
        </w:tc>
        <w:tc>
          <w:tcPr>
            <w:tcW w:type="dxa" w:w="3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Action Taken</w:t>
            </w:r>
          </w:p>
        </w:tc>
      </w:tr>
      <w:tr>
        <w:tc>
          <w:tcPr>
            <w:tcW w:type="dxa" w:w="13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0D2B4E"/>
                <w:sz w:val="18"/>
                <w:szCs w:val="18"/>
              </w:rPr>
              <w:t xml:space="preserve">08:00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Energy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Solar input fell 42% due to cloud cover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Monitoring mode activated</w:t>
            </w:r>
          </w:p>
        </w:tc>
      </w:tr>
      <w:tr>
        <w:tc>
          <w:tcPr>
            <w:tcW w:type="dxa" w:w="13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0D2B4E"/>
                <w:sz w:val="18"/>
                <w:szCs w:val="18"/>
              </w:rPr>
              <w:t xml:space="preserve">08:15</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Energy</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Battery reserve crossed 80% threshold</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Non-essential energy load reduced 15%</w:t>
            </w:r>
          </w:p>
        </w:tc>
      </w:tr>
      <w:tr>
        <w:tc>
          <w:tcPr>
            <w:tcW w:type="dxa" w:w="13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0D2B4E"/>
                <w:sz w:val="18"/>
                <w:szCs w:val="18"/>
              </w:rPr>
              <w:t xml:space="preserve">09:00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Food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Grow-light demand incompatible with energy budget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Grow-light reduction recommended; algae routing queued</w:t>
            </w:r>
          </w:p>
        </w:tc>
      </w:tr>
      <w:tr>
        <w:tc>
          <w:tcPr>
            <w:tcW w:type="dxa" w:w="132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0D2B4E"/>
                <w:sz w:val="18"/>
                <w:szCs w:val="18"/>
              </w:rPr>
              <w:t xml:space="preserve">09:30</w:t>
            </w:r>
          </w:p>
        </w:tc>
        <w:tc>
          <w:tcPr>
            <w:tcW w:type="dxa" w:w="204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Atmosphere</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CO₂ reached 950 ppm (above normal; below alert)</w:t>
            </w:r>
          </w:p>
        </w:tc>
        <w:tc>
          <w:tcPr>
            <w:tcW w:type="dxa" w:w="30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CO₂ routing shifted to algae module</w:t>
            </w:r>
          </w:p>
        </w:tc>
      </w:tr>
      <w:tr>
        <w:tc>
          <w:tcPr>
            <w:tcW w:type="dxa" w:w="132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left"/>
            </w:pPr>
            <w:r>
              <w:rPr>
                <w:rFonts w:ascii="Arial" w:cs="Arial" w:eastAsia="Arial" w:hAnsi="Arial"/>
                <w:b w:val="false"/>
                <w:bCs w:val="false"/>
                <w:color w:val="0D2B4E"/>
                <w:sz w:val="18"/>
                <w:szCs w:val="18"/>
              </w:rPr>
              <w:t xml:space="preserve">09:30</w:t>
            </w:r>
          </w:p>
        </w:tc>
        <w:tc>
          <w:tcPr>
            <w:tcW w:type="dxa" w:w="2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Governance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EZSI crossed 80% threshold (downward)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Audit log entry created; intervention package logged</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10.  Expansion Pathway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2400"/>
        <w:gridCol w:w="3600"/>
      </w:tblGrid>
      <w:tr>
        <w:tc>
          <w:tcPr>
            <w:tcW w:type="dxa" w:w="1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Phase</w:t>
            </w:r>
          </w:p>
        </w:tc>
        <w:tc>
          <w:tcPr>
            <w:tcW w:type="dxa" w:w="21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Scale</w:t>
            </w:r>
          </w:p>
        </w:tc>
        <w:tc>
          <w:tcPr>
            <w:tcW w:type="dxa" w:w="24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Population</w:t>
            </w:r>
          </w:p>
        </w:tc>
        <w:tc>
          <w:tcPr>
            <w:tcW w:type="dxa" w:w="36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New Capability Added</w:t>
            </w:r>
          </w:p>
        </w:tc>
      </w:tr>
      <w:tr>
        <w:tc>
          <w:tcPr>
            <w:tcW w:type="dxa" w:w="12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center"/>
            </w:pPr>
            <w:r>
              <w:rPr>
                <w:rFonts w:ascii="Arial" w:cs="Arial" w:eastAsia="Arial" w:hAnsi="Arial"/>
                <w:b/>
                <w:bCs/>
                <w:color w:val="0D2B4E"/>
                <w:sz w:val="18"/>
                <w:szCs w:val="18"/>
              </w:rPr>
              <w:t xml:space="preserve">v0.1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City Cell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20"/>
                <w:szCs w:val="20"/>
              </w:rPr>
              <w:t xml:space="preserve">100 persons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This blueprint. Core 7 loops, 5 scenarios, EZSI metric, 7-day build.</w:t>
            </w:r>
          </w:p>
        </w:tc>
      </w:tr>
      <w:tr>
        <w:tc>
          <w:tcPr>
            <w:tcW w:type="dxa" w:w="12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bCs/>
                <w:color w:val="0D2B4E"/>
                <w:sz w:val="18"/>
                <w:szCs w:val="18"/>
              </w:rPr>
              <w:t xml:space="preserve">v0.2</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Neighbourhood</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500 - 1 000</w:t>
            </w:r>
          </w:p>
        </w:tc>
        <w:tc>
          <w:tcPr>
            <w:tcW w:type="dxa" w:w="36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Mesa agent behaviour; multiple zones; inter-zone resource trading.</w:t>
            </w:r>
          </w:p>
        </w:tc>
      </w:tr>
      <w:tr>
        <w:tc>
          <w:tcPr>
            <w:tcW w:type="dxa" w:w="1200"/>
            <w:tcBorders>
              <w:top w:val="single" w:color="CCCCCC" w:sz="1"/>
              <w:left w:val="single" w:color="CCCCCC" w:sz="1"/>
              <w:bottom w:val="single" w:color="CCCCCC" w:sz="1"/>
              <w:right w:val="single" w:color="CCCCCC" w:sz="1"/>
            </w:tcBorders>
            <w:shd w:fill="E0F4F6" w:val="clear"/>
            <w:tcMar>
              <w:top w:type="dxa" w:w="80"/>
              <w:left w:type="dxa" w:w="140"/>
              <w:bottom w:type="dxa" w:w="80"/>
              <w:right w:type="dxa" w:w="140"/>
            </w:tcMar>
            <w:vAlign w:val="center"/>
          </w:tcPr>
          <w:p>
            <w:pPr>
              <w:jc w:val="center"/>
            </w:pPr>
            <w:r>
              <w:rPr>
                <w:rFonts w:ascii="Arial" w:cs="Arial" w:eastAsia="Arial" w:hAnsi="Arial"/>
                <w:b/>
                <w:bCs/>
                <w:color w:val="0D2B4E"/>
                <w:sz w:val="18"/>
                <w:szCs w:val="18"/>
              </w:rPr>
              <w:t xml:space="preserve">v0.3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Campus / District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5 000 - 10 000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SUMO mobility; EnergyPlus building models; multi-node governance.</w:t>
            </w:r>
          </w:p>
        </w:tc>
      </w:tr>
      <w:tr>
        <w:tc>
          <w:tcPr>
            <w:tcW w:type="dxa" w:w="12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center"/>
            </w:pPr>
            <w:r>
              <w:rPr>
                <w:rFonts w:ascii="Arial" w:cs="Arial" w:eastAsia="Arial" w:hAnsi="Arial"/>
                <w:b/>
                <w:bCs/>
                <w:color w:val="0D2B4E"/>
                <w:sz w:val="18"/>
                <w:szCs w:val="18"/>
              </w:rPr>
              <w:t xml:space="preserve">v1.0</w:t>
            </w:r>
          </w:p>
        </w:tc>
        <w:tc>
          <w:tcPr>
            <w:tcW w:type="dxa" w:w="216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bCs/>
                <w:color w:val="0D2B4E"/>
                <w:sz w:val="20"/>
                <w:szCs w:val="20"/>
              </w:rPr>
              <w:t xml:space="preserve">City</w:t>
            </w:r>
          </w:p>
        </w:tc>
        <w:tc>
          <w:tcPr>
            <w:tcW w:type="dxa" w:w="24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50 000 - 100 000</w:t>
            </w:r>
          </w:p>
        </w:tc>
        <w:tc>
          <w:tcPr>
            <w:tcW w:type="dxa" w:w="3600"/>
            <w:tcBorders>
              <w:top w:val="single" w:color="CCCCCC" w:sz="1"/>
              <w:left w:val="single" w:color="CCCCCC" w:sz="1"/>
              <w:bottom w:val="single" w:color="CCCCCC" w:sz="1"/>
              <w:right w:val="single" w:color="CCCCCC" w:sz="1"/>
            </w:tcBorders>
            <w:shd w:fill="F0F4F7"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digital twin; real sensor integration; Biosphere 2 pilot comparison.</w:t>
            </w:r>
          </w:p>
        </w:tc>
      </w:tr>
      <w:tr>
        <w:tc>
          <w:tcPr>
            <w:tcW w:type="dxa" w:w="120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v2.0</w:t>
            </w:r>
          </w:p>
        </w:tc>
        <w:tc>
          <w:tcPr>
            <w:tcW w:type="dxa" w:w="216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Biospheric Civilisation</w:t>
            </w:r>
          </w:p>
        </w:tc>
        <w:tc>
          <w:tcPr>
            <w:tcW w:type="dxa" w:w="240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Scalable</w:t>
            </w:r>
          </w:p>
        </w:tc>
        <w:tc>
          <w:tcPr>
            <w:tcW w:type="dxa" w:w="3600"/>
            <w:tcBorders>
              <w:top w:val="single" w:color="CCCCCC" w:sz="1"/>
              <w:left w:val="single" w:color="CCCCCC" w:sz="1"/>
              <w:bottom w:val="single" w:color="CCCCCC" w:sz="1"/>
              <w:right w:val="single" w:color="CCCCCC" w:sz="1"/>
            </w:tcBorders>
            <w:shd w:fill="0D2B4E"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Full Society 7.0 deployment. Multi-city ENTROPY-ZERO network.</w:t>
            </w:r>
          </w:p>
        </w:tc>
      </w:tr>
    </w:tbl>
    <w:p>
      <w:pPr>
        <w:spacing w:after="0" w:before="320"/>
      </w:pPr>
    </w:p>
    <w:p>
      <w:pPr>
        <w:pStyle w:val="Heading1"/>
        <w:shd w:fill="0D2B4E" w:val="clear"/>
        <w:spacing w:after="160" w:before="200"/>
        <w:ind w:left="200" w:right="200"/>
      </w:pPr>
      <w:r>
        <w:rPr>
          <w:rFonts w:ascii="Arial" w:cs="Arial" w:eastAsia="Arial" w:hAnsi="Arial"/>
          <w:b/>
          <w:bCs/>
          <w:color w:val="FFFFFF"/>
          <w:sz w:val="36"/>
          <w:szCs w:val="36"/>
        </w:rPr>
        <w:t xml:space="preserve">11.  Formal Model Description</w:t>
      </w:r>
    </w:p>
    <w:p>
      <w:pPr>
        <w:spacing w:after="200" w:before="80"/>
        <w:jc w:val="left"/>
      </w:pPr>
      <w:r>
        <w:rPr>
          <w:rFonts w:ascii="Arial" w:cs="Arial" w:eastAsia="Arial" w:hAnsi="Arial"/>
          <w:b w:val="false"/>
          <w:bCs w:val="false"/>
          <w:i w:val="false"/>
          <w:iCs w:val="false"/>
          <w:color w:val="222222"/>
          <w:sz w:val="22"/>
          <w:szCs w:val="22"/>
        </w:rPr>
        <w:t xml:space="preserve">For formal research citation, academic proposal, or stakeholder communication, the following description may be used as a standard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6B75" w:sz="16" w:space="0"/>
              <w:bottom w:val="none" w:color="FFFFFF" w:sz="0"/>
              <w:right w:val="none" w:color="FFFFFF" w:sz="0"/>
            </w:tcBorders>
            <w:shd w:fill="E0F4F6" w:val="clear"/>
            <w:tcMar>
              <w:top w:type="dxa" w:w="240"/>
              <w:left w:type="dxa" w:w="400"/>
              <w:bottom w:type="dxa" w:w="240"/>
              <w:right w:type="dxa" w:w="400"/>
            </w:tcMar>
          </w:tcPr>
          <w:p>
            <w:pPr>
              <w:spacing w:after="120" w:before="0"/>
            </w:pPr>
            <w:r>
              <w:rPr>
                <w:rFonts w:ascii="Arial" w:cs="Arial" w:eastAsia="Arial" w:hAnsi="Arial"/>
                <w:i/>
                <w:iCs/>
                <w:color w:val="0D2B4E"/>
                <w:sz w:val="22"/>
                <w:szCs w:val="22"/>
              </w:rPr>
              <w:t xml:space="preserve">The first minimal-resource simulation models ENTROPY-ZERO / Society 7.0 as a city-cell metabolism rather than a full city-scale digital twin. The model tracks population demand, oxygen and CO₂ balance, energy generation, water recovery, food lag, waste circularity, mobility load, and governance response over time. By stress-testing low sunlight, atmospheric latency, crop failure, waste overload, and energy shortage scenarios, the simulation evaluates whether the framework can prevent cascading failure through early detection and coordinated intervention.</w:t>
            </w:r>
          </w:p>
          <w:p>
            <w:pPr>
              <w:spacing w:after="0" w:before="0"/>
            </w:pPr>
            <w:r>
              <w:rPr>
                <w:rFonts w:ascii="Arial" w:cs="Arial" w:eastAsia="Arial" w:hAnsi="Arial"/>
                <w:i/>
                <w:iCs/>
                <w:color w:val="0D2B4E"/>
                <w:sz w:val="22"/>
                <w:szCs w:val="22"/>
              </w:rPr>
              <w:t xml:space="preserve">The ENTROPY-ZERO Stability Index (EZSI) serves as the primary composite metric, aggregating seven weighted subsystem scores into a single 0-100 value that quantifies the distance of the city cell from cascading failure. Scenario v0.1 models a 100-person biospheric cell across 10 buildings with a full metabolic loop architecture, calibrated to Biosphere 2 baseline parameters.</w:t>
            </w:r>
          </w:p>
        </w:tc>
      </w:tr>
    </w:tbl>
    <w:p>
      <w:pPr>
        <w:spacing w:after="0" w:before="320"/>
      </w:pPr>
    </w:p>
    <w:p>
      <w:pPr>
        <w:pStyle w:val="Heading1"/>
        <w:shd w:fill="0E6B75" w:val="clear"/>
        <w:spacing w:after="160" w:before="200"/>
        <w:ind w:left="200" w:right="200"/>
      </w:pPr>
      <w:r>
        <w:rPr>
          <w:rFonts w:ascii="Arial" w:cs="Arial" w:eastAsia="Arial" w:hAnsi="Arial"/>
          <w:b/>
          <w:bCs/>
          <w:color w:val="FFFFFF"/>
          <w:sz w:val="36"/>
          <w:szCs w:val="36"/>
        </w:rPr>
        <w:t xml:space="preserve">12.  Summary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4E" w:val="clear"/>
            <w:tcMar>
              <w:top w:type="dxa" w:w="360"/>
              <w:left w:type="dxa" w:w="600"/>
              <w:bottom w:type="dxa" w:w="360"/>
              <w:right w:type="dxa" w:w="600"/>
            </w:tcMar>
          </w:tcPr>
          <w:p>
            <w:pPr>
              <w:jc w:val="center"/>
            </w:pPr>
            <w:r>
              <w:rPr>
                <w:rFonts w:ascii="Arial" w:cs="Arial" w:eastAsia="Arial" w:hAnsi="Arial"/>
                <w:i/>
                <w:iCs/>
                <w:color w:val="B2E0E5"/>
                <w:sz w:val="26"/>
                <w:szCs w:val="26"/>
              </w:rPr>
              <w:t xml:space="preserve">To simulate the smart city with minimal resources, start with a 100-person Society 7.0 city cell and prove that the system can keep air, energy, water, food, waste, mobility, and governance in balance under stress.</w:t>
            </w:r>
          </w:p>
          <w:p>
            <w:pPr>
              <w:spacing w:after="0" w:before="180"/>
              <w:jc w:val="center"/>
            </w:pPr>
            <w:r>
              <w:rPr>
                <w:rFonts w:ascii="Arial" w:cs="Arial" w:eastAsia="Arial" w:hAnsi="Arial"/>
                <w:b/>
                <w:bCs/>
                <w:color w:val="FFFFFF"/>
                <w:sz w:val="24"/>
                <w:szCs w:val="24"/>
              </w:rPr>
              <w:t xml:space="preserve">That is the MVP. That is the proof. That is the foundation of Society 7.0.</w:t>
            </w:r>
          </w:p>
        </w:tc>
      </w:tr>
    </w:tbl>
    <w:p>
      <w:pPr>
        <w:spacing w:after="0" w:before="280"/>
      </w:pPr>
    </w:p>
    <w:p>
      <w:pPr>
        <w:spacing w:after="120" w:before="80"/>
        <w:jc w:val="center"/>
      </w:pPr>
      <w:r>
        <w:rPr>
          <w:rFonts w:ascii="Arial" w:cs="Arial" w:eastAsia="Arial" w:hAnsi="Arial"/>
          <w:b w:val="false"/>
          <w:bCs w:val="false"/>
          <w:i/>
          <w:iCs/>
          <w:color w:val="555555"/>
          <w:sz w:val="22"/>
          <w:szCs w:val="22"/>
        </w:rPr>
        <w:t xml:space="preserve">— End of Blueprint Document —</w:t>
      </w:r>
    </w:p>
    <w:sectPr>
      <w:headerReference w:type="default" r:id="rId7"/>
      <w:footerReference w:type="default" r:id="rId8"/>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6B75" w:sz="4" w:space="2"/>
      </w:pBdr>
      <w:tabs>
        <w:tab w:val="right" w:pos="9360"/>
      </w:tabs>
      <w:spacing w:after="0" w:before="120"/>
    </w:pPr>
    <w:r>
      <w:rPr>
        <w:rFonts w:ascii="Arial" w:cs="Arial" w:eastAsia="Arial" w:hAnsi="Arial"/>
        <w:color w:val="555555"/>
        <w:sz w:val="16"/>
        <w:szCs w:val="16"/>
      </w:rPr>
      <w:t xml:space="preserve">Confidential — Draft v1.0</w:t>
    </w:r>
    <w:r>
      <w:rPr>
        <w:rFonts w:ascii="Arial" w:cs="Arial" w:eastAsia="Arial" w:hAnsi="Arial"/>
        <w:sz w:val="16"/>
        <w:szCs w:val="16"/>
      </w:rPr>
      <w:t xml:space="preserve">	</w:t>
    </w:r>
    <w:r>
      <w:rPr>
        <w:rFonts w:ascii="Arial" w:cs="Arial" w:eastAsia="Arial" w:hAnsi="Arial"/>
        <w:color w:val="555555"/>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6B75" w:sz="4" w:space="2"/>
      </w:pBdr>
      <w:tabs>
        <w:tab w:val="right" w:pos="9360"/>
      </w:tabs>
      <w:spacing w:after="120" w:before="0"/>
    </w:pPr>
    <w:r>
      <w:rPr>
        <w:rFonts w:ascii="Arial" w:cs="Arial" w:eastAsia="Arial" w:hAnsi="Arial"/>
        <w:b/>
        <w:bCs/>
        <w:color w:val="0D2B4E"/>
        <w:sz w:val="18"/>
        <w:szCs w:val="18"/>
      </w:rPr>
      <w:t xml:space="preserve">ENTROPY-ZERO / Society 7.0</w:t>
    </w:r>
    <w:r>
      <w:rPr>
        <w:rFonts w:ascii="Arial" w:cs="Arial" w:eastAsia="Arial" w:hAnsi="Arial"/>
        <w:sz w:val="18"/>
        <w:szCs w:val="18"/>
      </w:rPr>
      <w:t xml:space="preserve">	</w:t>
    </w:r>
    <w:r>
      <w:rPr>
        <w:rFonts w:ascii="Arial" w:cs="Arial" w:eastAsia="Arial" w:hAnsi="Arial"/>
        <w:color w:val="555555"/>
        <w:sz w:val="18"/>
        <w:szCs w:val="18"/>
      </w:rPr>
      <w:t xml:space="preserve">Research &amp; Simulation Model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0D2B4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2026-05-22T08:37:00.312Z</dcterms:created>
  <dcterms:modified xsi:type="dcterms:W3CDTF">2026-05-22T08:37:00.313Z</dcterms:modified>
</cp:coreProperties>
</file>

<file path=docProps/custom.xml><?xml version="1.0" encoding="utf-8"?>
<Properties xmlns="http://schemas.openxmlformats.org/officeDocument/2006/custom-properties" xmlns:vt="http://schemas.openxmlformats.org/officeDocument/2006/docPropsVTypes"/>
</file>