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RiverCompute Intelligence: Business Canvas</w:t>
      </w:r>
    </w:p>
    <w:p>
      <w:pPr>
        <w:pStyle w:val="Heading2"/>
        <w:pStyle w:val="MdHeading2"/>
      </w:pPr>
      <w:r>
        <w:t xml:space="preserve">Problem</w:t>
      </w:r>
    </w:p>
    <w:p>
      <w:pPr>
        <w:pStyle w:val="MdParagraph"/>
      </w:pPr>
      <w:r>
        <w:t xml:space="preserve">The rapid expansion of hyperscale AI infrastructure is encountering critical environmental and regulatory bottlenecks. The fundamental constraint is not volumetric water availability, but rather heat rejection capacity, seasonal thermal conditions, and infrastructure throughput. When multiple data centers cluster along river segments, their cumulative thermal discharge and consumptive water use create compounding ecological and regulatory risks, particularly during peak summer conditions. The lack of integrated planning intelligence for watershed-based compute governance leads to sub-optimal siting, regulatory delays, and heightened environmental impact.</w:t>
      </w:r>
    </w:p>
    <w:p>
      <w:pPr>
        <w:pStyle w:val="MdSpace"/>
        <w:spacing w:before="0" w:after="60"/>
      </w:pPr>
    </w:p>
    <w:p>
      <w:pPr>
        <w:pStyle w:val="Heading2"/>
        <w:pStyle w:val="MdHeading2"/>
      </w:pPr>
      <w:r>
        <w:t xml:space="preserve">Target Users</w:t>
      </w:r>
    </w:p>
    <w:p>
      <w:pPr>
        <w:pStyle w:val="MdParagraph"/>
      </w:pPr>
      <w:r>
        <w:t xml:space="preserve">RiverCompute Intelligence is designed for a diverse ecosystem of stakeholders involved in AI infrastructure and environmental governance. Primary users include data center developers and operators seeking optimal sites, as well as utilities and municipal water authorities planning for future resource demands. State governments, environmental regulators, and river basin authorities utilize the platform to establish safe buildout limits and monitor ecological impacts. Additionally, AI infrastructure investors and sustainability teams leverage the intelligence for risk assessment and policy research.</w:t>
      </w:r>
    </w:p>
    <w:p>
      <w:pPr>
        <w:pStyle w:val="MdSpace"/>
        <w:spacing w:before="0" w:after="60"/>
      </w:pPr>
    </w:p>
    <w:p>
      <w:pPr>
        <w:pStyle w:val="Heading2"/>
        <w:pStyle w:val="MdHeading2"/>
      </w:pPr>
      <w:r>
        <w:t xml:space="preserve">Value Proposition</w:t>
      </w:r>
    </w:p>
    <w:p>
      <w:pPr>
        <w:pStyle w:val="MdParagraph"/>
      </w:pPr>
      <w:r>
        <w:t xml:space="preserve">RiverCompute Intelligence provides a venture-grade planning intelligence platform for hyperscale AI infrastructure. By shifting the paradigm from water volume constraints to heat management and cumulative risk, the platform enables safe, sustainable, and regulatory-compliant data center siting. It offers real-time thermal load risk scoring, seasonal stress simulation, and watershed compute zoning, empowering stakeholders to optimize infrastructure deployment while safeguarding critical river ecosystems.</w:t>
      </w:r>
    </w:p>
    <w:p>
      <w:pPr>
        <w:pStyle w:val="MdSpace"/>
        <w:spacing w:before="0" w:after="60"/>
      </w:pPr>
    </w:p>
    <w:p>
      <w:pPr>
        <w:pStyle w:val="Heading2"/>
        <w:pStyle w:val="MdHeading2"/>
      </w:pPr>
      <w:r>
        <w:t xml:space="preserve">Customer Segments</w:t>
      </w:r>
    </w:p>
    <w:p>
      <w:pPr>
        <w:pStyle w:val="MdParagraph"/>
      </w:pPr>
      <w:r>
        <w:t xml:space="preserve">The platform serves distinct customer segments with tailored value. Infrastructure developers seek optimal sites with minimal regulatory friction and reliable cooling capacity. Regulators and policymakers require robust data to establish safe buildout limits and monitor cumulative environmental impacts. Investors need accurate risk assessments regarding water dependency and thermal discharge constraints for hyperscale projects, while utilities must plan for the future water and energy demands of large-scale compute facilities.</w:t>
      </w:r>
    </w:p>
    <w:p>
      <w:pPr>
        <w:pStyle w:val="MdSpace"/>
        <w:spacing w:before="0" w:after="60"/>
      </w:pPr>
    </w:p>
    <w:p>
      <w:pPr>
        <w:pStyle w:val="Heading2"/>
        <w:pStyle w:val="MdHeading2"/>
      </w:pPr>
      <w:r>
        <w:t xml:space="preserve">Key Features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Feature</w:t>
            </w:r>
          </w:p>
        </w:tc>
        <w:tc>
          <w:tcPr>
            <w:tcMar>
              <w:top w:type="dxa" w:w="100"/>
              <w:left w:type="dxa" w:w="120"/>
              <w:bottom w:type="dxa" w:w="100"/>
              <w:right w:type="dxa" w:w="120"/>
            </w:tcMar>
            <w:vAlign w:val="center"/>
          </w:tcPr>
          <w:p>
            <w:pPr>
              <w:pStyle w:val="MdTableHeader"/>
            </w:pPr>
            <w:r>
              <w:t xml:space="preserve">Description</w:t>
            </w:r>
          </w:p>
        </w:tc>
        <w:tc>
          <w:tcPr>
            <w:tcMar>
              <w:top w:type="dxa" w:w="100"/>
              <w:left w:type="dxa" w:w="120"/>
              <w:bottom w:type="dxa" w:w="100"/>
              <w:right w:type="dxa" w:w="120"/>
            </w:tcMar>
            <w:vAlign w:val="center"/>
          </w:tcPr>
          <w:p>
            <w:pPr>
              <w:pStyle w:val="MdTableHeader"/>
            </w:pPr>
            <w:r>
              <w:t xml:space="preserve">Inputs</w:t>
            </w:r>
          </w:p>
        </w:tc>
        <w:tc>
          <w:tcPr>
            <w:tcBorders>
              <w:right w:val="none"/>
            </w:tcBorders>
            <w:tcMar>
              <w:top w:type="dxa" w:w="100"/>
              <w:left w:type="dxa" w:w="120"/>
              <w:bottom w:type="dxa" w:w="100"/>
              <w:right w:type="dxa" w:w="120"/>
            </w:tcMar>
            <w:vAlign w:val="center"/>
          </w:tcPr>
          <w:p>
            <w:pPr>
              <w:pStyle w:val="MdTableHeader"/>
            </w:pPr>
            <w:r>
              <w:t xml:space="preserve">Outputs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Watershed Compute Zoning Dashboard</w:t>
            </w:r>
          </w:p>
        </w:tc>
        <w:tc>
          <w:tcPr>
            <w:tcMar>
              <w:top w:type="dxa" w:w="80"/>
              <w:left w:type="dxa" w:w="120"/>
              <w:bottom w:type="dxa" w:w="80"/>
              <w:right w:type="dxa" w:w="120"/>
            </w:tcMar>
            <w:vAlign w:val="center"/>
          </w:tcPr>
          <w:p>
            <w:pPr>
              <w:pStyle w:val="MdTableCell"/>
            </w:pPr>
            <w:r>
              <w:t xml:space="preserve">Classifies river segments by compute suitability.</w:t>
            </w:r>
          </w:p>
        </w:tc>
        <w:tc>
          <w:tcPr>
            <w:tcMar>
              <w:top w:type="dxa" w:w="80"/>
              <w:left w:type="dxa" w:w="120"/>
              <w:bottom w:type="dxa" w:w="80"/>
              <w:right w:type="dxa" w:w="120"/>
            </w:tcMar>
            <w:vAlign w:val="center"/>
          </w:tcPr>
          <w:p>
            <w:pPr>
              <w:pStyle w:val="MdTableCell"/>
            </w:pPr>
            <w:r>
              <w:t xml:space="preserve">Industrial density, flow, thermal sensitivity, facility count</w:t>
            </w:r>
          </w:p>
        </w:tc>
        <w:tc>
          <w:tcPr>
            <w:tcBorders>
              <w:right w:val="none"/>
            </w:tcBorders>
            <w:tcMar>
              <w:top w:type="dxa" w:w="80"/>
              <w:left w:type="dxa" w:w="120"/>
              <w:bottom w:type="dxa" w:w="80"/>
              <w:right w:type="dxa" w:w="120"/>
            </w:tcMar>
            <w:vAlign w:val="center"/>
          </w:tcPr>
          <w:p>
            <w:pPr>
              <w:pStyle w:val="MdTableCell"/>
            </w:pPr>
            <w:r>
              <w:t xml:space="preserve">Zone A-D classification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Thermal Load Risk Scoring</w:t>
            </w:r>
          </w:p>
        </w:tc>
        <w:tc>
          <w:tcPr>
            <w:tcMar>
              <w:top w:type="dxa" w:w="80"/>
              <w:left w:type="dxa" w:w="120"/>
              <w:bottom w:type="dxa" w:w="80"/>
              <w:right w:type="dxa" w:w="120"/>
            </w:tcMar>
            <w:vAlign w:val="center"/>
          </w:tcPr>
          <w:p>
            <w:pPr>
              <w:pStyle w:val="MdTableCell"/>
            </w:pPr>
            <w:r>
              <w:t xml:space="preserve">Estimates thermal risk from cooling load and seasonal stress.</w:t>
            </w:r>
          </w:p>
        </w:tc>
        <w:tc>
          <w:tcPr>
            <w:tcMar>
              <w:top w:type="dxa" w:w="80"/>
              <w:left w:type="dxa" w:w="120"/>
              <w:bottom w:type="dxa" w:w="80"/>
              <w:right w:type="dxa" w:w="120"/>
            </w:tcMar>
            <w:vAlign w:val="center"/>
          </w:tcPr>
          <w:p>
            <w:pPr>
              <w:pStyle w:val="MdTableCell"/>
            </w:pPr>
            <w:r>
              <w:t xml:space="preserve">Facility MW, cooling type, river temperature, season</w:t>
            </w:r>
          </w:p>
        </w:tc>
        <w:tc>
          <w:tcPr>
            <w:tcBorders>
              <w:right w:val="none"/>
            </w:tcBorders>
            <w:tcMar>
              <w:top w:type="dxa" w:w="80"/>
              <w:left w:type="dxa" w:w="120"/>
              <w:bottom w:type="dxa" w:w="80"/>
              <w:right w:type="dxa" w:w="120"/>
            </w:tcMar>
            <w:vAlign w:val="center"/>
          </w:tcPr>
          <w:p>
            <w:pPr>
              <w:pStyle w:val="MdTableCell"/>
            </w:pPr>
            <w:r>
              <w:t xml:space="preserve">Thermal risk score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Cooling Architecture Comparator</w:t>
            </w:r>
          </w:p>
        </w:tc>
        <w:tc>
          <w:tcPr>
            <w:tcMar>
              <w:top w:type="dxa" w:w="80"/>
              <w:left w:type="dxa" w:w="120"/>
              <w:bottom w:type="dxa" w:w="80"/>
              <w:right w:type="dxa" w:w="120"/>
            </w:tcMar>
            <w:vAlign w:val="center"/>
          </w:tcPr>
          <w:p>
            <w:pPr>
              <w:pStyle w:val="MdTableCell"/>
            </w:pPr>
            <w:r>
              <w:t xml:space="preserve">Compares once-through, evaporative, hybrid, and dry cooling.</w:t>
            </w:r>
          </w:p>
        </w:tc>
        <w:tc>
          <w:tcPr>
            <w:tcMar>
              <w:top w:type="dxa" w:w="80"/>
              <w:left w:type="dxa" w:w="120"/>
              <w:bottom w:type="dxa" w:w="80"/>
              <w:right w:type="dxa" w:w="120"/>
            </w:tcMar>
            <w:vAlign w:val="center"/>
          </w:tcPr>
          <w:p>
            <w:pPr>
              <w:pStyle w:val="MdTableCell"/>
            </w:pPr>
            <w:r>
              <w:t xml:space="preserve">Cooling type, water risk, thermal risk, energy cost</w:t>
            </w:r>
          </w:p>
        </w:tc>
        <w:tc>
          <w:tcPr>
            <w:tcBorders>
              <w:right w:val="none"/>
            </w:tcBorders>
            <w:tcMar>
              <w:top w:type="dxa" w:w="80"/>
              <w:left w:type="dxa" w:w="120"/>
              <w:bottom w:type="dxa" w:w="80"/>
              <w:right w:type="dxa" w:w="120"/>
            </w:tcMar>
            <w:vAlign w:val="center"/>
          </w:tcPr>
          <w:p>
            <w:pPr>
              <w:pStyle w:val="MdTableCell"/>
            </w:pPr>
            <w:r>
              <w:t xml:space="preserve">Recommended cooling strategy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Seasonal Stress Simulator</w:t>
            </w:r>
          </w:p>
        </w:tc>
        <w:tc>
          <w:tcPr>
            <w:tcMar>
              <w:top w:type="dxa" w:w="80"/>
              <w:left w:type="dxa" w:w="120"/>
              <w:bottom w:type="dxa" w:w="80"/>
              <w:right w:type="dxa" w:w="120"/>
            </w:tcMar>
            <w:vAlign w:val="center"/>
          </w:tcPr>
          <w:p>
            <w:pPr>
              <w:pStyle w:val="MdTableCell"/>
            </w:pPr>
            <w:r>
              <w:t xml:space="preserve">Models summer vs. winter stress conditions.</w:t>
            </w:r>
          </w:p>
        </w:tc>
        <w:tc>
          <w:tcPr>
            <w:tcMar>
              <w:top w:type="dxa" w:w="80"/>
              <w:left w:type="dxa" w:w="120"/>
              <w:bottom w:type="dxa" w:w="80"/>
              <w:right w:type="dxa" w:w="120"/>
            </w:tcMar>
            <w:vAlign w:val="center"/>
          </w:tcPr>
          <w:p>
            <w:pPr>
              <w:pStyle w:val="MdTableCell"/>
            </w:pPr>
            <w:r>
              <w:t xml:space="preserve">Season, flow status, temperature baseline</w:t>
            </w:r>
          </w:p>
        </w:tc>
        <w:tc>
          <w:tcPr>
            <w:tcBorders>
              <w:right w:val="none"/>
            </w:tcBorders>
            <w:tcMar>
              <w:top w:type="dxa" w:w="80"/>
              <w:left w:type="dxa" w:w="120"/>
              <w:bottom w:type="dxa" w:w="80"/>
              <w:right w:type="dxa" w:w="120"/>
            </w:tcMar>
            <w:vAlign w:val="center"/>
          </w:tcPr>
          <w:p>
            <w:pPr>
              <w:pStyle w:val="MdTableCell"/>
            </w:pPr>
            <w:r>
              <w:t xml:space="preserve">Seasonal stress multiplier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Water-to-Query Calculator</w:t>
            </w:r>
          </w:p>
        </w:tc>
        <w:tc>
          <w:tcPr>
            <w:tcMar>
              <w:top w:type="dxa" w:w="80"/>
              <w:left w:type="dxa" w:w="120"/>
              <w:bottom w:type="dxa" w:w="80"/>
              <w:right w:type="dxa" w:w="120"/>
            </w:tcMar>
            <w:vAlign w:val="center"/>
          </w:tcPr>
          <w:p>
            <w:pPr>
              <w:pStyle w:val="MdTableCell"/>
            </w:pPr>
            <w:r>
              <w:t xml:space="preserve">Translates query scale into water footprint.</w:t>
            </w:r>
          </w:p>
        </w:tc>
        <w:tc>
          <w:tcPr>
            <w:tcMar>
              <w:top w:type="dxa" w:w="80"/>
              <w:left w:type="dxa" w:w="120"/>
              <w:bottom w:type="dxa" w:w="80"/>
              <w:right w:type="dxa" w:w="120"/>
            </w:tcMar>
            <w:vAlign w:val="center"/>
          </w:tcPr>
          <w:p>
            <w:pPr>
              <w:pStyle w:val="MdTableCell"/>
            </w:pPr>
            <w:r>
              <w:t xml:space="preserve">Queries, Wh/query, WUE</w:t>
            </w:r>
          </w:p>
        </w:tc>
        <w:tc>
          <w:tcPr>
            <w:tcBorders>
              <w:right w:val="none"/>
            </w:tcBorders>
            <w:tcMar>
              <w:top w:type="dxa" w:w="80"/>
              <w:left w:type="dxa" w:w="120"/>
              <w:bottom w:type="dxa" w:w="80"/>
              <w:right w:type="dxa" w:w="120"/>
            </w:tcMar>
            <w:vAlign w:val="center"/>
          </w:tcPr>
          <w:p>
            <w:pPr>
              <w:pStyle w:val="MdTableCell"/>
            </w:pPr>
            <w:r>
              <w:t xml:space="preserve">Liters/gallons water estimate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MSHDI Calculator</w:t>
            </w:r>
          </w:p>
        </w:tc>
        <w:tc>
          <w:tcPr>
            <w:tcMar>
              <w:top w:type="dxa" w:w="80"/>
              <w:left w:type="dxa" w:w="120"/>
              <w:bottom w:type="dxa" w:w="80"/>
              <w:right w:type="dxa" w:w="120"/>
            </w:tcMar>
            <w:vAlign w:val="center"/>
          </w:tcPr>
          <w:p>
            <w:pPr>
              <w:pStyle w:val="MdTableCell"/>
            </w:pPr>
            <w:r>
              <w:t xml:space="preserve">Classifies sustainable hyperscale density.</w:t>
            </w:r>
          </w:p>
        </w:tc>
        <w:tc>
          <w:tcPr>
            <w:tcMar>
              <w:top w:type="dxa" w:w="80"/>
              <w:left w:type="dxa" w:w="120"/>
              <w:bottom w:type="dxa" w:w="80"/>
              <w:right w:type="dxa" w:w="120"/>
            </w:tcMar>
            <w:vAlign w:val="center"/>
          </w:tcPr>
          <w:p>
            <w:pPr>
              <w:pStyle w:val="MdTableCell"/>
            </w:pPr>
            <w:r>
              <w:t xml:space="preserve">Compute load, segment capacity, thermal capacity</w:t>
            </w:r>
          </w:p>
        </w:tc>
        <w:tc>
          <w:tcPr>
            <w:tcBorders>
              <w:right w:val="none"/>
            </w:tcBorders>
            <w:tcMar>
              <w:top w:type="dxa" w:w="80"/>
              <w:left w:type="dxa" w:w="120"/>
              <w:bottom w:type="dxa" w:w="80"/>
              <w:right w:type="dxa" w:w="120"/>
            </w:tcMar>
            <w:vAlign w:val="center"/>
          </w:tcPr>
          <w:p>
            <w:pPr>
              <w:pStyle w:val="MdTableCell"/>
            </w:pPr>
            <w:r>
              <w:t xml:space="preserve">MSHDI score and interpretation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Regulatory Readiness Report</w:t>
            </w:r>
          </w:p>
        </w:tc>
        <w:tc>
          <w:tcPr>
            <w:tcMar>
              <w:top w:type="dxa" w:w="80"/>
              <w:left w:type="dxa" w:w="120"/>
              <w:bottom w:type="dxa" w:w="80"/>
              <w:right w:type="dxa" w:w="120"/>
            </w:tcMar>
            <w:vAlign w:val="center"/>
          </w:tcPr>
          <w:p>
            <w:pPr>
              <w:pStyle w:val="MdTableCell"/>
            </w:pPr>
            <w:r>
              <w:t xml:space="preserve">Generates policy-ready summaries.</w:t>
            </w:r>
          </w:p>
        </w:tc>
        <w:tc>
          <w:tcPr>
            <w:tcMar>
              <w:top w:type="dxa" w:w="80"/>
              <w:left w:type="dxa" w:w="120"/>
              <w:bottom w:type="dxa" w:w="80"/>
              <w:right w:type="dxa" w:w="120"/>
            </w:tcMar>
            <w:vAlign w:val="center"/>
          </w:tcPr>
          <w:p>
            <w:pPr>
              <w:pStyle w:val="MdTableCell"/>
            </w:pPr>
            <w:r>
              <w:t xml:space="preserve">Facility data, risk scores, zone, mitigation</w:t>
            </w:r>
          </w:p>
        </w:tc>
        <w:tc>
          <w:tcPr>
            <w:tcBorders>
              <w:right w:val="none"/>
            </w:tcBorders>
            <w:tcMar>
              <w:top w:type="dxa" w:w="80"/>
              <w:left w:type="dxa" w:w="120"/>
              <w:bottom w:type="dxa" w:w="80"/>
              <w:right w:type="dxa" w:w="120"/>
            </w:tcMar>
            <w:vAlign w:val="center"/>
          </w:tcPr>
          <w:p>
            <w:pPr>
              <w:pStyle w:val="MdTableCell"/>
            </w:pPr>
            <w:r>
              <w:t xml:space="preserve">Report preview/export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Mitigation Planner</w:t>
            </w:r>
          </w:p>
        </w:tc>
        <w:tc>
          <w:tcPr>
            <w:tcBorders>
              <w:bottom w:val="single" w:color="E1E4E8" w:sz="4"/>
            </w:tcBorders>
            <w:tcMar>
              <w:top w:type="dxa" w:w="80"/>
              <w:left w:type="dxa" w:w="120"/>
              <w:bottom w:type="dxa" w:w="80"/>
              <w:right w:type="dxa" w:w="120"/>
            </w:tcMar>
            <w:vAlign w:val="center"/>
          </w:tcPr>
          <w:p>
            <w:pPr>
              <w:pStyle w:val="MdTableCell"/>
            </w:pPr>
            <w:r>
              <w:t xml:space="preserve">Recommends controls and monitoring.</w:t>
            </w:r>
          </w:p>
        </w:tc>
        <w:tc>
          <w:tcPr>
            <w:tcBorders>
              <w:bottom w:val="single" w:color="E1E4E8" w:sz="4"/>
            </w:tcBorders>
            <w:tcMar>
              <w:top w:type="dxa" w:w="80"/>
              <w:left w:type="dxa" w:w="120"/>
              <w:bottom w:type="dxa" w:w="80"/>
              <w:right w:type="dxa" w:w="120"/>
            </w:tcMar>
            <w:vAlign w:val="center"/>
          </w:tcPr>
          <w:p>
            <w:pPr>
              <w:pStyle w:val="MdTableCell"/>
            </w:pPr>
            <w:r>
              <w:t xml:space="preserve">Risk category, cooling type, zone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Mitigation checklist</w:t>
            </w:r>
          </w:p>
        </w:tc>
      </w:tr>
    </w:tbl>
    <w:p>
      <w:pPr>
        <w:pStyle w:val="Heading2"/>
        <w:pStyle w:val="MdHeading2"/>
      </w:pPr>
      <w:r>
        <w:t xml:space="preserve">Data Model</w:t>
      </w:r>
    </w:p>
    <w:p>
      <w:pPr>
        <w:pStyle w:val="MdParagraph"/>
      </w:pPr>
      <w:r>
        <w:t xml:space="preserve">The platform integrates hydrological data, such as flow rates and seasonal variability, with ecological data concerning temperature sensitivity and dissolved oxygen levels. It incorporates infrastructure metrics including pumping capacity, treatment limits, and energy load, alongside regulatory thresholds for thermal discharge. This coupled system model links compute demand to heat output, cooling requirements, and the subsequent environmental load, providing a holistic view of the ecosystem.</w:t>
      </w:r>
    </w:p>
    <w:p>
      <w:pPr>
        <w:pStyle w:val="MdSpace"/>
        <w:spacing w:before="0" w:after="60"/>
      </w:pPr>
    </w:p>
    <w:p>
      <w:pPr>
        <w:pStyle w:val="Heading2"/>
        <w:pStyle w:val="MdHeading2"/>
      </w:pPr>
      <w:r>
        <w:t xml:space="preserve">Decision Intelligence Model</w:t>
      </w:r>
    </w:p>
    <w:p>
      <w:pPr>
        <w:pStyle w:val="MdParagraph"/>
      </w:pPr>
      <w:r>
        <w:t xml:space="preserve">The decision engine calculates safe buildout limits using a weighted scoring system that evaluates Thermal Load (35%), Water Withdrawal Density (25%), Seasonal Overlap Risk (20%), and Infrastructure Redundancy (20%). It classifies regions into Safe (0-40), Managed Risk (40-70), and Regulatory Stress (70-100) zones. The Maximum Sustainable Hyperscale Density Index (MSHDI) further refines this by scoring density against river segment capacity, categorizing scores from 0-30 (Sustainable) up to 100+ (Overload condition).</w:t>
      </w:r>
    </w:p>
    <w:p>
      <w:pPr>
        <w:pStyle w:val="MdSpace"/>
        <w:spacing w:before="0" w:after="60"/>
      </w:pPr>
    </w:p>
    <w:p>
      <w:pPr>
        <w:pStyle w:val="Heading2"/>
        <w:pStyle w:val="MdHeading2"/>
      </w:pPr>
      <w:r>
        <w:t xml:space="preserve">Revenue / Funding Model</w:t>
      </w:r>
    </w:p>
    <w:p>
      <w:pPr>
        <w:pStyle w:val="MdParagraph"/>
      </w:pPr>
      <w:r>
        <w:t xml:space="preserve">The business model relies on multiple revenue streams to ensure sustainability. SaaS subscriptions offer tiered access to the platform for developers, investors, and utilities. Enterprise licensing provides customized deployments for state governments and river basin authorities. Consulting and advisory services offer specialized analysis for complex siting projects and regulatory compliance. Additionally, the platform may secure grant funding from environmental and infrastructure initiatives for public-sector applications.</w:t>
      </w:r>
    </w:p>
    <w:p>
      <w:pPr>
        <w:pStyle w:val="MdSpace"/>
        <w:spacing w:before="0" w:after="60"/>
      </w:pPr>
    </w:p>
    <w:p>
      <w:pPr>
        <w:pStyle w:val="Heading2"/>
        <w:pStyle w:val="MdHeading2"/>
      </w:pPr>
      <w:r>
        <w:t xml:space="preserve">Key Partners</w:t>
      </w:r>
    </w:p>
    <w:p>
      <w:pPr>
        <w:pStyle w:val="MdParagraph"/>
      </w:pPr>
      <w:r>
        <w:t xml:space="preserve">Strategic partnerships are essential for data acquisition and platform integration. Key partners include environmental data providers such as the USGS and NOAA, cloud service providers, and telecom operators. Regional utilities, like the Louisville Water Company, provide critical infrastructure data. Academic and research institutions contribute expertise in hydrology and ecology, while regulatory bodies like the EPA and state environmental agencies ensure compliance alignment.</w:t>
      </w:r>
    </w:p>
    <w:p>
      <w:pPr>
        <w:pStyle w:val="MdSpace"/>
        <w:spacing w:before="0" w:after="60"/>
      </w:pPr>
    </w:p>
    <w:p>
      <w:pPr>
        <w:pStyle w:val="Heading2"/>
        <w:pStyle w:val="MdHeading2"/>
      </w:pPr>
      <w:r>
        <w:t xml:space="preserve">Key Resources</w:t>
      </w:r>
    </w:p>
    <w:p>
      <w:pPr>
        <w:pStyle w:val="MdParagraph"/>
      </w:pPr>
      <w:r>
        <w:t xml:space="preserve">The platform's foundation rests on proprietary algorithms for thermal load and clustering risk modeling. High-resolution hydrological and ecological datasets are critical inputs. Robust cloud infrastructure supports complex data processing and simulation. Furthermore, specialized expertise in environmental science, data engineering, and policy analysis drives continuous innovation and accuracy.</w:t>
      </w:r>
    </w:p>
    <w:p>
      <w:pPr>
        <w:pStyle w:val="MdSpace"/>
        <w:spacing w:before="0" w:after="60"/>
      </w:pPr>
    </w:p>
    <w:p>
      <w:pPr>
        <w:pStyle w:val="Heading2"/>
        <w:pStyle w:val="MdHeading2"/>
      </w:pPr>
      <w:r>
        <w:t xml:space="preserve">Key Activities</w:t>
      </w:r>
    </w:p>
    <w:p>
      <w:pPr>
        <w:pStyle w:val="MdParagraph"/>
      </w:pPr>
      <w:r>
        <w:t xml:space="preserve">Core operations involve continuous data integration and model refinement to maintain accuracy. Platform development focuses on user interface optimization and expanding feature capabilities. Stakeholder engagement and policy advocacy are crucial for market penetration. Additionally, the production of thought leadership content, including webinars, podcasts, and whitepapers, establishes the platform's authority in the industry.</w:t>
      </w:r>
    </w:p>
    <w:p>
      <w:pPr>
        <w:pStyle w:val="MdSpace"/>
        <w:spacing w:before="0" w:after="60"/>
      </w:pPr>
    </w:p>
    <w:p>
      <w:pPr>
        <w:pStyle w:val="Heading2"/>
        <w:pStyle w:val="MdHeading2"/>
      </w:pPr>
      <w:r>
        <w:t xml:space="preserve">Channels</w:t>
      </w:r>
    </w:p>
    <w:p>
      <w:pPr>
        <w:pStyle w:val="MdParagraph"/>
      </w:pPr>
      <w:r>
        <w:t xml:space="preserve">Go-to-market strategies leverage direct enterprise sales and strategic partnerships. Participation in industry conferences focused on data centers, water management, and AI infrastructure facilitates networking and brand visibility. Content marketing, through case studies and research reports, educates the market. Policy briefings and regulatory workshops directly engage government and regulatory stakeholders.</w:t>
      </w:r>
    </w:p>
    <w:p>
      <w:pPr>
        <w:pStyle w:val="MdSpace"/>
        <w:spacing w:before="0" w:after="60"/>
      </w:pPr>
    </w:p>
    <w:p>
      <w:pPr>
        <w:pStyle w:val="Heading2"/>
        <w:pStyle w:val="MdHeading2"/>
      </w:pPr>
      <w:r>
        <w:t xml:space="preserve">Cost Structure</w:t>
      </w:r>
    </w:p>
    <w:p>
      <w:pPr>
        <w:pStyle w:val="MdParagraph"/>
      </w:pPr>
      <w:r>
        <w:t xml:space="preserve">The primary expenses include research and development for data modeling and software engineering. Cloud computing and data acquisition represent significant ongoing operational costs. Sales, marketing, and business development efforts drive customer acquisition. Finally, regulatory compliance and legal advisory services ensure the platform adheres to evolving environmental standards.</w:t>
      </w:r>
    </w:p>
    <w:p>
      <w:pPr>
        <w:pStyle w:val="MdSpace"/>
        <w:spacing w:before="0" w:after="60"/>
      </w:pPr>
    </w:p>
    <w:p>
      <w:pPr>
        <w:pStyle w:val="Heading2"/>
        <w:pStyle w:val="MdHeading2"/>
      </w:pPr>
      <w:r>
        <w:t xml:space="preserve">Competitive Advantage</w:t>
      </w:r>
    </w:p>
    <w:p>
      <w:pPr>
        <w:pStyle w:val="MdParagraph"/>
      </w:pPr>
      <w:r>
        <w:t xml:space="preserve">RiverCompute Intelligence is uniquely positioned by addressing the specific, often misunderstood constraint of heat rejection rather than mere water scarcity. Its comprehensive, system-level approach—integrating infrastructure, ecology, and regulation—provides a defensible, quantitative framework that generic sustainability tools lack. This specialized focus on watershed-based compute governance creates a high barrier to entry for competitors.</w:t>
      </w:r>
    </w:p>
    <w:p>
      <w:pPr>
        <w:pStyle w:val="MdSpace"/>
        <w:spacing w:before="0" w:after="60"/>
      </w:pPr>
    </w:p>
    <w:p>
      <w:pPr>
        <w:pStyle w:val="Heading2"/>
        <w:pStyle w:val="MdHeading2"/>
      </w:pPr>
      <w:r>
        <w:t xml:space="preserve">Risks and Validation Plan</w:t>
      </w:r>
    </w:p>
    <w:p>
      <w:pPr>
        <w:pStyle w:val="MdParagraph"/>
      </w:pPr>
      <w:r>
        <w:t xml:space="preserve">To mitigate risks associated with data accuracy, the platform undergoes continuous validation against real-world hydrological and operational data. Active monitoring of environmental policies ensures the platform remains compliant and relevant amid regulatory changes. Market adoption is validated through pilot programs with key stakeholders, utilizing the Louisville case study to demonstrate tangible value and refine platform features.</w:t>
      </w:r>
    </w:p>
    <w:p>
      <w:pPr>
        <w:pStyle w:val="MdSpace"/>
        <w:spacing w:before="0" w:after="60"/>
      </w:pPr>
    </w:p>
    <w:p>
      <w:pPr>
        <w:pStyle w:val="Heading2"/>
        <w:pStyle w:val="MdHeading2"/>
      </w:pPr>
      <w:r>
        <w:t xml:space="preserve">Impact Metrics</w:t>
      </w:r>
    </w:p>
    <w:p>
      <w:pPr>
        <w:pStyle w:val="MdParagraph"/>
      </w:pPr>
      <w:r>
        <w:t xml:space="preserve">Success is measured by the number of hyperscale facilities optimally sited using the platform and the corresponding reduction in regulatory approval times for compliant projects. Environmental impact is quantified by avoided ecological threshold breaches, such as thermal limit violations. The total megawatts of compute deployed within designated safe zones serves as a key indicator of the platform's role in sustainable infrastructure expansion.</w:t>
      </w:r>
    </w:p>
    <w:p>
      <w:pPr>
        <w:pStyle w:val="MdSpace"/>
        <w:spacing w:before="0" w:after="60"/>
      </w:pPr>
    </w:p>
    <w:p>
      <w:pPr>
        <w:pStyle w:val="Heading2"/>
        <w:pStyle w:val="MdHeading2"/>
      </w:pPr>
      <w:r>
        <w:t xml:space="preserve">90-Day MVP Roadmap</w:t>
      </w:r>
    </w:p>
    <w:p>
      <w:pPr>
        <w:pStyle w:val="MdParagraph"/>
      </w:pPr>
      <w:r>
        <w:t xml:space="preserve">During the first month, efforts focus on finalizing core algorithms, including Thermal Load Risk and Water-to-Query models, while integrating initial datasets for the Ohio River basin. The second month centers on developing the Watershed Compute Zoning Dashboard and the Environmental Impact Summary Generator, followed by rigorous internal testing. In the third month, a pilot program launches with select developers and regulators to gather feedback and refine the Maximum Sustainable Hyperscale Density Index.</w:t>
      </w:r>
    </w:p>
    <w:p>
      <w:pPr>
        <w:pStyle w:val="MdSpace"/>
        <w:spacing w:before="0" w:after="60"/>
      </w:pPr>
    </w:p>
    <w:p>
      <w:pPr>
        <w:pStyle w:val="Heading2"/>
        <w:pStyle w:val="MdHeading2"/>
      </w:pPr>
      <w:r>
        <w:t xml:space="preserve">Policy Adoption Pathway</w:t>
      </w:r>
    </w:p>
    <w:p>
      <w:pPr>
        <w:pStyle w:val="MdParagraph"/>
      </w:pPr>
      <w:r>
        <w:t xml:space="preserve">The strategy involves engaging with state environmental agencies to establish the platform's metrics as standard evaluation criteria for new data centers. Collaboration with river basin authorities aims to integrate the Maximum Sustainable Hyperscale Density Index into regional planning frameworks. The publication of the Louisville case study serves as a blueprint for watershed-based compute governance, demonstrating the platform's utility in balancing economic growth with ecological preservation.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2026-05-24T19:26:45.198Z</dcterms:created>
  <dcterms:modified xsi:type="dcterms:W3CDTF">2026-05-24T19:26:45.198Z</dcterms:modified>
</cp:coreProperties>
</file>

<file path=docProps/custom.xml><?xml version="1.0" encoding="utf-8"?>
<Properties xmlns="http://schemas.openxmlformats.org/officeDocument/2006/custom-properties" xmlns:vt="http://schemas.openxmlformats.org/officeDocument/2006/docPropsVTypes"/>
</file>