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45AF59">
      <w:pPr>
        <w:jc w:val="left"/>
        <w:rPr>
          <w:b/>
          <w:bCs/>
          <w:sz w:val="36"/>
          <w:szCs w:val="36"/>
        </w:rPr>
      </w:pPr>
      <w:r>
        <w:rPr>
          <w:rFonts w:ascii="方正舒体" w:hAnsi="Arial" w:eastAsia="方正舒体" w:cs="Arial"/>
          <w:b/>
          <w:bCs/>
          <w:szCs w:val="21"/>
        </w:rPr>
        <mc:AlternateContent>
          <mc:Choice Requires="wps">
            <w:drawing>
              <wp:anchor distT="0" distB="0" distL="114300" distR="114300" simplePos="0" relativeHeight="251659264" behindDoc="0" locked="0" layoutInCell="1" allowOverlap="1">
                <wp:simplePos x="0" y="0"/>
                <wp:positionH relativeFrom="column">
                  <wp:posOffset>19050</wp:posOffset>
                </wp:positionH>
                <wp:positionV relativeFrom="paragraph">
                  <wp:posOffset>533400</wp:posOffset>
                </wp:positionV>
                <wp:extent cx="5181600" cy="19050"/>
                <wp:effectExtent l="0" t="0" r="19050" b="19050"/>
                <wp:wrapNone/>
                <wp:docPr id="2" name="直接连接符 2"/>
                <wp:cNvGraphicFramePr/>
                <a:graphic xmlns:a="http://schemas.openxmlformats.org/drawingml/2006/main">
                  <a:graphicData uri="http://schemas.microsoft.com/office/word/2010/wordprocessingShape">
                    <wps:wsp>
                      <wps:cNvCnPr/>
                      <wps:spPr>
                        <a:xfrm>
                          <a:off x="0" y="0"/>
                          <a:ext cx="518160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2" o:spid="_x0000_s1026" o:spt="20" style="position:absolute;left:0pt;margin-left:1.5pt;margin-top:42pt;height:1.5pt;width:408pt;z-index:251659264;mso-width-relative:page;mso-height-relative:page;" filled="f" stroked="t" coordsize="21600,21600" o:gfxdata="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lvhyc1AAAAAcB&#10;AAAPAAAAAAAAAAEAIAAAACIAAABkcnMvZG93bnJldi54bWxQSwECFAAUAAAACACHTuJALTw0s+YB&#10;AAC1AwAADgAAAAAAAAABACAAAAAjAQAAZHJzL2Uyb0RvYy54bWxQSwUGAAAAAAYABgBZAQAAewUA&#10;AAAA&#10;">
                <v:fill on="f" focussize="0,0"/>
                <v:stroke weight="0.5pt" color="#000000 [3213]" miterlimit="8" joinstyle="miter"/>
                <v:imagedata o:title=""/>
                <o:lock v:ext="edit" aspectratio="f"/>
              </v:line>
            </w:pict>
          </mc:Fallback>
        </mc:AlternateContent>
      </w:r>
      <w:r>
        <w:rPr>
          <w:rFonts w:ascii="方正舒体" w:hAnsi="Arial" w:eastAsia="方正舒体" w:cs="Arial"/>
          <w:b/>
          <w:bCs/>
          <w:szCs w:val="21"/>
        </w:rPr>
        <w:drawing>
          <wp:inline distT="0" distB="0" distL="0" distR="0">
            <wp:extent cx="2019300" cy="421005"/>
            <wp:effectExtent l="0" t="0" r="0" b="0"/>
            <wp:docPr id="6" name="图片 6" descr="C:\Users\changtuo\AppData\Local\Temp\156342246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changtuo\AppData\Local\Temp\1563422463(1).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019300" cy="421033"/>
                    </a:xfrm>
                    <a:prstGeom prst="rect">
                      <a:avLst/>
                    </a:prstGeom>
                    <a:noFill/>
                    <a:ln>
                      <a:noFill/>
                    </a:ln>
                  </pic:spPr>
                </pic:pic>
              </a:graphicData>
            </a:graphic>
          </wp:inline>
        </w:drawing>
      </w:r>
    </w:p>
    <w:p w14:paraId="6124F69E">
      <w:pPr>
        <w:jc w:val="center"/>
        <w:rPr>
          <w:b/>
          <w:bCs/>
          <w:sz w:val="36"/>
          <w:szCs w:val="36"/>
        </w:rPr>
      </w:pPr>
      <w:r>
        <w:rPr>
          <w:rFonts w:hint="eastAsia"/>
          <w:b/>
          <w:bCs/>
          <w:sz w:val="36"/>
          <w:szCs w:val="36"/>
        </w:rPr>
        <w:t>员工年度总结表</w:t>
      </w:r>
    </w:p>
    <w:p w14:paraId="198EF854">
      <w:pPr>
        <w:jc w:val="center"/>
        <w:rPr>
          <w:b/>
          <w:bCs/>
          <w:color w:val="FF0000"/>
          <w:sz w:val="20"/>
          <w:szCs w:val="20"/>
        </w:rPr>
      </w:pPr>
      <w:r>
        <w:rPr>
          <w:rFonts w:hint="eastAsia"/>
          <w:b/>
          <w:bCs/>
          <w:color w:val="FF0000"/>
          <w:sz w:val="20"/>
          <w:szCs w:val="20"/>
        </w:rPr>
        <w:t>（review流程：入职每满一年当月填写总结表，发次月薪资前出</w:t>
      </w:r>
      <w:r>
        <w:rPr>
          <w:b/>
          <w:bCs/>
          <w:color w:val="FF0000"/>
          <w:sz w:val="20"/>
          <w:szCs w:val="20"/>
        </w:rPr>
        <w:t>review结果</w:t>
      </w:r>
      <w:r>
        <w:rPr>
          <w:rFonts w:hint="eastAsia"/>
          <w:b/>
          <w:bCs/>
          <w:color w:val="FF0000"/>
          <w:sz w:val="20"/>
          <w:szCs w:val="20"/>
        </w:rPr>
        <w:t>）</w:t>
      </w:r>
    </w:p>
    <w:p w14:paraId="34E09647">
      <w:pPr>
        <w:jc w:val="right"/>
        <w:rPr>
          <w:b/>
          <w:bCs/>
          <w:sz w:val="18"/>
          <w:szCs w:val="18"/>
        </w:rPr>
      </w:pPr>
      <w:r>
        <w:rPr>
          <w:rFonts w:hint="eastAsia"/>
          <w:sz w:val="18"/>
          <w:szCs w:val="18"/>
        </w:rPr>
        <w:t xml:space="preserve"> </w:t>
      </w:r>
      <w:r>
        <w:rPr>
          <w:sz w:val="18"/>
          <w:szCs w:val="18"/>
        </w:rPr>
        <w:t xml:space="preserve">                               </w:t>
      </w:r>
      <w:r>
        <w:rPr>
          <w:rFonts w:hint="eastAsia"/>
          <w:b/>
          <w:bCs/>
          <w:sz w:val="24"/>
          <w:szCs w:val="24"/>
        </w:rPr>
        <w:t xml:space="preserve">填表时间： </w:t>
      </w:r>
      <w:r>
        <w:rPr>
          <w:b/>
          <w:bCs/>
          <w:sz w:val="24"/>
          <w:szCs w:val="24"/>
        </w:rPr>
        <w:t xml:space="preserve"> </w:t>
      </w:r>
      <w:r>
        <w:rPr>
          <w:rFonts w:hint="default"/>
          <w:b/>
          <w:bCs/>
          <w:sz w:val="24"/>
          <w:szCs w:val="24"/>
          <w:lang w:val="en-US"/>
        </w:rPr>
        <w:t>2026</w:t>
      </w:r>
      <w:r>
        <w:rPr>
          <w:rFonts w:hint="eastAsia"/>
          <w:b/>
          <w:bCs/>
          <w:sz w:val="24"/>
          <w:szCs w:val="24"/>
        </w:rPr>
        <w:t>年</w:t>
      </w:r>
      <w:r>
        <w:rPr>
          <w:rFonts w:hint="default"/>
          <w:b/>
          <w:bCs/>
          <w:sz w:val="24"/>
          <w:szCs w:val="24"/>
          <w:lang w:val="en-US"/>
        </w:rPr>
        <w:t>04</w:t>
      </w:r>
      <w:r>
        <w:rPr>
          <w:rFonts w:hint="eastAsia"/>
          <w:b/>
          <w:bCs/>
          <w:sz w:val="24"/>
          <w:szCs w:val="24"/>
        </w:rPr>
        <w:t>月</w:t>
      </w:r>
      <w:r>
        <w:rPr>
          <w:rFonts w:hint="default"/>
          <w:b/>
          <w:bCs/>
          <w:sz w:val="24"/>
          <w:szCs w:val="24"/>
          <w:lang w:val="en-US"/>
        </w:rPr>
        <w:t>17</w:t>
      </w:r>
      <w:r>
        <w:rPr>
          <w:rFonts w:hint="eastAsia"/>
          <w:b/>
          <w:bCs/>
          <w:sz w:val="24"/>
          <w:szCs w:val="24"/>
        </w:rPr>
        <w:t>日</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0"/>
        <w:gridCol w:w="2232"/>
        <w:gridCol w:w="2097"/>
        <w:gridCol w:w="2147"/>
      </w:tblGrid>
      <w:tr w14:paraId="35B9DF28">
        <w:trPr>
          <w:trHeight w:val="557" w:hRule="atLeast"/>
        </w:trPr>
        <w:tc>
          <w:tcPr>
            <w:tcW w:w="8296" w:type="dxa"/>
            <w:gridSpan w:val="4"/>
            <w:shd w:val="clear" w:color="auto" w:fill="92D050"/>
          </w:tcPr>
          <w:p w14:paraId="2836271E">
            <w:pPr>
              <w:jc w:val="center"/>
              <w:rPr>
                <w:b/>
                <w:bCs/>
                <w:sz w:val="24"/>
                <w:szCs w:val="24"/>
              </w:rPr>
            </w:pPr>
            <w:r>
              <w:rPr>
                <w:rFonts w:hint="eastAsia"/>
                <w:b/>
                <w:bCs/>
                <w:sz w:val="24"/>
                <w:szCs w:val="24"/>
              </w:rPr>
              <w:t>基本信息</w:t>
            </w:r>
          </w:p>
        </w:tc>
      </w:tr>
      <w:tr w14:paraId="54FCF7E9">
        <w:trPr>
          <w:trHeight w:val="557" w:hRule="atLeast"/>
        </w:trPr>
        <w:tc>
          <w:tcPr>
            <w:tcW w:w="1820" w:type="dxa"/>
          </w:tcPr>
          <w:p w14:paraId="10B8DC15">
            <w:pPr>
              <w:jc w:val="center"/>
              <w:rPr>
                <w:sz w:val="24"/>
                <w:szCs w:val="24"/>
              </w:rPr>
            </w:pPr>
            <w:r>
              <w:rPr>
                <w:rFonts w:hint="eastAsia"/>
                <w:sz w:val="24"/>
                <w:szCs w:val="24"/>
              </w:rPr>
              <w:t xml:space="preserve">姓 </w:t>
            </w:r>
            <w:r>
              <w:rPr>
                <w:sz w:val="24"/>
                <w:szCs w:val="24"/>
              </w:rPr>
              <w:t xml:space="preserve">  </w:t>
            </w:r>
            <w:r>
              <w:rPr>
                <w:rFonts w:hint="eastAsia"/>
                <w:sz w:val="24"/>
                <w:szCs w:val="24"/>
              </w:rPr>
              <w:t>名</w:t>
            </w:r>
          </w:p>
        </w:tc>
        <w:tc>
          <w:tcPr>
            <w:tcW w:w="2232" w:type="dxa"/>
            <w:vAlign w:val="top"/>
          </w:tcPr>
          <w:p w14:paraId="4FF82298">
            <w:pPr>
              <w:jc w:val="center"/>
              <w:rPr>
                <w:rFonts w:asciiTheme="minorHAnsi" w:hAnsiTheme="minorHAnsi" w:eastAsiaTheme="minorEastAsia" w:cstheme="minorBidi"/>
                <w:kern w:val="2"/>
                <w:sz w:val="24"/>
                <w:szCs w:val="24"/>
                <w:lang w:eastAsia="zh-CN" w:bidi="ar-SA"/>
              </w:rPr>
            </w:pPr>
            <w:r>
              <w:rPr>
                <w:sz w:val="24"/>
                <w:szCs w:val="24"/>
              </w:rPr>
              <w:t>兰杨能</w:t>
            </w:r>
          </w:p>
        </w:tc>
        <w:tc>
          <w:tcPr>
            <w:tcW w:w="2097" w:type="dxa"/>
          </w:tcPr>
          <w:p w14:paraId="60286B22">
            <w:pPr>
              <w:jc w:val="center"/>
              <w:rPr>
                <w:sz w:val="24"/>
                <w:szCs w:val="24"/>
              </w:rPr>
            </w:pPr>
            <w:r>
              <w:rPr>
                <w:rFonts w:hint="eastAsia"/>
                <w:sz w:val="24"/>
                <w:szCs w:val="24"/>
              </w:rPr>
              <w:t>入职时间</w:t>
            </w:r>
          </w:p>
        </w:tc>
        <w:tc>
          <w:tcPr>
            <w:tcW w:w="2147" w:type="dxa"/>
            <w:vAlign w:val="top"/>
          </w:tcPr>
          <w:p w14:paraId="63D9AF83">
            <w:pPr>
              <w:jc w:val="center"/>
              <w:rPr>
                <w:rFonts w:asciiTheme="minorHAnsi" w:hAnsiTheme="minorHAnsi" w:eastAsiaTheme="minorEastAsia" w:cstheme="minorBidi"/>
                <w:kern w:val="2"/>
                <w:sz w:val="24"/>
                <w:szCs w:val="24"/>
                <w:lang w:val="en-US" w:eastAsia="zh-CN" w:bidi="ar-SA"/>
              </w:rPr>
            </w:pPr>
            <w:r>
              <w:rPr>
                <w:sz w:val="24"/>
                <w:szCs w:val="24"/>
              </w:rPr>
              <w:t>2020.04.22</w:t>
            </w:r>
          </w:p>
        </w:tc>
      </w:tr>
      <w:tr w14:paraId="1255069E">
        <w:trPr>
          <w:trHeight w:val="557" w:hRule="atLeast"/>
        </w:trPr>
        <w:tc>
          <w:tcPr>
            <w:tcW w:w="1820" w:type="dxa"/>
          </w:tcPr>
          <w:p w14:paraId="003DEDC6">
            <w:pPr>
              <w:jc w:val="center"/>
              <w:rPr>
                <w:sz w:val="24"/>
                <w:szCs w:val="24"/>
              </w:rPr>
            </w:pPr>
            <w:r>
              <w:rPr>
                <w:rFonts w:hint="eastAsia"/>
                <w:sz w:val="24"/>
                <w:szCs w:val="24"/>
              </w:rPr>
              <w:t xml:space="preserve">项 </w:t>
            </w:r>
            <w:r>
              <w:rPr>
                <w:sz w:val="24"/>
                <w:szCs w:val="24"/>
              </w:rPr>
              <w:t xml:space="preserve">  </w:t>
            </w:r>
            <w:r>
              <w:rPr>
                <w:rFonts w:hint="eastAsia"/>
                <w:sz w:val="24"/>
                <w:szCs w:val="24"/>
              </w:rPr>
              <w:t>目</w:t>
            </w:r>
          </w:p>
        </w:tc>
        <w:tc>
          <w:tcPr>
            <w:tcW w:w="2232" w:type="dxa"/>
          </w:tcPr>
          <w:p w14:paraId="0E806606">
            <w:pPr>
              <w:jc w:val="center"/>
              <w:rPr>
                <w:sz w:val="24"/>
                <w:szCs w:val="24"/>
              </w:rPr>
            </w:pPr>
            <w:r>
              <w:rPr>
                <w:rFonts w:hint="eastAsia"/>
                <w:sz w:val="24"/>
                <w:szCs w:val="24"/>
                <w:lang w:val="en-US" w:eastAsia="zh-Hans"/>
              </w:rPr>
              <w:t>Re</w:t>
            </w:r>
            <w:r>
              <w:rPr>
                <w:rFonts w:hint="default"/>
                <w:sz w:val="24"/>
                <w:szCs w:val="24"/>
                <w:lang w:eastAsia="zh-Hans"/>
              </w:rPr>
              <w:t>markableFoods</w:t>
            </w:r>
            <w:r>
              <w:rPr>
                <w:rFonts w:hint="default"/>
                <w:sz w:val="24"/>
                <w:szCs w:val="24"/>
                <w:lang w:eastAsia="zh-Hans"/>
              </w:rPr>
              <w:br w:type="textWrapping"/>
            </w:r>
            <w:r>
              <w:rPr>
                <w:rFonts w:hint="default"/>
                <w:sz w:val="24"/>
                <w:szCs w:val="24"/>
                <w:lang w:eastAsia="zh-Hans"/>
              </w:rPr>
              <w:t>HDR</w:t>
            </w:r>
          </w:p>
        </w:tc>
        <w:tc>
          <w:tcPr>
            <w:tcW w:w="2097" w:type="dxa"/>
          </w:tcPr>
          <w:p w14:paraId="2BE3F61C">
            <w:pPr>
              <w:jc w:val="center"/>
              <w:rPr>
                <w:sz w:val="24"/>
                <w:szCs w:val="24"/>
              </w:rPr>
            </w:pPr>
            <w:r>
              <w:rPr>
                <w:rFonts w:hint="eastAsia"/>
                <w:sz w:val="24"/>
                <w:szCs w:val="24"/>
              </w:rPr>
              <w:t xml:space="preserve">岗 </w:t>
            </w:r>
            <w:r>
              <w:rPr>
                <w:sz w:val="24"/>
                <w:szCs w:val="24"/>
              </w:rPr>
              <w:t xml:space="preserve">  </w:t>
            </w:r>
            <w:r>
              <w:rPr>
                <w:rFonts w:hint="eastAsia"/>
                <w:sz w:val="24"/>
                <w:szCs w:val="24"/>
              </w:rPr>
              <w:t>位</w:t>
            </w:r>
          </w:p>
        </w:tc>
        <w:tc>
          <w:tcPr>
            <w:tcW w:w="2147" w:type="dxa"/>
            <w:vAlign w:val="top"/>
          </w:tcPr>
          <w:p w14:paraId="46369E4F">
            <w:pPr>
              <w:jc w:val="center"/>
              <w:rPr>
                <w:rFonts w:asciiTheme="minorHAnsi" w:hAnsiTheme="minorHAnsi" w:eastAsiaTheme="minorEastAsia" w:cstheme="minorBidi"/>
                <w:kern w:val="2"/>
                <w:sz w:val="24"/>
                <w:szCs w:val="24"/>
                <w:lang w:val="en-US" w:eastAsia="zh-CN" w:bidi="ar-SA"/>
              </w:rPr>
            </w:pPr>
            <w:r>
              <w:rPr>
                <w:sz w:val="24"/>
                <w:szCs w:val="24"/>
              </w:rPr>
              <w:t>JAVA Engineer</w:t>
            </w:r>
          </w:p>
        </w:tc>
      </w:tr>
      <w:tr w14:paraId="59A59525">
        <w:trPr>
          <w:trHeight w:val="557" w:hRule="atLeast"/>
        </w:trPr>
        <w:tc>
          <w:tcPr>
            <w:tcW w:w="8296" w:type="dxa"/>
            <w:gridSpan w:val="4"/>
            <w:shd w:val="clear" w:color="auto" w:fill="92D050"/>
          </w:tcPr>
          <w:p w14:paraId="083C6A4B">
            <w:pPr>
              <w:jc w:val="center"/>
              <w:rPr>
                <w:b/>
                <w:bCs/>
                <w:sz w:val="24"/>
                <w:szCs w:val="24"/>
              </w:rPr>
            </w:pPr>
            <w:r>
              <w:rPr>
                <w:rFonts w:hint="eastAsia"/>
                <w:b/>
                <w:bCs/>
                <w:sz w:val="24"/>
                <w:szCs w:val="24"/>
              </w:rPr>
              <w:t>员工年度总结</w:t>
            </w:r>
          </w:p>
        </w:tc>
      </w:tr>
      <w:tr w14:paraId="5FECEC14">
        <w:trPr>
          <w:trHeight w:val="90" w:hRule="atLeast"/>
        </w:trPr>
        <w:tc>
          <w:tcPr>
            <w:tcW w:w="8296" w:type="dxa"/>
            <w:gridSpan w:val="4"/>
          </w:tcPr>
          <w:p w14:paraId="4D57FDCB">
            <w:pPr>
              <w:pStyle w:val="12"/>
              <w:ind w:left="0" w:leftChars="0" w:firstLine="0" w:firstLineChars="0"/>
              <w:rPr>
                <w:b/>
                <w:bCs/>
                <w:lang w:val="en-US" w:eastAsia="zh-CN"/>
              </w:rPr>
            </w:pPr>
            <w:r>
              <w:rPr>
                <w:b/>
                <w:bCs/>
                <w:lang w:val="en-US" w:eastAsia="zh-CN"/>
              </w:rPr>
              <w:t>尊敬的领导：</w:t>
            </w:r>
          </w:p>
          <w:p w14:paraId="221DB456">
            <w:pPr>
              <w:pStyle w:val="12"/>
              <w:ind w:left="0" w:leftChars="0" w:firstLine="0" w:firstLineChars="0"/>
              <w:rPr>
                <w:lang w:val="en-US" w:eastAsia="zh-CN"/>
              </w:rPr>
            </w:pPr>
            <w:r>
              <w:rPr>
                <w:rFonts w:hint="eastAsia"/>
                <w:lang w:val="en-US" w:eastAsia="zh-CN"/>
              </w:rPr>
              <w:t xml:space="preserve">时光荏苒，我已经在公司度过了充实而富有意义的 </w:t>
            </w:r>
            <w:r>
              <w:rPr>
                <w:rFonts w:hint="default"/>
                <w:lang w:val="en-US" w:eastAsia="zh-CN"/>
              </w:rPr>
              <w:t>6</w:t>
            </w:r>
            <w:r>
              <w:rPr>
                <w:rFonts w:hint="eastAsia"/>
                <w:lang w:val="en-US" w:eastAsia="zh-CN"/>
              </w:rPr>
              <w:t xml:space="preserve"> 年时光。回顾 202</w:t>
            </w:r>
            <w:r>
              <w:rPr>
                <w:rFonts w:hint="default"/>
                <w:lang w:val="en-US" w:eastAsia="zh-CN"/>
              </w:rPr>
              <w:t>5</w:t>
            </w:r>
            <w:r>
              <w:rPr>
                <w:rFonts w:hint="eastAsia"/>
                <w:lang w:val="en-US" w:eastAsia="zh-CN"/>
              </w:rPr>
              <w:t xml:space="preserve"> 年，我满怀感恩，感谢领导和同事们一直以来对我工作的支持与帮助。以下是我对 202</w:t>
            </w:r>
            <w:r>
              <w:rPr>
                <w:rFonts w:hint="default"/>
                <w:lang w:val="en-US" w:eastAsia="zh-CN"/>
              </w:rPr>
              <w:t>5</w:t>
            </w:r>
            <w:r>
              <w:rPr>
                <w:rFonts w:hint="eastAsia"/>
                <w:lang w:val="en-US" w:eastAsia="zh-CN"/>
              </w:rPr>
              <w:t xml:space="preserve"> 年工作的年度总结：</w:t>
            </w:r>
          </w:p>
          <w:p w14:paraId="18F995FE">
            <w:pPr>
              <w:pStyle w:val="12"/>
              <w:ind w:left="0" w:leftChars="0" w:firstLine="0" w:firstLineChars="0"/>
              <w:rPr>
                <w:b/>
                <w:bCs/>
              </w:rPr>
            </w:pPr>
            <w:r>
              <w:rPr>
                <w:rFonts w:hint="default"/>
                <w:b/>
                <w:bCs/>
                <w:lang w:val="en-US" w:eastAsia="zh-CN"/>
              </w:rPr>
              <w:t>一、主要工作内容</w:t>
            </w:r>
          </w:p>
          <w:p w14:paraId="27CC7834">
            <w:pPr>
              <w:pStyle w:val="12"/>
              <w:numPr>
                <w:ilvl w:val="0"/>
                <w:numId w:val="0"/>
              </w:numPr>
              <w:ind w:leftChars="0" w:firstLine="420" w:firstLineChars="200"/>
              <w:rPr>
                <w:rFonts w:hint="default"/>
                <w:lang w:val="en-US" w:eastAsia="zh-CN"/>
              </w:rPr>
            </w:pPr>
            <w:r>
              <w:rPr>
                <w:rFonts w:hint="default"/>
                <w:lang w:val="en-US" w:eastAsia="zh-CN"/>
              </w:rPr>
              <w:t>在过去的一年里，我继续深耕核心业务系统（HDR Portal / KOM / Delivery Zone），围绕规模化扩展、配置治理与底层能力建设，主导了多个涉及跨系统联动的史诗级需求（Epic）和</w:t>
            </w:r>
            <w:r>
              <w:rPr>
                <w:rFonts w:hint="eastAsia"/>
                <w:lang w:val="en-US" w:eastAsia="zh-CN"/>
              </w:rPr>
              <w:t>关键</w:t>
            </w:r>
            <w:r>
              <w:rPr>
                <w:rFonts w:hint="default"/>
                <w:lang w:val="en-US" w:eastAsia="zh-CN"/>
              </w:rPr>
              <w:t>技术调优，有效支撑了业务的</w:t>
            </w:r>
            <w:r>
              <w:rPr>
                <w:rFonts w:hint="eastAsia"/>
                <w:lang w:val="en-US" w:eastAsia="zh-CN"/>
              </w:rPr>
              <w:t>快</w:t>
            </w:r>
            <w:r>
              <w:rPr>
                <w:rFonts w:hint="default"/>
                <w:lang w:val="en-US" w:eastAsia="zh-CN"/>
              </w:rPr>
              <w:t>速扩展和精细化运营。主要</w:t>
            </w:r>
            <w:r>
              <w:rPr>
                <w:rFonts w:hint="eastAsia"/>
                <w:lang w:val="en-US" w:eastAsia="zh-CN"/>
              </w:rPr>
              <w:t>工作如下</w:t>
            </w:r>
            <w:r>
              <w:rPr>
                <w:rFonts w:hint="default"/>
                <w:lang w:val="en-US" w:eastAsia="zh-CN"/>
              </w:rPr>
              <w:t>：</w:t>
            </w:r>
          </w:p>
          <w:p w14:paraId="47D4AE66">
            <w:pPr>
              <w:pStyle w:val="12"/>
              <w:numPr>
                <w:ilvl w:val="0"/>
                <w:numId w:val="1"/>
              </w:numPr>
              <w:ind w:left="425" w:leftChars="0" w:hanging="425" w:firstLineChars="0"/>
              <w:rPr>
                <w:rFonts w:hint="default"/>
                <w:lang w:val="en-US" w:eastAsia="zh-CN"/>
              </w:rPr>
            </w:pPr>
            <w:r>
              <w:rPr>
                <w:rFonts w:hint="default"/>
                <w:b/>
                <w:bCs/>
                <w:lang w:val="en-US" w:eastAsia="zh-CN"/>
              </w:rPr>
              <w:t>规模化门店基建与</w:t>
            </w:r>
            <w:r>
              <w:rPr>
                <w:rFonts w:hint="eastAsia"/>
                <w:b/>
                <w:bCs/>
                <w:lang w:val="en-US" w:eastAsia="zh-CN"/>
              </w:rPr>
              <w:t>配置治理</w:t>
            </w:r>
            <w:r>
              <w:rPr>
                <w:rFonts w:hint="default"/>
                <w:lang w:val="en-US" w:eastAsia="zh-CN"/>
              </w:rPr>
              <w:t>：构建门店核心配置的规模化管理能力，开发</w:t>
            </w:r>
            <w:r>
              <w:rPr>
                <w:rFonts w:hint="eastAsia"/>
                <w:lang w:val="en-US" w:eastAsia="zh-CN"/>
              </w:rPr>
              <w:t>覆盖</w:t>
            </w:r>
            <w:r>
              <w:rPr>
                <w:rFonts w:hint="default"/>
                <w:lang w:val="en-US" w:eastAsia="zh-CN"/>
              </w:rPr>
              <w:t>Restaurant Service Time、</w:t>
            </w:r>
            <w:r>
              <w:rPr>
                <w:rFonts w:hint="eastAsia"/>
                <w:lang w:val="en-US" w:eastAsia="zh-CN"/>
              </w:rPr>
              <w:t xml:space="preserve"> </w:t>
            </w:r>
            <w:r>
              <w:rPr>
                <w:rFonts w:hint="default"/>
                <w:lang w:val="en-US" w:eastAsia="zh-CN"/>
              </w:rPr>
              <w:t>Restaurant Go Live Date</w:t>
            </w:r>
            <w:r>
              <w:rPr>
                <w:rFonts w:hint="eastAsia"/>
                <w:lang w:val="en-US" w:eastAsia="zh-CN"/>
              </w:rPr>
              <w:t>、 Assig</w:t>
            </w:r>
            <w:r>
              <w:rPr>
                <w:rFonts w:hint="default"/>
                <w:lang w:val="en-US" w:eastAsia="zh-CN"/>
              </w:rPr>
              <w:t xml:space="preserve">n </w:t>
            </w:r>
            <w:r>
              <w:rPr>
                <w:rFonts w:hint="eastAsia"/>
                <w:lang w:val="en-US" w:eastAsia="zh-CN"/>
              </w:rPr>
              <w:t>R</w:t>
            </w:r>
            <w:r>
              <w:rPr>
                <w:rFonts w:hint="default"/>
                <w:lang w:val="en-US" w:eastAsia="zh-CN"/>
              </w:rPr>
              <w:t>estaurant</w:t>
            </w:r>
            <w:r>
              <w:rPr>
                <w:rFonts w:hint="eastAsia"/>
                <w:lang w:val="en-US" w:eastAsia="zh-CN"/>
              </w:rPr>
              <w:t>、</w:t>
            </w:r>
            <w:r>
              <w:rPr>
                <w:rFonts w:hint="default"/>
                <w:lang w:val="en-US" w:eastAsia="zh-CN"/>
              </w:rPr>
              <w:t>Parking Spot等</w:t>
            </w:r>
            <w:r>
              <w:rPr>
                <w:rFonts w:hint="eastAsia"/>
                <w:lang w:val="en-US" w:eastAsia="zh-CN"/>
              </w:rPr>
              <w:t>关键</w:t>
            </w:r>
            <w:r>
              <w:rPr>
                <w:rFonts w:hint="default"/>
                <w:lang w:val="en-US" w:eastAsia="zh-CN"/>
              </w:rPr>
              <w:t>属性的批量处理流</w:t>
            </w:r>
            <w:r>
              <w:rPr>
                <w:rFonts w:hint="eastAsia"/>
                <w:lang w:val="en-US" w:eastAsia="zh-CN"/>
              </w:rPr>
              <w:t>体系</w:t>
            </w:r>
            <w:r>
              <w:rPr>
                <w:rFonts w:hint="default"/>
                <w:lang w:val="en-US" w:eastAsia="zh-CN"/>
              </w:rPr>
              <w:t>（Bulk Operations）</w:t>
            </w:r>
            <w:r>
              <w:rPr>
                <w:rFonts w:hint="eastAsia"/>
                <w:lang w:val="en-US" w:eastAsia="zh-CN"/>
              </w:rPr>
              <w:t>，</w:t>
            </w:r>
            <w:r>
              <w:rPr>
                <w:rFonts w:hint="default"/>
                <w:b/>
                <w:bCs/>
                <w:lang w:val="en-US" w:eastAsia="zh-CN"/>
              </w:rPr>
              <w:t>将 150 家</w:t>
            </w:r>
            <w:r>
              <w:rPr>
                <w:rFonts w:hint="eastAsia"/>
                <w:b/>
                <w:bCs/>
                <w:lang w:val="en-US" w:eastAsia="zh-CN"/>
              </w:rPr>
              <w:t>HDR</w:t>
            </w:r>
            <w:r>
              <w:rPr>
                <w:rFonts w:hint="default"/>
                <w:b/>
                <w:bCs/>
                <w:lang w:val="en-US" w:eastAsia="zh-CN"/>
              </w:rPr>
              <w:t>的配置从约 2.5 小时缩短至分钟级完成，整体耗时减少约 98%，效率提升约 50 倍</w:t>
            </w:r>
            <w:r>
              <w:rPr>
                <w:rFonts w:hint="eastAsia"/>
                <w:b/>
                <w:bCs/>
                <w:lang w:val="en-US" w:eastAsia="zh-CN"/>
              </w:rPr>
              <w:t xml:space="preserve">。 </w:t>
            </w:r>
            <w:r>
              <w:rPr>
                <w:rFonts w:hint="default"/>
                <w:lang w:val="en-US" w:eastAsia="zh-CN"/>
              </w:rPr>
              <w:t>并完善 Late Night Rules 与 Restaurant Calendar Closure 等复杂业务规则。同时完成打印配置模板化能力的开发，支持配置的复用与快速应用（HDR 维度），显著降低人工配置成本，提升多门店场景下的配置效率与一致性。</w:t>
            </w:r>
          </w:p>
          <w:p w14:paraId="278977C9">
            <w:pPr>
              <w:pStyle w:val="12"/>
              <w:numPr>
                <w:ilvl w:val="0"/>
                <w:numId w:val="1"/>
              </w:numPr>
              <w:ind w:left="425" w:leftChars="0" w:hanging="425" w:firstLineChars="0"/>
              <w:rPr>
                <w:rFonts w:hint="default"/>
                <w:lang w:val="en-US" w:eastAsia="zh-CN"/>
              </w:rPr>
            </w:pPr>
            <w:r>
              <w:rPr>
                <w:rFonts w:hint="default"/>
                <w:b/>
                <w:bCs/>
                <w:lang w:val="en-US" w:eastAsia="zh-CN"/>
              </w:rPr>
              <w:t>精细化库存管理与</w:t>
            </w:r>
            <w:r>
              <w:rPr>
                <w:rFonts w:hint="eastAsia"/>
                <w:b/>
                <w:bCs/>
                <w:lang w:val="en-US" w:eastAsia="zh-CN"/>
              </w:rPr>
              <w:t>异常</w:t>
            </w:r>
            <w:r>
              <w:rPr>
                <w:rFonts w:hint="default"/>
                <w:b/>
                <w:bCs/>
                <w:lang w:val="en-US" w:eastAsia="zh-CN"/>
              </w:rPr>
              <w:t>熔断</w:t>
            </w:r>
            <w:r>
              <w:rPr>
                <w:rFonts w:hint="eastAsia"/>
                <w:b/>
                <w:bCs/>
                <w:lang w:val="en-US" w:eastAsia="zh-CN"/>
              </w:rPr>
              <w:t>能力建设</w:t>
            </w:r>
            <w:r>
              <w:rPr>
                <w:rFonts w:hint="eastAsia"/>
                <w:lang w:val="en-US" w:eastAsia="zh-CN"/>
              </w:rPr>
              <w:t xml:space="preserve">：从 0 到 1 建设由 Bulk Prep </w:t>
            </w:r>
            <w:r>
              <w:rPr>
                <w:rFonts w:hint="default"/>
                <w:lang w:val="en-US" w:eastAsia="zh-CN"/>
              </w:rPr>
              <w:t>Task</w:t>
            </w:r>
            <w:r>
              <w:rPr>
                <w:rFonts w:hint="eastAsia"/>
                <w:lang w:val="en-US" w:eastAsia="zh-CN"/>
              </w:rPr>
              <w:t>与 Hot Holding Drop构成的库存与备餐链路，实现库存与生产环节的精细化管理；同时构建异常快速熔断机制</w:t>
            </w:r>
            <w:r>
              <w:rPr>
                <w:rFonts w:hint="default"/>
                <w:lang w:val="en-US" w:eastAsia="zh-CN"/>
              </w:rPr>
              <w:t xml:space="preserve">（Mark </w:t>
            </w:r>
            <w:r>
              <w:rPr>
                <w:rFonts w:hint="eastAsia"/>
                <w:lang w:val="en-US" w:eastAsia="zh-CN"/>
              </w:rPr>
              <w:t>Com</w:t>
            </w:r>
            <w:r>
              <w:rPr>
                <w:rFonts w:hint="default"/>
                <w:lang w:val="en-US" w:eastAsia="zh-CN"/>
              </w:rPr>
              <w:t>ponent As OOS &amp; Appliance Down）</w:t>
            </w:r>
            <w:r>
              <w:rPr>
                <w:rFonts w:hint="eastAsia"/>
                <w:lang w:val="en-US" w:eastAsia="zh-CN"/>
              </w:rPr>
              <w:t>，</w:t>
            </w:r>
            <w:r>
              <w:rPr>
                <w:rFonts w:hint="default"/>
                <w:lang w:val="en-US" w:eastAsia="zh-CN"/>
              </w:rPr>
              <w:t>提升系统在突发场景下的响应能力与业务稳定性。将原先逐条查询并标记 OOS 的流程优化为批量处理，显著降低人工操作成本，处理时间由分钟级降至秒级，效率提升达</w:t>
            </w:r>
            <w:r>
              <w:rPr>
                <w:rFonts w:hint="default"/>
                <w:b/>
                <w:bCs/>
                <w:lang w:val="en-US" w:eastAsia="zh-CN"/>
              </w:rPr>
              <w:t>百倍级。</w:t>
            </w:r>
          </w:p>
          <w:p w14:paraId="54F8EF93">
            <w:pPr>
              <w:pStyle w:val="12"/>
              <w:numPr>
                <w:ilvl w:val="0"/>
                <w:numId w:val="1"/>
              </w:numPr>
              <w:ind w:left="425" w:leftChars="0" w:hanging="425" w:firstLineChars="0"/>
              <w:rPr>
                <w:rFonts w:hint="default"/>
                <w:lang w:val="en-US" w:eastAsia="zh-CN"/>
              </w:rPr>
            </w:pPr>
            <w:r>
              <w:rPr>
                <w:rFonts w:hint="default"/>
                <w:lang w:val="en-US" w:eastAsia="zh-CN"/>
              </w:rPr>
              <w:t>底层数据资产治理与物流逻辑解耦：配合预测部门（Forecasting team）的老系统下线，主导梳理并重构了从中央仓（DISH）发往各门店（HDR）的物料（SKU）调拨入库逻辑，完成了底层复杂多表关联关系的数据抽取与扁平化设计。</w:t>
            </w:r>
          </w:p>
          <w:p w14:paraId="0C781F06">
            <w:pPr>
              <w:pStyle w:val="12"/>
              <w:numPr>
                <w:ilvl w:val="0"/>
                <w:numId w:val="2"/>
              </w:numPr>
              <w:ind w:left="0" w:leftChars="0" w:firstLine="0" w:firstLineChars="0"/>
              <w:rPr>
                <w:rFonts w:hint="default"/>
                <w:b/>
                <w:bCs/>
                <w:lang w:val="en-US" w:eastAsia="zh-CN"/>
              </w:rPr>
            </w:pPr>
            <w:r>
              <w:rPr>
                <w:rFonts w:hint="default"/>
                <w:b/>
                <w:bCs/>
                <w:lang w:val="en-US" w:eastAsia="zh-CN"/>
              </w:rPr>
              <w:t>工作成果</w:t>
            </w:r>
          </w:p>
          <w:p w14:paraId="6EC59249">
            <w:pPr>
              <w:pStyle w:val="12"/>
              <w:widowControl w:val="0"/>
              <w:numPr>
                <w:ilvl w:val="0"/>
                <w:numId w:val="3"/>
              </w:numPr>
              <w:ind w:left="425" w:leftChars="0" w:hanging="425" w:firstLineChars="0"/>
              <w:contextualSpacing/>
              <w:jc w:val="both"/>
              <w:rPr>
                <w:rFonts w:hint="default"/>
                <w:b/>
                <w:bCs/>
                <w:lang w:val="en-US" w:eastAsia="zh-CN"/>
              </w:rPr>
            </w:pPr>
            <w:r>
              <w:rPr>
                <w:rFonts w:hint="default"/>
                <w:b/>
                <w:bCs/>
                <w:lang w:val="en-US" w:eastAsia="zh-CN"/>
              </w:rPr>
              <w:t>规模化运营基建</w:t>
            </w:r>
            <w:r>
              <w:rPr>
                <w:rFonts w:hint="eastAsia"/>
                <w:b/>
                <w:bCs/>
                <w:lang w:val="en-US" w:eastAsia="zh-CN"/>
              </w:rPr>
              <w:t>建设</w:t>
            </w:r>
            <w:r>
              <w:rPr>
                <w:rFonts w:hint="default"/>
                <w:b/>
                <w:bCs/>
                <w:lang w:val="en-US" w:eastAsia="zh-CN"/>
              </w:rPr>
              <w:t>，支撑业务</w:t>
            </w:r>
            <w:r>
              <w:rPr>
                <w:rFonts w:hint="eastAsia"/>
                <w:b/>
                <w:bCs/>
                <w:lang w:val="en-US" w:eastAsia="zh-CN"/>
              </w:rPr>
              <w:t>快速</w:t>
            </w:r>
            <w:r>
              <w:rPr>
                <w:rFonts w:hint="default"/>
                <w:b/>
                <w:bCs/>
                <w:lang w:val="en-US" w:eastAsia="zh-CN"/>
              </w:rPr>
              <w:t>扩张</w:t>
            </w:r>
            <w:r>
              <w:rPr>
                <w:rFonts w:hint="default"/>
                <w:lang w:val="en-US" w:eastAsia="zh-CN"/>
              </w:rPr>
              <w:t>：针对多门店扩张过程中人工逐店配置的效率瓶颈，主导</w:t>
            </w:r>
            <w:r>
              <w:rPr>
                <w:rFonts w:hint="eastAsia"/>
                <w:lang w:val="en-US" w:eastAsia="zh-CN"/>
              </w:rPr>
              <w:t>构建</w:t>
            </w:r>
            <w:r>
              <w:rPr>
                <w:rFonts w:hint="default"/>
                <w:lang w:val="en-US" w:eastAsia="zh-CN"/>
              </w:rPr>
              <w:t>跨</w:t>
            </w:r>
            <w:r>
              <w:rPr>
                <w:rFonts w:hint="eastAsia"/>
                <w:lang w:val="en-US" w:eastAsia="zh-CN"/>
              </w:rPr>
              <w:t>HDR</w:t>
            </w:r>
            <w:r>
              <w:rPr>
                <w:rFonts w:hint="default"/>
                <w:lang w:val="en-US" w:eastAsia="zh-CN"/>
              </w:rPr>
              <w:t>/同HDR的批量</w:t>
            </w:r>
            <w:r>
              <w:rPr>
                <w:rFonts w:hint="eastAsia"/>
                <w:lang w:val="en-US" w:eastAsia="zh-CN"/>
              </w:rPr>
              <w:t xml:space="preserve">运营配置体系（Service Time / Assign </w:t>
            </w:r>
            <w:r>
              <w:rPr>
                <w:rFonts w:hint="default"/>
                <w:lang w:val="en-US" w:eastAsia="zh-CN"/>
              </w:rPr>
              <w:t xml:space="preserve"> Restaurant</w:t>
            </w:r>
            <w:r>
              <w:rPr>
                <w:rFonts w:hint="eastAsia"/>
                <w:lang w:val="en-US" w:eastAsia="zh-CN"/>
              </w:rPr>
              <w:t xml:space="preserve">/ Go Live </w:t>
            </w:r>
            <w:r>
              <w:rPr>
                <w:rFonts w:hint="default"/>
                <w:lang w:val="en-US" w:eastAsia="zh-CN"/>
              </w:rPr>
              <w:t>Date</w:t>
            </w:r>
            <w:r>
              <w:rPr>
                <w:rFonts w:hint="eastAsia"/>
                <w:lang w:val="en-US" w:eastAsia="zh-CN"/>
              </w:rPr>
              <w:t>/ Parking Spot）</w:t>
            </w:r>
            <w:r>
              <w:rPr>
                <w:rFonts w:hint="default"/>
                <w:lang w:val="en-US" w:eastAsia="zh-CN"/>
              </w:rPr>
              <w:t>。通过将线性操作（逐店配置）优化为批量处理能力，</w:t>
            </w:r>
            <w:r>
              <w:rPr>
                <w:rFonts w:hint="default"/>
                <w:b/>
                <w:bCs/>
                <w:lang w:val="en-US" w:eastAsia="zh-CN"/>
              </w:rPr>
              <w:t>配置时间由小时级降至分钟级，整体效率提升数十倍，显著提升开城拓店的交付能力。</w:t>
            </w:r>
          </w:p>
          <w:p w14:paraId="45C2B7CF">
            <w:pPr>
              <w:pStyle w:val="12"/>
              <w:widowControl w:val="0"/>
              <w:numPr>
                <w:ilvl w:val="0"/>
                <w:numId w:val="3"/>
              </w:numPr>
              <w:ind w:left="425" w:leftChars="0" w:hanging="425" w:firstLineChars="0"/>
              <w:contextualSpacing/>
              <w:jc w:val="both"/>
              <w:rPr>
                <w:rFonts w:hint="default"/>
                <w:b/>
                <w:bCs/>
                <w:lang w:val="en-US" w:eastAsia="zh-CN"/>
              </w:rPr>
            </w:pPr>
            <w:r>
              <w:rPr>
                <w:rFonts w:hint="default"/>
                <w:b/>
                <w:bCs/>
                <w:lang w:val="en-US" w:eastAsia="zh-CN"/>
              </w:rPr>
              <w:t>数据驱动的后厨生产与库存协同体系：</w:t>
            </w:r>
            <w:r>
              <w:rPr>
                <w:rFonts w:hint="default"/>
                <w:lang w:val="en-US" w:eastAsia="zh-CN"/>
              </w:rPr>
              <w:t>针对后厨生产长期依赖人工经验、预测与库存数据割裂的问题，从 0 到 1 构建 Bulk Prep 与 Hot Holding Drop 任务体系，打通预测→库存→生产的全链路闭环。通过自动化任务下发与执行追踪，将备餐决策由经验驱动升级为数据驱动，</w:t>
            </w:r>
            <w:r>
              <w:rPr>
                <w:rFonts w:hint="default"/>
                <w:b/>
                <w:bCs/>
                <w:lang w:val="en-US" w:eastAsia="zh-CN"/>
              </w:rPr>
              <w:t>实现生产节奏前置，显著提升出餐效率，同时减少无效备餐带来的库存损耗。</w:t>
            </w:r>
          </w:p>
          <w:p w14:paraId="2A3611F8">
            <w:pPr>
              <w:pStyle w:val="12"/>
              <w:widowControl w:val="0"/>
              <w:numPr>
                <w:ilvl w:val="0"/>
                <w:numId w:val="3"/>
              </w:numPr>
              <w:ind w:left="425" w:leftChars="0" w:hanging="425" w:firstLineChars="0"/>
              <w:contextualSpacing/>
              <w:jc w:val="both"/>
              <w:rPr>
                <w:rFonts w:hint="default"/>
                <w:b/>
                <w:bCs/>
                <w:lang w:val="en-US" w:eastAsia="zh-CN"/>
              </w:rPr>
            </w:pPr>
            <w:r>
              <w:rPr>
                <w:rFonts w:hint="default"/>
                <w:b/>
                <w:bCs/>
                <w:lang w:val="en-US" w:eastAsia="zh-CN"/>
              </w:rPr>
              <w:t>面向稳定性的业务熔断与风险隔离体系</w:t>
            </w:r>
            <w:r>
              <w:rPr>
                <w:rFonts w:hint="eastAsia"/>
                <w:b/>
                <w:bCs/>
                <w:lang w:val="en-US" w:eastAsia="zh-CN"/>
              </w:rPr>
              <w:t>：</w:t>
            </w:r>
            <w:r>
              <w:rPr>
                <w:rFonts w:hint="eastAsia"/>
                <w:lang w:val="en-US" w:eastAsia="zh-CN"/>
              </w:rPr>
              <w:t>针对设备故障（Appliance</w:t>
            </w:r>
            <w:r>
              <w:rPr>
                <w:rFonts w:hint="default"/>
                <w:lang w:val="en-US" w:eastAsia="zh-CN"/>
              </w:rPr>
              <w:t xml:space="preserve"> Down)</w:t>
            </w:r>
            <w:r>
              <w:rPr>
                <w:rFonts w:hint="eastAsia"/>
                <w:lang w:val="en-US" w:eastAsia="zh-CN"/>
              </w:rPr>
              <w:t>与原料短缺</w:t>
            </w:r>
            <w:r>
              <w:rPr>
                <w:rFonts w:hint="default"/>
                <w:lang w:val="en-US" w:eastAsia="zh-CN"/>
              </w:rPr>
              <w:t>(Conpoment OOS)</w:t>
            </w:r>
            <w:r>
              <w:rPr>
                <w:rFonts w:hint="eastAsia"/>
                <w:lang w:val="en-US" w:eastAsia="zh-CN"/>
              </w:rPr>
              <w:t>等突发场景，主导设计并实现基于后厨资产与物料依赖关系的级联熔断机制，打通门店侧异常感知与 OMS 履约链路。系统可在异常发生时自动完成影响范围识别与菜单级批量隔离，并支持跨门店的统一调度控制（Bulk Open/Close HDRs），将原有依赖人工判断与逐条处理的方式升级为自动化决策与批量执行。</w:t>
            </w:r>
            <w:r>
              <w:rPr>
                <w:rFonts w:hint="eastAsia"/>
                <w:b/>
                <w:bCs/>
                <w:lang w:val="en-US" w:eastAsia="zh-CN"/>
              </w:rPr>
              <w:t>实现异常处理由分钟级降至秒级，显著提升系统在极端场景下的稳定性与恢复能力，有效降低履约失败与客诉风险。</w:t>
            </w:r>
          </w:p>
          <w:p w14:paraId="78BDF1BE">
            <w:pPr>
              <w:pStyle w:val="12"/>
              <w:widowControl w:val="0"/>
              <w:numPr>
                <w:ilvl w:val="0"/>
                <w:numId w:val="3"/>
              </w:numPr>
              <w:ind w:left="425" w:leftChars="0" w:hanging="425" w:firstLineChars="0"/>
              <w:contextualSpacing/>
              <w:jc w:val="both"/>
              <w:rPr>
                <w:rFonts w:hint="default"/>
                <w:b/>
                <w:bCs/>
                <w:lang w:val="en-US" w:eastAsia="zh-CN"/>
              </w:rPr>
            </w:pPr>
            <w:r>
              <w:rPr>
                <w:rFonts w:hint="default"/>
                <w:b/>
                <w:bCs/>
                <w:lang w:val="en-US" w:eastAsia="zh-CN"/>
              </w:rPr>
              <w:t>三层数据归档架构设计与系统降负优化：</w:t>
            </w:r>
            <w:r>
              <w:rPr>
                <w:rFonts w:hint="default"/>
                <w:lang w:val="en-US" w:eastAsia="zh-CN"/>
              </w:rPr>
              <w:t xml:space="preserve"> 针对核心业务表规模快速增长带来的查询性能下降与存储成本失控问题，主导设计并落地冷热温三级数据归档架构（Hot / Warm / Cold）。通过热数据分层裁剪（6 个月内数据保留）优化高并发查询性能，引入温数据层（6~12 个月）支持历史数据回溯与业务订正，同时将冷数据异步归档至 Azure Blob Storage，实现存储与计算的解耦。该方案在不影响核心业务访问能力的前提下，</w:t>
            </w:r>
            <w:r>
              <w:rPr>
                <w:rFonts w:hint="default"/>
                <w:b/>
                <w:bCs/>
                <w:lang w:val="en-US" w:eastAsia="zh-CN"/>
              </w:rPr>
              <w:t>显著提升系统查询稳定性，并有效遏制数据库存储成本的持续增长实现基础设施层面的长期降本与性能优化。</w:t>
            </w:r>
          </w:p>
          <w:p w14:paraId="2524B8B1">
            <w:pPr>
              <w:pStyle w:val="12"/>
              <w:widowControl w:val="0"/>
              <w:numPr>
                <w:ilvl w:val="0"/>
                <w:numId w:val="3"/>
              </w:numPr>
              <w:ind w:left="425" w:leftChars="0" w:hanging="425" w:firstLineChars="0"/>
              <w:contextualSpacing/>
              <w:jc w:val="both"/>
              <w:rPr>
                <w:rFonts w:hint="default"/>
                <w:b/>
                <w:bCs/>
                <w:lang w:val="en-US" w:eastAsia="zh-CN"/>
              </w:rPr>
            </w:pPr>
            <w:r>
              <w:rPr>
                <w:rFonts w:hint="default"/>
                <w:b/>
                <w:bCs/>
                <w:lang w:val="en-US" w:eastAsia="zh-CN"/>
              </w:rPr>
              <w:t>供应链数据模型重构与系统解耦治理：</w:t>
            </w:r>
            <w:r>
              <w:rPr>
                <w:rFonts w:hint="default"/>
                <w:lang w:val="en-US" w:eastAsia="zh-CN"/>
              </w:rPr>
              <w:t>针对中央仓至门店履约链路中历史遗留的高耦合数据结构问题（烹饪组、BOM 与路由逻辑强绑定，导致溯源困难与维护成本高），主导完成底层数据架构重构与解耦治理。将原有复杂动态推算体系重构为以 SKU × Pod 属地关系为核心的扁平化事实模型，并统一沉淀至 BigQuery 数据平台，实现供应链核心数据资产的结构化治理。该方案不仅为预测系统旧架构下线提供关键数据支撑，同时显著提升门店收货核对规范性与数据一致性，</w:t>
            </w:r>
            <w:r>
              <w:rPr>
                <w:rFonts w:hint="default"/>
                <w:b/>
                <w:bCs/>
                <w:lang w:val="en-US" w:eastAsia="zh-CN"/>
              </w:rPr>
              <w:t>完成供应链数据链路从“逻辑耦合模型”向“标准化数据资产”的升级。</w:t>
            </w:r>
          </w:p>
          <w:p w14:paraId="449CF77D">
            <w:pPr>
              <w:pStyle w:val="12"/>
              <w:numPr>
                <w:ilvl w:val="0"/>
                <w:numId w:val="0"/>
              </w:numPr>
              <w:ind w:leftChars="0"/>
              <w:rPr>
                <w:rFonts w:hint="default"/>
                <w:b/>
                <w:bCs/>
                <w:lang w:val="en-US" w:eastAsia="zh-CN"/>
              </w:rPr>
            </w:pPr>
            <w:r>
              <w:rPr>
                <w:rFonts w:hint="default"/>
                <w:b/>
                <w:bCs/>
                <w:lang w:val="en-US" w:eastAsia="zh-CN"/>
              </w:rPr>
              <w:t>三、个人优点</w:t>
            </w:r>
          </w:p>
          <w:p w14:paraId="56C5140E">
            <w:pPr>
              <w:pStyle w:val="12"/>
              <w:numPr>
                <w:ilvl w:val="0"/>
                <w:numId w:val="0"/>
              </w:numPr>
              <w:ind w:leftChars="0"/>
              <w:rPr>
                <w:rFonts w:hint="default"/>
                <w:lang w:val="en-US" w:eastAsia="zh-CN"/>
              </w:rPr>
            </w:pPr>
            <w:r>
              <w:rPr>
                <w:rFonts w:hint="default"/>
                <w:lang w:val="en-US" w:eastAsia="zh-CN"/>
              </w:rPr>
              <w:t>具备较强的自驱学习与工程落地能力</w:t>
            </w:r>
            <w:r>
              <w:rPr>
                <w:rFonts w:hint="eastAsia"/>
                <w:lang w:val="en-US" w:eastAsia="zh-CN"/>
              </w:rPr>
              <w:t>，</w:t>
            </w:r>
            <w:r>
              <w:rPr>
                <w:rFonts w:hint="default"/>
                <w:lang w:val="en-US" w:eastAsia="zh-CN"/>
              </w:rPr>
              <w:t>积极主动学习 DevOps 技术栈，通过参加线上课程、阅读专业书籍以及向同事请教等方式，快速掌握了相关工具的使用方法。在问题排查时，利用 DevOps 工具进行日志分析和性能监控，能够快速定位问题根源，及时解决问题，有效提升了工作效率。</w:t>
            </w:r>
          </w:p>
          <w:p w14:paraId="29F9831F">
            <w:pPr>
              <w:pStyle w:val="12"/>
              <w:ind w:left="0" w:leftChars="0" w:firstLine="0" w:firstLineChars="0"/>
              <w:rPr>
                <w:rFonts w:hint="default"/>
                <w:b/>
                <w:bCs/>
                <w:lang w:val="en-US" w:eastAsia="zh-CN"/>
              </w:rPr>
            </w:pPr>
            <w:r>
              <w:rPr>
                <w:rFonts w:hint="default"/>
                <w:b/>
                <w:bCs/>
                <w:lang w:val="en-US" w:eastAsia="zh-CN"/>
              </w:rPr>
              <w:t>四、存在的不足</w:t>
            </w:r>
          </w:p>
          <w:p w14:paraId="048FFBD9">
            <w:pPr>
              <w:pStyle w:val="12"/>
              <w:numPr>
                <w:ilvl w:val="0"/>
                <w:numId w:val="4"/>
              </w:numPr>
              <w:ind w:left="0" w:leftChars="0" w:firstLine="0" w:firstLineChars="0"/>
              <w:rPr>
                <w:rFonts w:hint="default"/>
                <w:lang w:val="en-US" w:eastAsia="zh-CN"/>
              </w:rPr>
            </w:pPr>
            <w:r>
              <w:rPr>
                <w:rFonts w:hint="default"/>
                <w:lang w:val="en-US" w:eastAsia="zh-CN"/>
              </w:rPr>
              <w:t>对 datadog 的使用还不够熟悉，在性能监控和故障排查方面的应用能力有待提高。后续我将加强学习，通过实际操作和案例分析，尽快掌握 datadog 的高级功能。</w:t>
            </w:r>
          </w:p>
          <w:p w14:paraId="3CBEC88E">
            <w:pPr>
              <w:pStyle w:val="12"/>
              <w:numPr>
                <w:ilvl w:val="0"/>
                <w:numId w:val="4"/>
              </w:numPr>
              <w:ind w:left="0" w:leftChars="0" w:firstLine="0" w:firstLineChars="0"/>
              <w:rPr>
                <w:rFonts w:hint="default"/>
                <w:lang w:val="en-US" w:eastAsia="zh-CN"/>
              </w:rPr>
            </w:pPr>
            <w:r>
              <w:rPr>
                <w:rFonts w:hint="default"/>
                <w:lang w:val="en-US" w:eastAsia="zh-CN"/>
              </w:rPr>
              <w:t>在性能优化方面参与的 ticket 较少，对系统性能优化的深度和广度还不够。接下来我会主动关注性能优化相关的任务，深入学习性能优化技术和方法，为提升系统性能贡献更多力量。</w:t>
            </w:r>
          </w:p>
          <w:p w14:paraId="7BBEB204">
            <w:pPr>
              <w:pStyle w:val="12"/>
              <w:ind w:left="0" w:leftChars="0" w:firstLine="0" w:firstLineChars="0"/>
              <w:rPr>
                <w:rFonts w:hint="default"/>
                <w:b/>
                <w:bCs/>
                <w:lang w:val="en-US" w:eastAsia="zh-CN"/>
              </w:rPr>
            </w:pPr>
            <w:r>
              <w:rPr>
                <w:rFonts w:hint="default"/>
                <w:b/>
                <w:bCs/>
                <w:lang w:val="en-US" w:eastAsia="zh-CN"/>
              </w:rPr>
              <w:t>五、对团队的建议</w:t>
            </w:r>
          </w:p>
          <w:p w14:paraId="5BFF89E4">
            <w:pPr>
              <w:pStyle w:val="12"/>
              <w:numPr>
                <w:ilvl w:val="0"/>
                <w:numId w:val="5"/>
              </w:numPr>
              <w:ind w:left="425" w:leftChars="0" w:hanging="425" w:firstLineChars="0"/>
              <w:rPr>
                <w:rFonts w:hint="eastAsia"/>
                <w:lang w:val="en-US" w:eastAsia="zh-CN"/>
              </w:rPr>
            </w:pPr>
            <w:r>
              <w:rPr>
                <w:rFonts w:hint="eastAsia"/>
                <w:b/>
                <w:bCs/>
                <w:lang w:val="en-US" w:eastAsia="zh-CN"/>
              </w:rPr>
              <w:t>提升团队 AI 工具使用能力</w:t>
            </w:r>
            <w:r>
              <w:rPr>
                <w:rFonts w:hint="eastAsia"/>
                <w:lang w:val="en-US" w:eastAsia="zh-CN"/>
              </w:rPr>
              <w:t>：建议团队系统性提升 AI 工具在研发流程中的应用能力，通过沉淀最佳实践与经验分享，推动 AI 在开发、调试与文档等场景中的落地使用，从而持续提升整体研发效率。</w:t>
            </w:r>
          </w:p>
          <w:p w14:paraId="05B3B45C">
            <w:pPr>
              <w:pStyle w:val="12"/>
              <w:numPr>
                <w:ilvl w:val="0"/>
                <w:numId w:val="5"/>
              </w:numPr>
              <w:ind w:left="425" w:leftChars="0" w:hanging="425" w:firstLineChars="0"/>
              <w:rPr>
                <w:rFonts w:hint="eastAsia"/>
                <w:lang w:val="en-US" w:eastAsia="zh-CN"/>
              </w:rPr>
            </w:pPr>
            <w:r>
              <w:rPr>
                <w:rFonts w:hint="eastAsia"/>
                <w:b/>
                <w:bCs/>
                <w:lang w:val="en-US" w:eastAsia="zh-CN"/>
              </w:rPr>
              <w:t>完善项目文档管理</w:t>
            </w:r>
            <w:r>
              <w:rPr>
                <w:rFonts w:hint="eastAsia"/>
                <w:lang w:val="en-US" w:eastAsia="zh-CN"/>
              </w:rPr>
              <w:t>：建议建立统一、规范的项目文档管理机制，确保各项目具备完整、准确且持续更新的文档体系，不仅便于新成员快速理解系统与业务，也能为后续系统维护与功能迭代提供有效支撑。</w:t>
            </w:r>
          </w:p>
          <w:p w14:paraId="0076B4AD">
            <w:pPr>
              <w:pStyle w:val="12"/>
              <w:numPr>
                <w:ilvl w:val="0"/>
                <w:numId w:val="5"/>
              </w:numPr>
              <w:ind w:left="425" w:leftChars="0" w:hanging="425" w:firstLineChars="0"/>
              <w:rPr>
                <w:rFonts w:hint="eastAsia"/>
                <w:lang w:val="en-US" w:eastAsia="zh-CN"/>
              </w:rPr>
            </w:pPr>
            <w:r>
              <w:rPr>
                <w:rFonts w:hint="eastAsia"/>
                <w:b/>
                <w:bCs/>
                <w:lang w:val="en-US" w:eastAsia="zh-CN"/>
              </w:rPr>
              <w:t>优化团队协作与测试前置机制</w:t>
            </w:r>
            <w:r>
              <w:rPr>
                <w:rFonts w:hint="eastAsia"/>
                <w:lang w:val="en-US" w:eastAsia="zh-CN"/>
              </w:rPr>
              <w:t>：建议推动 QA 在大功能开发阶段前置参与，提前完成测试用例设计与评审，实现测试前移，从而提升整体交付质量与协作效率，降低后期返工风险。</w:t>
            </w:r>
          </w:p>
          <w:p w14:paraId="682644F3">
            <w:pPr>
              <w:pStyle w:val="12"/>
              <w:ind w:left="0" w:leftChars="0" w:firstLine="0" w:firstLineChars="0"/>
            </w:pPr>
            <w:r>
              <w:rPr>
                <w:rFonts w:hint="default"/>
              </w:rPr>
              <w:t>展望未来，我将持续提升专业能力与系统设计能力，深化在核心业务领域的技术积累，进一步提升系统架构与工程落地能力，为公司业务发展提供更高质量的技术支撑。</w:t>
            </w:r>
          </w:p>
        </w:tc>
      </w:tr>
      <w:tr w14:paraId="482B503D">
        <w:trPr>
          <w:trHeight w:val="2585" w:hRule="atLeast"/>
        </w:trPr>
        <w:tc>
          <w:tcPr>
            <w:tcW w:w="8296" w:type="dxa"/>
            <w:gridSpan w:val="4"/>
          </w:tcPr>
          <w:p w14:paraId="48353174">
            <w:pPr>
              <w:pStyle w:val="7"/>
              <w:keepNext w:val="0"/>
              <w:keepLines w:val="0"/>
              <w:widowControl/>
              <w:suppressLineNumbers w:val="0"/>
              <w:spacing w:before="0" w:beforeAutospacing="0" w:after="0" w:afterAutospacing="0"/>
              <w:ind w:left="0" w:right="0"/>
              <w:jc w:val="left"/>
              <w:rPr>
                <w:rFonts w:hint="default"/>
                <w:b/>
                <w:bCs/>
                <w:lang w:val="en-US"/>
              </w:rPr>
            </w:pPr>
            <w:r>
              <w:rPr>
                <w:rFonts w:hint="default"/>
                <w:b/>
                <w:bCs/>
                <w:lang w:val="en-US"/>
              </w:rPr>
              <w:t>Dear Leadership:</w:t>
            </w:r>
          </w:p>
          <w:p w14:paraId="04BA4F44">
            <w:pPr>
              <w:pStyle w:val="7"/>
              <w:keepNext w:val="0"/>
              <w:keepLines w:val="0"/>
              <w:widowControl/>
              <w:suppressLineNumbers w:val="0"/>
              <w:spacing w:before="0" w:beforeAutospacing="0" w:after="0" w:afterAutospacing="0"/>
              <w:ind w:left="0" w:right="0"/>
              <w:jc w:val="left"/>
              <w:rPr>
                <w:rFonts w:hint="default"/>
                <w:lang w:val="en-US"/>
              </w:rPr>
            </w:pPr>
            <w:r>
              <w:rPr>
                <w:rFonts w:hint="default"/>
                <w:lang w:val="en-US"/>
              </w:rPr>
              <w:t>Time flies; I have now spent six fulfilling and meaningful years at this company. As I look back on 2025, I am filled with gratitude for the unwavering support and assistance I have received from both leadership and my colleagues throughout this time. The following is my annual work summary for 2025:</w:t>
            </w:r>
          </w:p>
          <w:p w14:paraId="0729F45C">
            <w:pPr>
              <w:pStyle w:val="7"/>
              <w:keepNext w:val="0"/>
              <w:keepLines w:val="0"/>
              <w:widowControl/>
              <w:suppressLineNumbers w:val="0"/>
              <w:spacing w:before="0" w:beforeAutospacing="0" w:after="0" w:afterAutospacing="0"/>
              <w:ind w:left="0" w:right="0"/>
              <w:jc w:val="left"/>
              <w:rPr>
                <w:rFonts w:hint="default"/>
                <w:b/>
                <w:bCs/>
                <w:lang w:val="en-US"/>
              </w:rPr>
            </w:pPr>
            <w:r>
              <w:rPr>
                <w:rFonts w:hint="default"/>
                <w:b/>
                <w:bCs/>
                <w:lang w:val="en-US"/>
              </w:rPr>
              <w:t>I. Key Work Responsibilities</w:t>
            </w:r>
          </w:p>
          <w:p w14:paraId="578A3507">
            <w:pPr>
              <w:pStyle w:val="7"/>
              <w:keepNext w:val="0"/>
              <w:keepLines w:val="0"/>
              <w:widowControl/>
              <w:suppressLineNumbers w:val="0"/>
              <w:spacing w:before="0" w:beforeAutospacing="0" w:after="0" w:afterAutospacing="0"/>
              <w:ind w:left="0" w:right="0"/>
              <w:jc w:val="left"/>
              <w:rPr>
                <w:rFonts w:hint="default"/>
                <w:lang w:val="en-US"/>
              </w:rPr>
            </w:pPr>
            <w:r>
              <w:rPr>
                <w:rFonts w:hint="default"/>
                <w:lang w:val="en-US"/>
              </w:rPr>
              <w:t>Over the past year, I continued to deepen my focus on our core business systems (HDR Portal / KOM / Delivery Zone). Centering on scalable expansion, configuration governance, and underlying capability building, I spearheaded multiple "Epic"-level initiatives involving cross-system integration, as well as critical technical optimizations. These efforts effectively supported the rapid expansion of our business operations and facilitated more refined operational management. My key contributions are outlined below:</w:t>
            </w:r>
          </w:p>
          <w:p w14:paraId="4A644C7A">
            <w:pPr>
              <w:pStyle w:val="7"/>
              <w:keepNext w:val="0"/>
              <w:keepLines w:val="0"/>
              <w:widowControl/>
              <w:suppressLineNumbers w:val="0"/>
              <w:spacing w:before="0" w:beforeAutospacing="0" w:after="0" w:afterAutospacing="0"/>
              <w:ind w:left="0" w:right="0"/>
              <w:jc w:val="left"/>
              <w:rPr>
                <w:rFonts w:hint="default"/>
                <w:lang w:val="en-US"/>
              </w:rPr>
            </w:pPr>
            <w:r>
              <w:rPr>
                <w:rFonts w:hint="default"/>
                <w:lang w:val="en-US"/>
              </w:rPr>
              <w:t>1. Scalable Store Infrastructure and Configuration Governance: I established scalable management capabilities for core store configurations, developing a comprehensive "Bulk Operations" workflow system covering critical attributes such as Restaurant Service Time, Restaurant Go Live Date, Restaurant Assignments, and Parking Spots. This system reduced the configuration time for 150 HDR locations from approximately 2.5 hours to a matter of minutes—cutting overall processing time by roughly 98% and boosting efficiency by a factor of 50. Additionally, I refined complex business rules, including "Late Night Rules" and "Restaurant Calendar Closures." Concurrently, I completed the development of a templating capability for printer configurations, enabling the reusability and rapid application of settings (at the HDR level); this significantly reduced manual configuration costs while enhancing both efficiency and consistency across multi-store environments.</w:t>
            </w:r>
          </w:p>
          <w:p w14:paraId="65484C46">
            <w:pPr>
              <w:pStyle w:val="7"/>
              <w:keepNext w:val="0"/>
              <w:keepLines w:val="0"/>
              <w:widowControl/>
              <w:suppressLineNumbers w:val="0"/>
              <w:spacing w:before="0" w:beforeAutospacing="0" w:after="0" w:afterAutospacing="0"/>
              <w:ind w:left="0" w:right="0"/>
              <w:jc w:val="left"/>
              <w:rPr>
                <w:rFonts w:hint="default"/>
                <w:lang w:val="en-US"/>
              </w:rPr>
            </w:pPr>
            <w:r>
              <w:rPr>
                <w:rFonts w:hint="default"/>
                <w:lang w:val="en-US"/>
              </w:rPr>
              <w:t xml:space="preserve">2. Refined Inventory Management and Anomaly Circuit-Breaking Capabilities: I built—from the ground up—an end-to-end inventory and meal-prep pipeline comprising "Bulk Prep Tasks" and "Hot Holding Drops," thereby enabling granular management of inventory and production workflows. Simultaneously, I established a rapid anomaly circuit-breaking mechanism (specifically, the "Mark Component As OOS" and "Appliance Down" features) to enhance the system's responsiveness and business stability during unforeseen incidents. I optimized the original process—which required individually querying and marking items as "Out of Stock" (OOS)—into a batch-processing workflow. This optimization significantly reduced manual operational costs, cut processing times from minutes down to seconds, and achieved an efficiency improvement of over 100-fold. </w:t>
            </w:r>
          </w:p>
          <w:p w14:paraId="51A74780">
            <w:pPr>
              <w:pStyle w:val="7"/>
              <w:keepNext w:val="0"/>
              <w:keepLines w:val="0"/>
              <w:widowControl/>
              <w:suppressLineNumbers w:val="0"/>
              <w:spacing w:before="0" w:beforeAutospacing="0" w:after="0" w:afterAutospacing="0"/>
              <w:ind w:left="0" w:right="0"/>
              <w:jc w:val="left"/>
              <w:rPr>
                <w:rFonts w:hint="default"/>
                <w:lang w:val="en-US"/>
              </w:rPr>
            </w:pPr>
            <w:r>
              <w:rPr>
                <w:rFonts w:hint="default"/>
                <w:lang w:val="en-US"/>
              </w:rPr>
              <w:t>3. Decoupling of Underlying Data Asset Governance and Logistics Logic: In conjunction with the Forecasting Team’s decommissioning of legacy systems, I spearheaded the review and reconstruction of the logic governing the transfer and inbound receipt of materials (SKUs) from the Central Warehouse (DISH) to individual stores (HDRs). This initiative involved completing the data extraction and flattening design for complex, multi-table relational structures at the underlying data layer.</w:t>
            </w:r>
          </w:p>
          <w:p w14:paraId="6B44CFE8">
            <w:pPr>
              <w:pStyle w:val="7"/>
              <w:keepNext w:val="0"/>
              <w:keepLines w:val="0"/>
              <w:widowControl/>
              <w:suppressLineNumbers w:val="0"/>
              <w:spacing w:before="0" w:beforeAutospacing="0" w:after="0" w:afterAutospacing="0"/>
              <w:ind w:left="0" w:right="0"/>
              <w:jc w:val="left"/>
              <w:rPr>
                <w:rFonts w:hint="default"/>
                <w:b/>
                <w:bCs/>
                <w:lang w:val="en-US"/>
              </w:rPr>
            </w:pPr>
            <w:r>
              <w:rPr>
                <w:rFonts w:hint="default"/>
                <w:b/>
                <w:bCs/>
                <w:lang w:val="en-US"/>
              </w:rPr>
              <w:t>II. Key Achievements</w:t>
            </w:r>
          </w:p>
          <w:p w14:paraId="1399300F">
            <w:pPr>
              <w:pStyle w:val="7"/>
              <w:keepNext w:val="0"/>
              <w:keepLines w:val="0"/>
              <w:widowControl/>
              <w:suppressLineNumbers w:val="0"/>
              <w:spacing w:before="0" w:beforeAutospacing="0" w:after="0" w:afterAutospacing="0"/>
              <w:ind w:left="0" w:right="0"/>
              <w:jc w:val="left"/>
              <w:rPr>
                <w:rFonts w:hint="default"/>
                <w:lang w:val="en-US"/>
              </w:rPr>
            </w:pPr>
            <w:r>
              <w:rPr>
                <w:rFonts w:hint="default"/>
                <w:b/>
                <w:bCs/>
                <w:lang w:val="en-US"/>
              </w:rPr>
              <w:t>1. Scalable Operational Infrastructure to Support Rapid Business Expansion:</w:t>
            </w:r>
            <w:r>
              <w:rPr>
                <w:rFonts w:hint="default"/>
                <w:lang w:val="en-US"/>
              </w:rPr>
              <w:t xml:space="preserve"> Addressing the efficiency bottleneck of manual, store-by-store configuration during multi-store expansion, I led the development of a batch operational configuration system capable of handling both cross-HDR and intra-HDR settings (covering Service Times, Restaurant Assignments, Go-Live Dates, and Parking Spots). By optimizing linear operations (individual store configuration) into batch processing capabilities, configuration time was reduced from hours to minutes—a multi-fold increase in overall efficiency—significantly enhancing our delivery capacity for launching new cities and expanding our store network.</w:t>
            </w:r>
          </w:p>
          <w:p w14:paraId="6A705C12">
            <w:pPr>
              <w:pStyle w:val="7"/>
              <w:keepNext w:val="0"/>
              <w:keepLines w:val="0"/>
              <w:widowControl/>
              <w:suppressLineNumbers w:val="0"/>
              <w:spacing w:before="0" w:beforeAutospacing="0" w:after="0" w:afterAutospacing="0"/>
              <w:ind w:left="0" w:right="0"/>
              <w:jc w:val="left"/>
              <w:rPr>
                <w:rFonts w:hint="default"/>
                <w:lang w:val="en-US"/>
              </w:rPr>
            </w:pPr>
            <w:r>
              <w:rPr>
                <w:rFonts w:hint="default"/>
                <w:b/>
                <w:bCs/>
                <w:lang w:val="en-US"/>
              </w:rPr>
              <w:t xml:space="preserve">2. Data-Driven Kitchen Production and Inventory Coordination System: </w:t>
            </w:r>
            <w:r>
              <w:rPr>
                <w:rFonts w:hint="default"/>
                <w:lang w:val="en-US"/>
              </w:rPr>
              <w:t>To resolve long-standing issues regarding kitchen production’s reliance on human intuition and the disconnect between forecasting and inventory data, I built—from the ground up—a task management system for "Bulk Prep" and "Hot Holding Drops." This system established a fully integrated, closed-loop workflow spanning forecasting, inventory management, and production. Through automated task assignment and execution tracking, we upgraded meal preparation decision-making from an experience-driven approach to a data-driven one. This enabled us to front-load the production rhythm, significantly boosting meal output efficiency while simultaneously reducing inventory waste caused by unnecessary or miscalculated preparation.</w:t>
            </w:r>
          </w:p>
          <w:p w14:paraId="56B5ABC8">
            <w:pPr>
              <w:pStyle w:val="7"/>
              <w:keepNext w:val="0"/>
              <w:keepLines w:val="0"/>
              <w:widowControl/>
              <w:suppressLineNumbers w:val="0"/>
              <w:spacing w:before="0" w:beforeAutospacing="0" w:after="0" w:afterAutospacing="0"/>
              <w:ind w:left="0" w:right="0"/>
              <w:jc w:val="left"/>
              <w:rPr>
                <w:rFonts w:hint="default"/>
                <w:lang w:val="en-US"/>
              </w:rPr>
            </w:pPr>
            <w:r>
              <w:rPr>
                <w:rFonts w:hint="default"/>
                <w:b/>
                <w:bCs/>
                <w:lang w:val="en-US"/>
              </w:rPr>
              <w:t>3</w:t>
            </w:r>
            <w:r>
              <w:rPr>
                <w:rFonts w:hint="default"/>
                <w:b/>
                <w:bCs/>
                <w:lang w:val="en-US"/>
              </w:rPr>
              <w:t>. Stability-Oriented Business Circuit Breaker and Risk Isolation System:</w:t>
            </w:r>
            <w:r>
              <w:rPr>
                <w:rFonts w:hint="default"/>
                <w:lang w:val="en-US"/>
              </w:rPr>
              <w:t xml:space="preserve"> To address critical scenarios such as equipment failures ("Appliance Down") and ingredient shortages ("Component OOS"), I spearheaded the design and implementation of a cascading circuit breaker mechanism based on kitchen asset and material dependencies. This system bridges the gap between anomaly detection at the store level and the OMS (Order Management System) fulfillment pipeline. Upon detecting an anomaly, the system automatically identifies the scope of impact and performs batch isolation at the menu item level; it also supports unified, cross-store scheduling controls (e.g., "Bulk Open/Close HDRs"). This upgrades our response strategy from one relying on manual judgment and item-by-item processing to one driven by automated decision-making and batch execution. Consequently, anomaly resolution time has been reduced from minutes to seconds, significantly enhancing system stability and resilience in extreme scenarios while effectively mitigating the risks of fulfillment failures and customer complaints. </w:t>
            </w:r>
          </w:p>
          <w:p w14:paraId="46AC7A40">
            <w:pPr>
              <w:pStyle w:val="7"/>
              <w:keepNext w:val="0"/>
              <w:keepLines w:val="0"/>
              <w:widowControl/>
              <w:suppressLineNumbers w:val="0"/>
              <w:spacing w:before="0" w:beforeAutospacing="0" w:after="0" w:afterAutospacing="0"/>
              <w:ind w:left="0" w:right="0"/>
              <w:jc w:val="left"/>
              <w:rPr>
                <w:rFonts w:hint="default"/>
                <w:lang w:val="en-US"/>
              </w:rPr>
            </w:pPr>
            <w:r>
              <w:rPr>
                <w:rFonts w:hint="default"/>
                <w:lang w:val="en-US"/>
              </w:rPr>
              <w:t xml:space="preserve">4. </w:t>
            </w:r>
            <w:r>
              <w:rPr>
                <w:rFonts w:hint="default"/>
                <w:b/>
                <w:bCs/>
                <w:lang w:val="en-US"/>
              </w:rPr>
              <w:t>Three-Tier Data Archiving Architecture Design and System Load Optimization:</w:t>
            </w:r>
            <w:r>
              <w:rPr>
                <w:rFonts w:hint="default"/>
                <w:lang w:val="en-US"/>
              </w:rPr>
              <w:t>Addressing issues of declining query performance and spiraling storage costs caused by the rapid growth of core business tables, I led the design and implementation of a three-tier data archiving architecture (Hot / Warm / Cold). By segmenting and pruning "Hot" data (retaining data from the last 6 months), I optimized performance for high-concurrency queries. I introduced a "Warm" data tier (6–12 months old) to support historical data lookups and business corrections, while asynchronously archiving "Cold" data to Azure Blob Storage, thereby decoupling storage from compute resources. This solution significantly enhanced system query stability—without compromising core business access capabilities—and effectively curbed the continuous growth of database storage costs, achieving long-term cost reductions and performance optimizations at the infrastructure level.</w:t>
            </w:r>
          </w:p>
          <w:p w14:paraId="23AC843A">
            <w:pPr>
              <w:pStyle w:val="7"/>
              <w:keepNext w:val="0"/>
              <w:keepLines w:val="0"/>
              <w:widowControl/>
              <w:suppressLineNumbers w:val="0"/>
              <w:spacing w:before="0" w:beforeAutospacing="0" w:after="0" w:afterAutospacing="0"/>
              <w:ind w:left="0" w:right="0"/>
              <w:jc w:val="left"/>
              <w:rPr>
                <w:rFonts w:hint="default"/>
                <w:lang w:val="en-US"/>
              </w:rPr>
            </w:pPr>
            <w:r>
              <w:rPr>
                <w:rFonts w:hint="default"/>
                <w:b/>
                <w:bCs/>
                <w:lang w:val="en-US"/>
              </w:rPr>
              <w:t xml:space="preserve">5. Supply Chain Data Model Refactoring and System Decoupling Governance: </w:t>
            </w:r>
            <w:r>
              <w:rPr>
                <w:rFonts w:hint="default"/>
                <w:lang w:val="en-US"/>
              </w:rPr>
              <w:t>To resolve legacy issues regarding highly coupled data structures within the central warehouse-to-store fulfillment pipeline (where cooking groups, BOMs, and routing logic were tightly bound, making root-cause analysis difficult and maintenance costly), I spearheaded the refactoring of the underlying data architecture and its decoupling governance. I transformed the previously complex, dynamic calculation system into a flattened fact model centered on the "SKU × Pod" location relationship. This model was consolidated onto the BigQuery data platform, enabling the structured governance of core supply chain data assets. This initiative not only provided critical data support for the decommissioning of the legacy forecasting system architecture but also significantly improved the standardization and data consistency of store receiving verification processes, thereby upgrading the supply chain data pipeline from a "logically coupled model" to "standardized data assets."</w:t>
            </w:r>
          </w:p>
          <w:p w14:paraId="4D5393DC">
            <w:pPr>
              <w:pStyle w:val="7"/>
              <w:keepNext w:val="0"/>
              <w:keepLines w:val="0"/>
              <w:widowControl/>
              <w:suppressLineNumbers w:val="0"/>
              <w:spacing w:before="0" w:beforeAutospacing="0" w:after="0" w:afterAutospacing="0"/>
              <w:ind w:left="0" w:right="0"/>
              <w:jc w:val="left"/>
              <w:rPr>
                <w:rFonts w:hint="default"/>
                <w:b/>
                <w:bCs/>
                <w:lang w:val="en-US"/>
              </w:rPr>
            </w:pPr>
            <w:r>
              <w:rPr>
                <w:rFonts w:hint="default"/>
                <w:b/>
                <w:bCs/>
                <w:lang w:val="en-US"/>
              </w:rPr>
              <w:t>III. Personal Strengths</w:t>
            </w:r>
          </w:p>
          <w:p w14:paraId="4AFA5625">
            <w:pPr>
              <w:pStyle w:val="7"/>
              <w:keepNext w:val="0"/>
              <w:keepLines w:val="0"/>
              <w:widowControl/>
              <w:suppressLineNumbers w:val="0"/>
              <w:spacing w:before="0" w:beforeAutospacing="0" w:after="0" w:afterAutospacing="0"/>
              <w:ind w:left="0" w:right="0"/>
              <w:jc w:val="left"/>
              <w:rPr>
                <w:rFonts w:hint="default"/>
                <w:lang w:val="en-US"/>
              </w:rPr>
            </w:pPr>
            <w:r>
              <w:rPr>
                <w:rFonts w:hint="default"/>
                <w:lang w:val="en-US"/>
              </w:rPr>
              <w:t>I possess strong self-driven learning capabilities and a proven ability to translate technical concepts into practical engineering implementations. I proactively engage with the DevOps technology stack—leveraging online courses, professional literature, and peer consultations—to rapidly master the usage of relevant tools. When troubleshooting issues, I utilize DevOps tools for log analysis and performance monitoring, enabling me to quickly pinpoint root causes, resolve problems in a timely manner, and effectively boost overall work efficiency.</w:t>
            </w:r>
          </w:p>
          <w:p w14:paraId="742A5E3D">
            <w:pPr>
              <w:pStyle w:val="7"/>
              <w:keepNext w:val="0"/>
              <w:keepLines w:val="0"/>
              <w:widowControl/>
              <w:suppressLineNumbers w:val="0"/>
              <w:spacing w:before="0" w:beforeAutospacing="0" w:after="0" w:afterAutospacing="0"/>
              <w:ind w:left="0" w:right="0"/>
              <w:jc w:val="left"/>
              <w:rPr>
                <w:rFonts w:hint="default"/>
                <w:b/>
                <w:bCs/>
                <w:lang w:val="en-US"/>
              </w:rPr>
            </w:pPr>
            <w:r>
              <w:rPr>
                <w:rFonts w:hint="default"/>
                <w:b/>
                <w:bCs/>
                <w:lang w:val="en-US"/>
              </w:rPr>
              <w:t>IV. Areas for Improvement</w:t>
            </w:r>
          </w:p>
          <w:p w14:paraId="2A43C4D2">
            <w:pPr>
              <w:pStyle w:val="7"/>
              <w:keepNext w:val="0"/>
              <w:keepLines w:val="0"/>
              <w:widowControl/>
              <w:suppressLineNumbers w:val="0"/>
              <w:spacing w:before="0" w:beforeAutospacing="0" w:after="0" w:afterAutospacing="0"/>
              <w:ind w:left="0" w:right="0"/>
              <w:jc w:val="left"/>
              <w:rPr>
                <w:rFonts w:hint="default"/>
                <w:lang w:val="en-US"/>
              </w:rPr>
            </w:pPr>
            <w:r>
              <w:rPr>
                <w:rFonts w:hint="default"/>
                <w:lang w:val="en-US"/>
              </w:rPr>
              <w:t xml:space="preserve">1. I am not yet fully proficient in the use of DataDog; my application skills regarding performance monitoring and fault diagnosis using this tool require further enhancement. Moving forward, I intend to intensify my learning efforts—through hands-on practice and case studies—to rapidly master DataDog's advanced features. </w:t>
            </w:r>
          </w:p>
          <w:p w14:paraId="2E275F20">
            <w:pPr>
              <w:pStyle w:val="7"/>
              <w:keepNext w:val="0"/>
              <w:keepLines w:val="0"/>
              <w:widowControl/>
              <w:suppressLineNumbers w:val="0"/>
              <w:spacing w:before="0" w:beforeAutospacing="0" w:after="0" w:afterAutospacing="0"/>
              <w:ind w:left="0" w:right="0"/>
              <w:jc w:val="left"/>
              <w:rPr>
                <w:rFonts w:hint="default"/>
                <w:lang w:val="en-US"/>
              </w:rPr>
            </w:pPr>
            <w:r>
              <w:rPr>
                <w:rFonts w:hint="default"/>
                <w:lang w:val="en-US"/>
              </w:rPr>
              <w:t>2. I have participated in relatively few tickets related to performance optimization; consequently, the depth and breadth of my experience in optimizing system performance remain insufficient. Moving forward, I will proactively seek out tasks related to performance optimization, delving deeply into the study of relevant techniques and methodologies to contribute more significantly to enhancing system performance.</w:t>
            </w:r>
          </w:p>
          <w:p w14:paraId="5E9E3CE3">
            <w:pPr>
              <w:pStyle w:val="7"/>
              <w:keepNext w:val="0"/>
              <w:keepLines w:val="0"/>
              <w:widowControl/>
              <w:suppressLineNumbers w:val="0"/>
              <w:spacing w:before="0" w:beforeAutospacing="0" w:after="0" w:afterAutospacing="0"/>
              <w:ind w:left="0" w:right="0"/>
              <w:jc w:val="left"/>
              <w:rPr>
                <w:rFonts w:hint="default"/>
                <w:lang w:val="en-US"/>
              </w:rPr>
            </w:pPr>
            <w:r>
              <w:rPr>
                <w:rFonts w:hint="default"/>
                <w:lang w:val="en-US"/>
              </w:rPr>
              <w:t>V. Suggestions for the Team</w:t>
            </w:r>
          </w:p>
          <w:p w14:paraId="70CD8154">
            <w:pPr>
              <w:pStyle w:val="7"/>
              <w:keepNext w:val="0"/>
              <w:keepLines w:val="0"/>
              <w:widowControl/>
              <w:suppressLineNumbers w:val="0"/>
              <w:spacing w:before="0" w:beforeAutospacing="0" w:after="0" w:afterAutospacing="0"/>
              <w:ind w:left="0" w:right="0"/>
              <w:jc w:val="left"/>
              <w:rPr>
                <w:rFonts w:hint="default"/>
                <w:lang w:val="en-US"/>
              </w:rPr>
            </w:pPr>
            <w:r>
              <w:rPr>
                <w:rFonts w:hint="default"/>
                <w:b/>
                <w:bCs/>
                <w:lang w:val="en-US"/>
              </w:rPr>
              <w:t xml:space="preserve">1. Enhance Team Proficiency in AI Tools: </w:t>
            </w:r>
            <w:r>
              <w:rPr>
                <w:rFonts w:hint="default"/>
                <w:lang w:val="en-US"/>
              </w:rPr>
              <w:t>I recommend that the team systematically improve its ability to integrate AI tools into the R&amp;D workflow. By documenting best practices and facilitating knowledge sharing, we can drive the practical application of AI across various scenarios—such as development, debugging, and documentation—thereby continuously boosting overall R&amp;D efficiency.</w:t>
            </w:r>
          </w:p>
          <w:p w14:paraId="66D03583">
            <w:pPr>
              <w:pStyle w:val="7"/>
              <w:keepNext w:val="0"/>
              <w:keepLines w:val="0"/>
              <w:widowControl/>
              <w:suppressLineNumbers w:val="0"/>
              <w:spacing w:before="0" w:beforeAutospacing="0" w:after="0" w:afterAutospacing="0"/>
              <w:ind w:left="0" w:right="0"/>
              <w:jc w:val="left"/>
              <w:rPr>
                <w:rFonts w:hint="default"/>
                <w:lang w:val="en-US"/>
              </w:rPr>
            </w:pPr>
            <w:r>
              <w:rPr>
                <w:rFonts w:hint="default"/>
                <w:b/>
                <w:bCs/>
                <w:lang w:val="en-US"/>
              </w:rPr>
              <w:t>2. Refine Project Documentation Management:</w:t>
            </w:r>
            <w:r>
              <w:rPr>
                <w:rFonts w:hint="default"/>
                <w:lang w:val="en-US"/>
              </w:rPr>
              <w:t xml:space="preserve"> I propose establishing a unified and standardized mechanism for project documentation management. This would ensure that every project possesses a comprehensive, accurate, and continuously updated documentation framework, which not only enables new team members to quickly grasp the system and business logic but also provides effective support for subsequent system maintenance and feature iterations.</w:t>
            </w:r>
          </w:p>
          <w:p w14:paraId="27DB09D2">
            <w:pPr>
              <w:pStyle w:val="7"/>
              <w:keepNext w:val="0"/>
              <w:keepLines w:val="0"/>
              <w:widowControl/>
              <w:suppressLineNumbers w:val="0"/>
              <w:spacing w:before="0" w:beforeAutospacing="0" w:after="0" w:afterAutospacing="0"/>
              <w:ind w:left="0" w:right="0"/>
              <w:jc w:val="left"/>
              <w:rPr>
                <w:rFonts w:hint="default"/>
                <w:lang w:val="en-US"/>
              </w:rPr>
            </w:pPr>
            <w:bookmarkStart w:id="0" w:name="_GoBack"/>
            <w:r>
              <w:rPr>
                <w:rFonts w:hint="default"/>
                <w:b/>
                <w:bCs/>
                <w:lang w:val="en-US"/>
              </w:rPr>
              <w:t>3. Optimize Team Collaboration and Shift-Left Testing:</w:t>
            </w:r>
            <w:bookmarkEnd w:id="0"/>
            <w:r>
              <w:rPr>
                <w:rFonts w:hint="default"/>
                <w:lang w:val="en-US"/>
              </w:rPr>
              <w:t xml:space="preserve"> I suggest encouraging QA involvement to "shift left"—participating earlier in the development lifecycle, specifically during the major feature development phase. By completing test case design and reviews in advance, we can effectively shift testing earlier in the process, thereby enhancing overall delivery quality and collaboration efficiency while mitigating the risk of rework in later stages.</w:t>
            </w:r>
          </w:p>
          <w:p w14:paraId="4743DB2A">
            <w:pPr>
              <w:pStyle w:val="7"/>
              <w:keepNext w:val="0"/>
              <w:keepLines w:val="0"/>
              <w:widowControl/>
              <w:suppressLineNumbers w:val="0"/>
              <w:spacing w:before="0" w:beforeAutospacing="0" w:after="0" w:afterAutospacing="0"/>
              <w:ind w:left="0" w:right="0"/>
              <w:jc w:val="left"/>
              <w:rPr>
                <w:rFonts w:hint="default"/>
                <w:lang w:val="en-US"/>
              </w:rPr>
            </w:pPr>
            <w:r>
              <w:rPr>
                <w:rFonts w:hint="default"/>
                <w:lang w:val="en-US"/>
              </w:rPr>
              <w:t>Looking ahead, I will continue to hone my professional skills and system design capabilities, deepen my technical expertise within core business domains, and further enhance my proficiency in system architecture and engineering implementation, all with the aim of providing high-quality technical support for the company's business growth.</w:t>
            </w:r>
          </w:p>
        </w:tc>
      </w:tr>
    </w:tbl>
    <w:p w14:paraId="2F0D6F1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4" w:lineRule="atLeast"/>
        <w:ind w:leftChars="0" w:right="0" w:rightChars="0"/>
        <w:rPr>
          <w:rFonts w:hint="default" w:asciiTheme="minorHAnsi" w:hAnsiTheme="minorHAnsi" w:eastAsiaTheme="minorEastAsia" w:cstheme="minorBidi"/>
          <w:kern w:val="2"/>
          <w:sz w:val="21"/>
          <w:szCs w:val="22"/>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等线">
    <w:altName w:val="苹方-简"/>
    <w:panose1 w:val="02010600030101010101"/>
    <w:charset w:val="86"/>
    <w:family w:val="auto"/>
    <w:pitch w:val="default"/>
    <w:sig w:usb0="00000000" w:usb1="00000000" w:usb2="00000016" w:usb3="00000000" w:csb0="0004000F"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pingfang sc semibold">
    <w:panose1 w:val="020B0400000000000000"/>
    <w:charset w:val="86"/>
    <w:family w:val="auto"/>
    <w:pitch w:val="default"/>
    <w:sig w:usb0="A00002FF" w:usb1="7ACFFDFB" w:usb2="00000017" w:usb3="00000000" w:csb0="00040001" w:csb1="00000000"/>
  </w:font>
  <w:font w:name="方正舒体">
    <w:altName w:val="华文宋体"/>
    <w:panose1 w:val="02010601030101010101"/>
    <w:charset w:val="86"/>
    <w:family w:val="auto"/>
    <w:pitch w:val="default"/>
    <w:sig w:usb0="00000000" w:usb1="00000000" w:usb2="00000010" w:usb3="00000000" w:csb0="00040000" w:csb1="00000000"/>
  </w:font>
  <w:font w:name="宋体-简">
    <w:panose1 w:val="02010800040101010101"/>
    <w:charset w:val="86"/>
    <w:family w:val="auto"/>
    <w:pitch w:val="default"/>
    <w:sig w:usb0="00000001" w:usb1="080F0000" w:usb2="00000000" w:usb3="00000000" w:csb0="00040000" w:csb1="00000000"/>
  </w:font>
  <w:font w:name="华文宋体">
    <w:panose1 w:val="02010600040101010101"/>
    <w:charset w:val="86"/>
    <w:family w:val="auto"/>
    <w:pitch w:val="default"/>
    <w:sig w:usb0="80000287" w:usb1="280F3C52" w:usb2="00000016" w:usb3="00000000" w:csb0="0004001F"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FA1FD"/>
    <w:multiLevelType w:val="singleLevel"/>
    <w:tmpl w:val="DFFFA1FD"/>
    <w:lvl w:ilvl="0" w:tentative="0">
      <w:start w:val="2"/>
      <w:numFmt w:val="chineseCounting"/>
      <w:suff w:val="nothing"/>
      <w:lvlText w:val="%1、"/>
      <w:lvlJc w:val="left"/>
      <w:rPr>
        <w:rFonts w:hint="eastAsia"/>
      </w:rPr>
    </w:lvl>
  </w:abstractNum>
  <w:abstractNum w:abstractNumId="1">
    <w:nsid w:val="27FED7ED"/>
    <w:multiLevelType w:val="singleLevel"/>
    <w:tmpl w:val="27FED7ED"/>
    <w:lvl w:ilvl="0" w:tentative="0">
      <w:start w:val="1"/>
      <w:numFmt w:val="decimal"/>
      <w:lvlText w:val="%1."/>
      <w:lvlJc w:val="left"/>
      <w:pPr>
        <w:tabs>
          <w:tab w:val="left" w:pos="425"/>
        </w:tabs>
        <w:ind w:left="425" w:leftChars="0" w:hanging="425" w:firstLineChars="0"/>
      </w:pPr>
      <w:rPr>
        <w:rFonts w:hint="default"/>
      </w:rPr>
    </w:lvl>
  </w:abstractNum>
  <w:abstractNum w:abstractNumId="2">
    <w:nsid w:val="54E4ECDC"/>
    <w:multiLevelType w:val="singleLevel"/>
    <w:tmpl w:val="54E4ECDC"/>
    <w:lvl w:ilvl="0" w:tentative="0">
      <w:start w:val="1"/>
      <w:numFmt w:val="decimal"/>
      <w:lvlText w:val="%1."/>
      <w:lvlJc w:val="left"/>
      <w:pPr>
        <w:tabs>
          <w:tab w:val="left" w:pos="425"/>
        </w:tabs>
        <w:ind w:left="425" w:leftChars="0" w:hanging="425" w:firstLineChars="0"/>
      </w:pPr>
      <w:rPr>
        <w:rFonts w:hint="default"/>
      </w:rPr>
    </w:lvl>
  </w:abstractNum>
  <w:abstractNum w:abstractNumId="3">
    <w:nsid w:val="681AD220"/>
    <w:multiLevelType w:val="multilevel"/>
    <w:tmpl w:val="681AD220"/>
    <w:lvl w:ilvl="0" w:tentative="0">
      <w:start w:val="1"/>
      <w:numFmt w:val="decimal"/>
      <w:lvlText w:val="%1."/>
      <w:lvlJc w:val="left"/>
      <w:pPr>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4">
    <w:nsid w:val="681AD86A"/>
    <w:multiLevelType w:val="singleLevel"/>
    <w:tmpl w:val="681AD86A"/>
    <w:lvl w:ilvl="0" w:tentative="0">
      <w:start w:val="1"/>
      <w:numFmt w:val="decimal"/>
      <w:lvlText w:val="%1."/>
      <w:lvlJc w:val="left"/>
      <w:pPr>
        <w:ind w:left="425" w:leftChars="0" w:hanging="425" w:firstLineChars="0"/>
      </w:pPr>
      <w:rPr>
        <w:rFonts w:hint="default"/>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B23"/>
    <w:rsid w:val="00004B23"/>
    <w:rsid w:val="0006041F"/>
    <w:rsid w:val="000A5079"/>
    <w:rsid w:val="000B1796"/>
    <w:rsid w:val="000C1B15"/>
    <w:rsid w:val="000D6740"/>
    <w:rsid w:val="000F7EA6"/>
    <w:rsid w:val="00104331"/>
    <w:rsid w:val="0011169C"/>
    <w:rsid w:val="00124360"/>
    <w:rsid w:val="00132473"/>
    <w:rsid w:val="001402A0"/>
    <w:rsid w:val="00171DCC"/>
    <w:rsid w:val="0018487D"/>
    <w:rsid w:val="001A5C27"/>
    <w:rsid w:val="001A7AA1"/>
    <w:rsid w:val="001C3AB6"/>
    <w:rsid w:val="001D51BF"/>
    <w:rsid w:val="002D3DB5"/>
    <w:rsid w:val="003067D0"/>
    <w:rsid w:val="00327B7B"/>
    <w:rsid w:val="003438BF"/>
    <w:rsid w:val="003B51FD"/>
    <w:rsid w:val="003C5724"/>
    <w:rsid w:val="004050CD"/>
    <w:rsid w:val="004A0133"/>
    <w:rsid w:val="004B591A"/>
    <w:rsid w:val="004B5AA9"/>
    <w:rsid w:val="004E0A81"/>
    <w:rsid w:val="0051031C"/>
    <w:rsid w:val="005A114D"/>
    <w:rsid w:val="005B25EF"/>
    <w:rsid w:val="005C696D"/>
    <w:rsid w:val="00620E72"/>
    <w:rsid w:val="006244DE"/>
    <w:rsid w:val="006465DF"/>
    <w:rsid w:val="00683E83"/>
    <w:rsid w:val="006E6495"/>
    <w:rsid w:val="00710EF5"/>
    <w:rsid w:val="00741127"/>
    <w:rsid w:val="0076200D"/>
    <w:rsid w:val="0079707C"/>
    <w:rsid w:val="007B04B8"/>
    <w:rsid w:val="008032D3"/>
    <w:rsid w:val="00824324"/>
    <w:rsid w:val="00840FF3"/>
    <w:rsid w:val="00892559"/>
    <w:rsid w:val="0089255A"/>
    <w:rsid w:val="008C3500"/>
    <w:rsid w:val="008E6379"/>
    <w:rsid w:val="008F0F5E"/>
    <w:rsid w:val="009047D1"/>
    <w:rsid w:val="00914987"/>
    <w:rsid w:val="009708B4"/>
    <w:rsid w:val="009D729D"/>
    <w:rsid w:val="00A14273"/>
    <w:rsid w:val="00A146C8"/>
    <w:rsid w:val="00A26E8D"/>
    <w:rsid w:val="00A426CF"/>
    <w:rsid w:val="00A92989"/>
    <w:rsid w:val="00A93FDA"/>
    <w:rsid w:val="00B26FDF"/>
    <w:rsid w:val="00B456E3"/>
    <w:rsid w:val="00BC059A"/>
    <w:rsid w:val="00BF6EC1"/>
    <w:rsid w:val="00C0263B"/>
    <w:rsid w:val="00C24208"/>
    <w:rsid w:val="00C2624A"/>
    <w:rsid w:val="00C93002"/>
    <w:rsid w:val="00C97C5C"/>
    <w:rsid w:val="00CB2503"/>
    <w:rsid w:val="00CC7B3E"/>
    <w:rsid w:val="00D551C3"/>
    <w:rsid w:val="00D778D5"/>
    <w:rsid w:val="00D95C73"/>
    <w:rsid w:val="00DC073A"/>
    <w:rsid w:val="00E06B2D"/>
    <w:rsid w:val="00E227EB"/>
    <w:rsid w:val="00E44751"/>
    <w:rsid w:val="00E54A09"/>
    <w:rsid w:val="00E60B48"/>
    <w:rsid w:val="00E646E7"/>
    <w:rsid w:val="00E70A93"/>
    <w:rsid w:val="00E765B6"/>
    <w:rsid w:val="00E7743B"/>
    <w:rsid w:val="00E93295"/>
    <w:rsid w:val="00EE7FDC"/>
    <w:rsid w:val="00EF55CB"/>
    <w:rsid w:val="00F44958"/>
    <w:rsid w:val="00F63372"/>
    <w:rsid w:val="00F747B4"/>
    <w:rsid w:val="00F90F54"/>
    <w:rsid w:val="00FA1D9B"/>
    <w:rsid w:val="00FE556C"/>
    <w:rsid w:val="1BFF7BF5"/>
    <w:rsid w:val="2EB77444"/>
    <w:rsid w:val="2FFE2242"/>
    <w:rsid w:val="3FBD7109"/>
    <w:rsid w:val="3FC9D451"/>
    <w:rsid w:val="3FDD1AE3"/>
    <w:rsid w:val="4DFD9CAD"/>
    <w:rsid w:val="4FEF4F26"/>
    <w:rsid w:val="57FE8E8F"/>
    <w:rsid w:val="5CFF3E2A"/>
    <w:rsid w:val="5EBB08A0"/>
    <w:rsid w:val="5FC6BE8C"/>
    <w:rsid w:val="5FEB2E36"/>
    <w:rsid w:val="5FF7FBEC"/>
    <w:rsid w:val="65BBE9D8"/>
    <w:rsid w:val="6FDF1268"/>
    <w:rsid w:val="6FFDFFDE"/>
    <w:rsid w:val="72DF2C7B"/>
    <w:rsid w:val="75FDFF03"/>
    <w:rsid w:val="76DFD9D6"/>
    <w:rsid w:val="79BF868B"/>
    <w:rsid w:val="7BEF4B5A"/>
    <w:rsid w:val="7E5B40DB"/>
    <w:rsid w:val="7EBBDF25"/>
    <w:rsid w:val="7ED79685"/>
    <w:rsid w:val="7EEFED68"/>
    <w:rsid w:val="7EFCCA4F"/>
    <w:rsid w:val="7EFE1EAA"/>
    <w:rsid w:val="7EFE8772"/>
    <w:rsid w:val="7F4A6EAC"/>
    <w:rsid w:val="7F6B05F6"/>
    <w:rsid w:val="7F7F2595"/>
    <w:rsid w:val="7F9F623C"/>
    <w:rsid w:val="7FEFEA0A"/>
    <w:rsid w:val="9BFF6B8B"/>
    <w:rsid w:val="9FDF1A87"/>
    <w:rsid w:val="AF7E265D"/>
    <w:rsid w:val="AFDE7FFC"/>
    <w:rsid w:val="B73EF120"/>
    <w:rsid w:val="BA66B01E"/>
    <w:rsid w:val="BBD9C0AD"/>
    <w:rsid w:val="BBE7FAE0"/>
    <w:rsid w:val="BF5F64E0"/>
    <w:rsid w:val="BFFEAD1E"/>
    <w:rsid w:val="C2F5F2D6"/>
    <w:rsid w:val="C7F76DA1"/>
    <w:rsid w:val="CF7D45D8"/>
    <w:rsid w:val="D1346835"/>
    <w:rsid w:val="D37FB2C8"/>
    <w:rsid w:val="D3BBCF78"/>
    <w:rsid w:val="D5BAEC73"/>
    <w:rsid w:val="D7DBF491"/>
    <w:rsid w:val="D8F7D735"/>
    <w:rsid w:val="DB5540F2"/>
    <w:rsid w:val="DEDC3A17"/>
    <w:rsid w:val="DEDF72F2"/>
    <w:rsid w:val="DEFD7493"/>
    <w:rsid w:val="DFBF4BB7"/>
    <w:rsid w:val="DFDBAF58"/>
    <w:rsid w:val="E3EEB896"/>
    <w:rsid w:val="EA785E29"/>
    <w:rsid w:val="EFBBFBA3"/>
    <w:rsid w:val="EFFFAAE2"/>
    <w:rsid w:val="F5EDB181"/>
    <w:rsid w:val="F6DF1046"/>
    <w:rsid w:val="F76D3EF7"/>
    <w:rsid w:val="FB551589"/>
    <w:rsid w:val="FBDDA047"/>
    <w:rsid w:val="FBF72D75"/>
    <w:rsid w:val="FDD988D5"/>
    <w:rsid w:val="FDFD5AB7"/>
    <w:rsid w:val="FEFE756B"/>
    <w:rsid w:val="FF5E6533"/>
    <w:rsid w:val="FF9F8334"/>
    <w:rsid w:val="FFBCB6E6"/>
    <w:rsid w:val="FFBE2CCF"/>
    <w:rsid w:val="FFFF2A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next w:val="1"/>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unhideWhenUsed/>
    <w:uiPriority w:val="1"/>
  </w:style>
  <w:style w:type="table" w:default="1" w:styleId="4">
    <w:name w:val="Normal Table"/>
    <w:unhideWhenUsed/>
    <w:uiPriority w:val="99"/>
    <w:tblPr>
      <w:tblCellMar>
        <w:top w:w="0" w:type="dxa"/>
        <w:left w:w="108" w:type="dxa"/>
        <w:bottom w:w="0" w:type="dxa"/>
        <w:right w:w="108" w:type="dxa"/>
      </w:tblCellMar>
    </w:tblPr>
  </w:style>
  <w:style w:type="paragraph" w:styleId="5">
    <w:name w:val="footer"/>
    <w:basedOn w:val="1"/>
    <w:link w:val="11"/>
    <w:unhideWhenUsed/>
    <w:uiPriority w:val="99"/>
    <w:pPr>
      <w:tabs>
        <w:tab w:val="center" w:pos="4153"/>
        <w:tab w:val="right" w:pos="8306"/>
      </w:tabs>
      <w:snapToGrid w:val="0"/>
      <w:jc w:val="left"/>
    </w:pPr>
    <w:rPr>
      <w:sz w:val="18"/>
      <w:szCs w:val="18"/>
    </w:rPr>
  </w:style>
  <w:style w:type="paragraph" w:styleId="6">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uiPriority w:val="99"/>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22"/>
    <w:rPr>
      <w:b/>
      <w:bCs/>
    </w:rPr>
  </w:style>
  <w:style w:type="table" w:styleId="9">
    <w:name w:val="Table Grid"/>
    <w:basedOn w:val="4"/>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眉 字符"/>
    <w:basedOn w:val="3"/>
    <w:link w:val="6"/>
    <w:uiPriority w:val="99"/>
    <w:rPr>
      <w:sz w:val="18"/>
      <w:szCs w:val="18"/>
    </w:rPr>
  </w:style>
  <w:style w:type="character" w:customStyle="1" w:styleId="11">
    <w:name w:val="页脚 字符"/>
    <w:basedOn w:val="3"/>
    <w:link w:val="5"/>
    <w:uiPriority w:val="99"/>
    <w:rPr>
      <w:sz w:val="18"/>
      <w:szCs w:val="18"/>
    </w:rPr>
  </w:style>
  <w:style w:type="paragraph" w:customStyle="1" w:styleId="12">
    <w:name w:val="List Paragraph"/>
    <w:basedOn w:val="1"/>
    <w:qFormat/>
    <w:uiPriority w:val="34"/>
    <w:pPr>
      <w:ind w:left="720"/>
      <w:contextualSpacing/>
    </w:pPr>
  </w:style>
  <w:style w:type="paragraph" w:customStyle="1" w:styleId="13">
    <w:name w:val="p1"/>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 w:type="paragraph" w:customStyle="1" w:styleId="14">
    <w:name w:val="p2"/>
    <w:uiPriority w:val="0"/>
    <w:pPr>
      <w:spacing w:before="0" w:beforeAutospacing="0" w:after="0" w:afterAutospacing="0"/>
      <w:ind w:left="0" w:right="0"/>
      <w:jc w:val="left"/>
    </w:pPr>
    <w:rPr>
      <w:rFonts w:ascii="pingfang sc" w:hAnsi="pingfang sc" w:eastAsia="pingfang sc" w:cs="pingfang sc"/>
      <w:kern w:val="0"/>
      <w:sz w:val="26"/>
      <w:szCs w:val="26"/>
      <w:lang w:val="en-US" w:eastAsia="zh-CN" w:bidi="ar"/>
    </w:rPr>
  </w:style>
  <w:style w:type="character" w:customStyle="1" w:styleId="15">
    <w:name w:val="s1"/>
    <w:uiPriority w:val="0"/>
    <w:rPr>
      <w:rFonts w:hint="default" w:ascii="Helvetica Neue" w:hAnsi="Helvetica Neue" w:eastAsia="Helvetica Neue" w:cs="Helvetica Neue"/>
      <w:sz w:val="26"/>
      <w:szCs w:val="26"/>
    </w:rPr>
  </w:style>
  <w:style w:type="paragraph" w:customStyle="1" w:styleId="16">
    <w:name w:val="p3"/>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 w:type="paragraph" w:customStyle="1" w:styleId="17">
    <w:name w:val="p4"/>
    <w:uiPriority w:val="0"/>
    <w:pPr>
      <w:spacing w:before="0" w:beforeAutospacing="0" w:after="0" w:afterAutospacing="0"/>
      <w:ind w:left="0" w:right="0"/>
      <w:jc w:val="left"/>
    </w:pPr>
    <w:rPr>
      <w:rFonts w:ascii="pingfang sc semibold" w:hAnsi="pingfang sc semibold" w:eastAsia="pingfang sc semibold" w:cs="pingfang sc semibold"/>
      <w:kern w:val="0"/>
      <w:sz w:val="26"/>
      <w:szCs w:val="26"/>
      <w:lang w:val="en-US" w:eastAsia="zh-CN" w:bidi="ar"/>
    </w:rPr>
  </w:style>
  <w:style w:type="character" w:customStyle="1" w:styleId="18">
    <w:name w:val="s2"/>
    <w:uiPriority w:val="0"/>
    <w:rPr>
      <w:rFonts w:ascii="pingfang sc" w:hAnsi="pingfang sc" w:eastAsia="pingfang sc" w:cs="pingfang sc"/>
      <w:sz w:val="26"/>
      <w:szCs w:val="2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49</Words>
  <Characters>281</Characters>
  <Lines>2</Lines>
  <Paragraphs>1</Paragraphs>
  <TotalTime>35</TotalTime>
  <ScaleCrop>false</ScaleCrop>
  <LinksUpToDate>false</LinksUpToDate>
  <CharactersWithSpaces>329</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2021-04-22T03:15:00Z</dcterms:created>
  <dc:creator>Tiffany Yang</dc:creator>
  <cp:lastModifiedBy>WPS_1775555782</cp:lastModifiedBy>
  <dcterms:modified xsi:type="dcterms:W3CDTF">2026-04-17T02:42:05Z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1033-12.1.25867.25867</vt:lpwstr>
  </property>
  <property fmtid="{D5CDD505-2E9C-101B-9397-08002B2CF9AE}" pid="3" name="ICV">
    <vt:lpwstr>AE8C1A642D21443FAA62DC69C9926DBC_42</vt:lpwstr>
  </property>
</Properties>
</file>