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45AF59">
      <w:pPr>
        <w:jc w:val="left"/>
        <w:rPr>
          <w:b/>
          <w:bCs/>
          <w:sz w:val="36"/>
          <w:szCs w:val="36"/>
        </w:rPr>
      </w:pPr>
      <w:r>
        <w:rPr>
          <w:rFonts w:ascii="方正舒体" w:hAnsi="Arial" w:eastAsia="方正舒体" w:cs="Arial"/>
          <w:b/>
          <w:bCs/>
          <w:szCs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19050</wp:posOffset>
                </wp:positionH>
                <wp:positionV relativeFrom="paragraph">
                  <wp:posOffset>533400</wp:posOffset>
                </wp:positionV>
                <wp:extent cx="5181600" cy="19050"/>
                <wp:effectExtent l="0" t="0" r="19050" b="1905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81600" cy="190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接连接符 2" o:spid="_x0000_s1026" o:spt="20" style="position:absolute;left:0pt;margin-left:1.5pt;margin-top:42pt;height:1.5pt;width:408pt;z-index:251659264;mso-width-relative:page;mso-height-relative:page;" filled="f" stroked="t" coordsize="21600,21600" o:gfxdata="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lvhyc1AAAAAcB&#10;AAAPAAAAAAAAAAEAIAAAACIAAABkcnMvZG93bnJldi54bWxQSwECFAAUAAAACACHTuJALTw0s+YB&#10;AAC1AwAADgAAAAAAAAABACAAAAAjAQAAZHJzL2Uyb0RvYy54bWxQSwUGAAAAAAYABgBZAQAAewUA&#10;AAAA&#10;">
                <v:fill on="f" focussize="0,0"/>
                <v:stroke weight="0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方正舒体" w:hAnsi="Arial" w:eastAsia="方正舒体" w:cs="Arial"/>
          <w:b/>
          <w:bCs/>
          <w:szCs w:val="21"/>
        </w:rPr>
        <w:drawing>
          <wp:inline distT="0" distB="0" distL="0" distR="0">
            <wp:extent cx="2019300" cy="421005"/>
            <wp:effectExtent l="0" t="0" r="0" b="0"/>
            <wp:docPr id="6" name="图片 6" descr="C:\Users\changtuo\AppData\Local\Temp\1563422463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C:\Users\changtuo\AppData\Local\Temp\1563422463(1)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421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4F69E">
      <w:pPr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员工年度总结表</w:t>
      </w:r>
    </w:p>
    <w:p w14:paraId="198EF854">
      <w:pPr>
        <w:jc w:val="center"/>
        <w:rPr>
          <w:b/>
          <w:bCs/>
          <w:color w:val="FF0000"/>
          <w:sz w:val="20"/>
          <w:szCs w:val="20"/>
        </w:rPr>
      </w:pPr>
      <w:r>
        <w:rPr>
          <w:rFonts w:hint="eastAsia"/>
          <w:b/>
          <w:bCs/>
          <w:color w:val="FF0000"/>
          <w:sz w:val="20"/>
          <w:szCs w:val="20"/>
        </w:rPr>
        <w:t>（review流程：入职每满一年当月填写总结表，发次月薪资前出</w:t>
      </w:r>
      <w:r>
        <w:rPr>
          <w:b/>
          <w:bCs/>
          <w:color w:val="FF0000"/>
          <w:sz w:val="20"/>
          <w:szCs w:val="20"/>
        </w:rPr>
        <w:t>review结果</w:t>
      </w:r>
      <w:r>
        <w:rPr>
          <w:rFonts w:hint="eastAsia"/>
          <w:b/>
          <w:bCs/>
          <w:color w:val="FF0000"/>
          <w:sz w:val="20"/>
          <w:szCs w:val="20"/>
        </w:rPr>
        <w:t>）</w:t>
      </w:r>
    </w:p>
    <w:p w14:paraId="34E09647">
      <w:pPr>
        <w:jc w:val="right"/>
        <w:rPr>
          <w:b/>
          <w:bCs/>
          <w:sz w:val="18"/>
          <w:szCs w:val="18"/>
        </w:rPr>
      </w:pPr>
      <w:r>
        <w:rPr>
          <w:rFonts w:hint="eastAsia"/>
          <w:sz w:val="18"/>
          <w:szCs w:val="18"/>
        </w:rPr>
        <w:t xml:space="preserve"> </w:t>
      </w:r>
      <w:r>
        <w:rPr>
          <w:sz w:val="18"/>
          <w:szCs w:val="18"/>
        </w:rPr>
        <w:t xml:space="preserve">                               </w:t>
      </w:r>
      <w:r>
        <w:rPr>
          <w:rFonts w:hint="eastAsia"/>
          <w:b/>
          <w:bCs/>
          <w:sz w:val="24"/>
          <w:szCs w:val="24"/>
        </w:rPr>
        <w:t xml:space="preserve">填表时间： </w:t>
      </w:r>
      <w:r>
        <w:rPr>
          <w:b/>
          <w:bCs/>
          <w:sz w:val="24"/>
          <w:szCs w:val="24"/>
        </w:rPr>
        <w:t xml:space="preserve">     </w:t>
      </w:r>
      <w:r>
        <w:rPr>
          <w:rFonts w:hint="eastAsia"/>
          <w:b/>
          <w:bCs/>
          <w:sz w:val="24"/>
          <w:szCs w:val="24"/>
        </w:rPr>
        <w:t xml:space="preserve">年 </w:t>
      </w:r>
      <w:r>
        <w:rPr>
          <w:b/>
          <w:bCs/>
          <w:sz w:val="24"/>
          <w:szCs w:val="24"/>
        </w:rPr>
        <w:t xml:space="preserve">   </w:t>
      </w:r>
      <w:r>
        <w:rPr>
          <w:rFonts w:hint="eastAsia"/>
          <w:b/>
          <w:bCs/>
          <w:sz w:val="24"/>
          <w:szCs w:val="24"/>
        </w:rPr>
        <w:t xml:space="preserve">月 </w:t>
      </w:r>
      <w:r>
        <w:rPr>
          <w:b/>
          <w:bCs/>
          <w:sz w:val="24"/>
          <w:szCs w:val="24"/>
        </w:rPr>
        <w:t xml:space="preserve">   </w:t>
      </w:r>
      <w:r>
        <w:rPr>
          <w:rFonts w:hint="eastAsia"/>
          <w:b/>
          <w:bCs/>
          <w:sz w:val="24"/>
          <w:szCs w:val="24"/>
        </w:rPr>
        <w:t>日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2232"/>
        <w:gridCol w:w="2097"/>
        <w:gridCol w:w="2147"/>
      </w:tblGrid>
      <w:tr w14:paraId="35B9DF28">
        <w:trPr>
          <w:trHeight w:val="557" w:hRule="atLeast"/>
        </w:trPr>
        <w:tc>
          <w:tcPr>
            <w:tcW w:w="8296" w:type="dxa"/>
            <w:gridSpan w:val="4"/>
            <w:shd w:val="clear" w:color="auto" w:fill="92D050"/>
          </w:tcPr>
          <w:p w14:paraId="2836271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基本信息</w:t>
            </w:r>
          </w:p>
        </w:tc>
      </w:tr>
      <w:tr w14:paraId="54FCF7E9">
        <w:trPr>
          <w:trHeight w:val="557" w:hRule="atLeast"/>
        </w:trPr>
        <w:tc>
          <w:tcPr>
            <w:tcW w:w="1820" w:type="dxa"/>
          </w:tcPr>
          <w:p w14:paraId="10B8DC15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 xml:space="preserve">姓 </w:t>
            </w:r>
            <w:r>
              <w:rPr>
                <w:sz w:val="24"/>
                <w:szCs w:val="24"/>
              </w:rPr>
              <w:t xml:space="preserve">  </w:t>
            </w:r>
            <w:r>
              <w:rPr>
                <w:rFonts w:hint="eastAsia"/>
                <w:sz w:val="24"/>
                <w:szCs w:val="24"/>
              </w:rPr>
              <w:t>名</w:t>
            </w:r>
          </w:p>
        </w:tc>
        <w:tc>
          <w:tcPr>
            <w:tcW w:w="2232" w:type="dxa"/>
            <w:vAlign w:val="top"/>
          </w:tcPr>
          <w:p w14:paraId="4FF82298">
            <w:pPr>
              <w:jc w:val="center"/>
              <w:rPr>
                <w:rFonts w:asciiTheme="minorHAnsi" w:hAnsiTheme="minorHAnsi" w:eastAsiaTheme="minorEastAsia" w:cstheme="minorBidi"/>
                <w:kern w:val="2"/>
                <w:sz w:val="24"/>
                <w:szCs w:val="24"/>
                <w:lang w:eastAsia="zh-CN" w:bidi="ar-SA"/>
              </w:rPr>
            </w:pPr>
            <w:r>
              <w:rPr>
                <w:sz w:val="24"/>
                <w:szCs w:val="24"/>
              </w:rPr>
              <w:t>兰杨能</w:t>
            </w:r>
          </w:p>
        </w:tc>
        <w:tc>
          <w:tcPr>
            <w:tcW w:w="2097" w:type="dxa"/>
          </w:tcPr>
          <w:p w14:paraId="60286B22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入职时间</w:t>
            </w:r>
          </w:p>
        </w:tc>
        <w:tc>
          <w:tcPr>
            <w:tcW w:w="2147" w:type="dxa"/>
            <w:vAlign w:val="top"/>
          </w:tcPr>
          <w:p w14:paraId="63D9AF83">
            <w:pPr>
              <w:jc w:val="center"/>
              <w:rPr>
                <w:rFonts w:asciiTheme="minorHAnsi" w:hAnsiTheme="minorHAnsi" w:eastAsiaTheme="minorEastAsia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  <w:szCs w:val="24"/>
              </w:rPr>
              <w:t>2020.04.22</w:t>
            </w:r>
          </w:p>
        </w:tc>
      </w:tr>
      <w:tr w14:paraId="1255069E">
        <w:trPr>
          <w:trHeight w:val="557" w:hRule="atLeast"/>
        </w:trPr>
        <w:tc>
          <w:tcPr>
            <w:tcW w:w="1820" w:type="dxa"/>
          </w:tcPr>
          <w:p w14:paraId="003DEDC6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 xml:space="preserve">项 </w:t>
            </w:r>
            <w:r>
              <w:rPr>
                <w:sz w:val="24"/>
                <w:szCs w:val="24"/>
              </w:rPr>
              <w:t xml:space="preserve">  </w:t>
            </w:r>
            <w:r>
              <w:rPr>
                <w:rFonts w:hint="eastAsia"/>
                <w:sz w:val="24"/>
                <w:szCs w:val="24"/>
              </w:rPr>
              <w:t>目</w:t>
            </w:r>
          </w:p>
        </w:tc>
        <w:tc>
          <w:tcPr>
            <w:tcW w:w="2232" w:type="dxa"/>
          </w:tcPr>
          <w:p w14:paraId="0E806606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Hans"/>
              </w:rPr>
              <w:t>Re</w:t>
            </w:r>
            <w:r>
              <w:rPr>
                <w:rFonts w:hint="default"/>
                <w:sz w:val="24"/>
                <w:szCs w:val="24"/>
                <w:lang w:eastAsia="zh-Hans"/>
              </w:rPr>
              <w:t>markableFoods</w:t>
            </w:r>
            <w:r>
              <w:rPr>
                <w:rFonts w:hint="default"/>
                <w:sz w:val="24"/>
                <w:szCs w:val="24"/>
                <w:lang w:eastAsia="zh-Hans"/>
              </w:rPr>
              <w:br w:type="textWrapping"/>
            </w:r>
            <w:r>
              <w:rPr>
                <w:rFonts w:hint="default"/>
                <w:sz w:val="24"/>
                <w:szCs w:val="24"/>
                <w:lang w:eastAsia="zh-Hans"/>
              </w:rPr>
              <w:t>HDR</w:t>
            </w:r>
          </w:p>
        </w:tc>
        <w:tc>
          <w:tcPr>
            <w:tcW w:w="2097" w:type="dxa"/>
          </w:tcPr>
          <w:p w14:paraId="2BE3F61C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 xml:space="preserve">岗 </w:t>
            </w:r>
            <w:r>
              <w:rPr>
                <w:sz w:val="24"/>
                <w:szCs w:val="24"/>
              </w:rPr>
              <w:t xml:space="preserve">  </w:t>
            </w:r>
            <w:r>
              <w:rPr>
                <w:rFonts w:hint="eastAsia"/>
                <w:sz w:val="24"/>
                <w:szCs w:val="24"/>
              </w:rPr>
              <w:t>位</w:t>
            </w:r>
          </w:p>
        </w:tc>
        <w:tc>
          <w:tcPr>
            <w:tcW w:w="2147" w:type="dxa"/>
            <w:vAlign w:val="top"/>
          </w:tcPr>
          <w:p w14:paraId="46369E4F">
            <w:pPr>
              <w:jc w:val="center"/>
              <w:rPr>
                <w:rFonts w:asciiTheme="minorHAnsi" w:hAnsiTheme="minorHAnsi" w:eastAsiaTheme="minorEastAsia" w:cstheme="minorBidi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  <w:szCs w:val="24"/>
              </w:rPr>
              <w:t>JAVA Engineer</w:t>
            </w:r>
          </w:p>
        </w:tc>
      </w:tr>
      <w:tr w14:paraId="59A59525">
        <w:trPr>
          <w:trHeight w:val="557" w:hRule="atLeast"/>
        </w:trPr>
        <w:tc>
          <w:tcPr>
            <w:tcW w:w="8296" w:type="dxa"/>
            <w:gridSpan w:val="4"/>
            <w:shd w:val="clear" w:color="auto" w:fill="92D050"/>
          </w:tcPr>
          <w:p w14:paraId="083C6A4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/>
                <w:b/>
                <w:bCs/>
                <w:sz w:val="24"/>
                <w:szCs w:val="24"/>
              </w:rPr>
              <w:t>员工年度总结</w:t>
            </w:r>
          </w:p>
        </w:tc>
      </w:tr>
      <w:tr w14:paraId="5FECEC14">
        <w:trPr>
          <w:trHeight w:val="13838" w:hRule="atLeast"/>
        </w:trPr>
        <w:tc>
          <w:tcPr>
            <w:tcW w:w="8296" w:type="dxa"/>
            <w:gridSpan w:val="4"/>
          </w:tcPr>
          <w:p w14:paraId="4D57FDCB">
            <w:pPr>
              <w:pStyle w:val="12"/>
              <w:ind w:left="0" w:leftChars="0" w:firstLine="0" w:firstLineChars="0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lang w:val="en-US" w:eastAsia="zh-CN"/>
              </w:rPr>
              <w:t>尊敬的领导：</w:t>
            </w:r>
          </w:p>
          <w:p w14:paraId="221DB456">
            <w:pPr>
              <w:pStyle w:val="12"/>
              <w:ind w:left="0" w:leftChars="0" w:firstLine="0" w:firstLineChars="0"/>
              <w:rPr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时光荏苒，我已经在公司度过了充实而富有意义的 </w:t>
            </w:r>
            <w:r>
              <w:rPr>
                <w:rFonts w:hint="default"/>
                <w:lang w:val="en-US" w:eastAsia="zh-CN"/>
              </w:rPr>
              <w:t>6</w:t>
            </w:r>
            <w:r>
              <w:rPr>
                <w:rFonts w:hint="eastAsia"/>
                <w:lang w:val="en-US" w:eastAsia="zh-CN"/>
              </w:rPr>
              <w:t xml:space="preserve"> 年时光。回顾 202</w:t>
            </w:r>
            <w:r>
              <w:rPr>
                <w:rFonts w:hint="default"/>
                <w:lang w:val="en-US" w:eastAsia="zh-CN"/>
              </w:rPr>
              <w:t>5</w:t>
            </w:r>
            <w:r>
              <w:rPr>
                <w:rFonts w:hint="eastAsia"/>
                <w:lang w:val="en-US" w:eastAsia="zh-CN"/>
              </w:rPr>
              <w:t xml:space="preserve"> 年，我满怀感恩，感谢领导和同事们一直以来对我工作的支持与帮助。以下是我对 202</w:t>
            </w:r>
            <w:r>
              <w:rPr>
                <w:rFonts w:hint="default"/>
                <w:lang w:val="en-US" w:eastAsia="zh-CN"/>
              </w:rPr>
              <w:t>5</w:t>
            </w:r>
            <w:r>
              <w:rPr>
                <w:rFonts w:hint="eastAsia"/>
                <w:lang w:val="en-US" w:eastAsia="zh-CN"/>
              </w:rPr>
              <w:t xml:space="preserve"> 年工作的年度总结：</w:t>
            </w:r>
          </w:p>
          <w:p w14:paraId="18F995FE">
            <w:pPr>
              <w:pStyle w:val="12"/>
              <w:ind w:left="0" w:leftChars="0" w:firstLine="0" w:firstLineChars="0"/>
              <w:rPr>
                <w:b/>
                <w:bCs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一、主要工作内容</w:t>
            </w:r>
          </w:p>
          <w:p w14:paraId="27CC7834">
            <w:pPr>
              <w:pStyle w:val="12"/>
              <w:numPr>
                <w:numId w:val="0"/>
              </w:numPr>
              <w:ind w:leftChars="0"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在过去的一年里，我继续深耕核心业务系统（HDR Portal / KOM / Delivery Zone），主导了多个涉及跨系统联动的史诗级需求（Epic）和底层技术调优，有效支撑了业务的高速扩展和精细化闭环运营。主要包括以下三个维度：</w:t>
            </w:r>
          </w:p>
          <w:p w14:paraId="458D6BE1">
            <w:pPr>
              <w:pStyle w:val="12"/>
              <w:numPr>
                <w:ilvl w:val="0"/>
                <w:numId w:val="1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规模化门店基建与闭店管控：主导开发了全面涵盖Parking Spot、营业时间（Service Time）、门店上线节奏（Go Live Date）</w:t>
            </w:r>
            <w:r>
              <w:rPr>
                <w:rFonts w:hint="eastAsia"/>
                <w:lang w:val="en-US" w:eastAsia="zh-CN"/>
              </w:rPr>
              <w:t>、 Assig</w:t>
            </w:r>
            <w:r>
              <w:rPr>
                <w:rFonts w:hint="default"/>
                <w:lang w:val="en-US" w:eastAsia="zh-CN"/>
              </w:rPr>
              <w:t xml:space="preserve">n </w:t>
            </w:r>
            <w:r>
              <w:rPr>
                <w:rFonts w:hint="eastAsia"/>
                <w:lang w:val="en-US" w:eastAsia="zh-CN"/>
              </w:rPr>
              <w:t>R</w:t>
            </w:r>
            <w:r>
              <w:rPr>
                <w:rFonts w:hint="default"/>
                <w:lang w:val="en-US" w:eastAsia="zh-CN"/>
              </w:rPr>
              <w:t>estaurant等核心属性的规模化数据批量处理流水线（Bulk Operations），并完善了晚间复杂营业逻辑与打烊规则（Late Night Rules / Restaurant Calendar）。</w:t>
            </w:r>
          </w:p>
          <w:p w14:paraId="278977C9">
            <w:pPr>
              <w:pStyle w:val="12"/>
              <w:numPr>
                <w:ilvl w:val="0"/>
                <w:numId w:val="1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精细化库存管理与紧急熔断体</w:t>
            </w:r>
            <w:r>
              <w:rPr>
                <w:rFonts w:hint="eastAsia"/>
                <w:lang w:val="en-US" w:eastAsia="zh-CN"/>
              </w:rPr>
              <w:t xml:space="preserve">：从 0 到 1 建设由批量备料任务（ Bulk Prep </w:t>
            </w:r>
            <w:r>
              <w:rPr>
                <w:rFonts w:hint="default"/>
                <w:lang w:val="en-US" w:eastAsia="zh-CN"/>
              </w:rPr>
              <w:t>Task</w:t>
            </w:r>
            <w:r>
              <w:rPr>
                <w:rFonts w:hint="eastAsia"/>
                <w:lang w:val="en-US" w:eastAsia="zh-CN"/>
              </w:rPr>
              <w:t>）与 热食备餐投产（Hot Holding Drop）共同构成的精细化库存与备餐链路，</w:t>
            </w:r>
            <w:r>
              <w:rPr>
                <w:rFonts w:hint="default"/>
                <w:lang w:val="en-US" w:eastAsia="zh-CN"/>
              </w:rPr>
              <w:t xml:space="preserve">同时打造了应对突发异常的快速断供链路（Mark </w:t>
            </w:r>
            <w:r>
              <w:rPr>
                <w:rFonts w:hint="eastAsia"/>
                <w:lang w:val="en-US" w:eastAsia="zh-CN"/>
              </w:rPr>
              <w:t>Com</w:t>
            </w:r>
            <w:r>
              <w:rPr>
                <w:rFonts w:hint="default"/>
                <w:lang w:val="en-US" w:eastAsia="zh-CN"/>
              </w:rPr>
              <w:t>ponent As OOS &amp; Appliance Down）。</w:t>
            </w:r>
          </w:p>
          <w:p w14:paraId="54F8EF93">
            <w:pPr>
              <w:pStyle w:val="12"/>
              <w:numPr>
                <w:ilvl w:val="0"/>
                <w:numId w:val="1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底层数据资产治理与物流逻辑解耦：配合预测部门（Forecasting team）的老系统下线计划，主导梳理并重构了从中央仓（DISH）发往各门店（HDR）的物料（SKU）物理调拨入库逻辑，完成了底层复杂多表关联关系的数据抽取与扁平化设计。</w:t>
            </w:r>
          </w:p>
          <w:p w14:paraId="0C781F06">
            <w:pPr>
              <w:pStyle w:val="12"/>
              <w:numPr>
                <w:ilvl w:val="0"/>
                <w:numId w:val="2"/>
              </w:numPr>
              <w:ind w:left="0" w:leftChars="0" w:firstLine="0" w:firstLine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工作成果</w:t>
            </w:r>
          </w:p>
          <w:p w14:paraId="6EC59249">
            <w:pPr>
              <w:pStyle w:val="12"/>
              <w:widowControl w:val="0"/>
              <w:numPr>
                <w:ilvl w:val="0"/>
                <w:numId w:val="3"/>
              </w:numPr>
              <w:ind w:left="425" w:leftChars="0" w:hanging="425" w:firstLineChars="0"/>
              <w:contextualSpacing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研发规模化运营基建，攻克扩张瓶颈：针对业务高速拓张期带来的单节点人工配置瓶颈，主导开发了跨</w:t>
            </w:r>
            <w:r>
              <w:rPr>
                <w:rFonts w:hint="eastAsia"/>
                <w:lang w:val="en-US" w:eastAsia="zh-CN"/>
              </w:rPr>
              <w:t>HDR</w:t>
            </w:r>
            <w:r>
              <w:rPr>
                <w:rFonts w:hint="default"/>
                <w:lang w:val="en-US" w:eastAsia="zh-CN"/>
              </w:rPr>
              <w:t>/同HDR的批量</w:t>
            </w:r>
            <w:r>
              <w:rPr>
                <w:rFonts w:hint="eastAsia"/>
                <w:lang w:val="en-US" w:eastAsia="zh-CN"/>
              </w:rPr>
              <w:t>运营</w:t>
            </w:r>
            <w:r>
              <w:rPr>
                <w:rFonts w:hint="default"/>
                <w:lang w:val="en-US" w:eastAsia="zh-CN"/>
              </w:rPr>
              <w:t xml:space="preserve">时间(service time)管控、批量餐厅分配、批量上线日(go live date)管理, </w:t>
            </w:r>
            <w:r>
              <w:rPr>
                <w:rFonts w:hint="eastAsia"/>
                <w:lang w:val="en-US" w:eastAsia="zh-CN"/>
              </w:rPr>
              <w:t>批量assign praking</w:t>
            </w:r>
            <w:r>
              <w:rPr>
                <w:rFonts w:hint="default"/>
                <w:lang w:val="en-US" w:eastAsia="zh-CN"/>
              </w:rPr>
              <w:t xml:space="preserve"> spot。这一系列基建工具将运营团队在多门店（Across HDRs）管理上的操作耗时缩减了数倍，扫清了系统层面的开城拓店障碍。</w:t>
            </w:r>
          </w:p>
          <w:p w14:paraId="7562D8B3">
            <w:pPr>
              <w:pStyle w:val="12"/>
              <w:widowControl w:val="0"/>
              <w:numPr>
                <w:ilvl w:val="0"/>
                <w:numId w:val="3"/>
              </w:numPr>
              <w:ind w:left="425" w:leftChars="0" w:hanging="425" w:firstLineChars="0"/>
              <w:contextualSpacing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重构精细化备餐与库存协同链路：构建了以后厨备餐流转为核心的管理闭环。纵向打通了 Bulk Prep 任务下发、基于 Looker 算法预测和实时库存驱动的 Hot Drop（热食投产）任务分发与状态追踪（创建、废弃、完成及验收拆分）；同时重构了近乎实时（Near real-time）的在手库存更新逻辑。这套体系彻底破除了厨房不同环节间的信息孤岛，实现了从“被动接单”到“前瞻性备餐”的跨越，极大提升了出餐就绪率并直观减少了原料报损。</w:t>
            </w:r>
          </w:p>
          <w:p w14:paraId="47AF26E1">
            <w:pPr>
              <w:pStyle w:val="12"/>
              <w:widowControl w:val="0"/>
              <w:numPr>
                <w:ilvl w:val="0"/>
                <w:numId w:val="3"/>
              </w:numPr>
              <w:ind w:left="425" w:leftChars="0" w:hanging="425" w:firstLineChars="0"/>
              <w:contextualSpacing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建设高可用紧急响应与防断供安全网：主导开发了基于后厨资产状态的级联熔断链路。当门店物理设备发生故障（Appliance Down）时，系统可瞬间自动检索并下架所有强依赖该设备烹饪的关联菜品；同时支持细颗粒度的“一键售罄（</w:t>
            </w:r>
            <w:r>
              <w:rPr>
                <w:rFonts w:hint="eastAsia"/>
                <w:lang w:val="en-US" w:eastAsia="zh-CN"/>
              </w:rPr>
              <w:t xml:space="preserve">Component </w:t>
            </w:r>
            <w:r>
              <w:rPr>
                <w:rFonts w:hint="default"/>
                <w:lang w:val="en-US" w:eastAsia="zh-CN"/>
              </w:rPr>
              <w:t>OOS）”功能</w:t>
            </w:r>
            <w:r>
              <w:rPr>
                <w:rFonts w:hint="eastAsia"/>
                <w:lang w:val="en-US" w:eastAsia="zh-CN"/>
              </w:rPr>
              <w:t>；</w:t>
            </w:r>
            <w:r>
              <w:rPr>
                <w:rFonts w:hint="default"/>
                <w:lang w:val="en-US" w:eastAsia="zh-CN"/>
              </w:rPr>
              <w:t>并上线了能够</w:t>
            </w:r>
            <w:r>
              <w:rPr>
                <w:rFonts w:hint="eastAsia"/>
                <w:lang w:val="en-US" w:eastAsia="zh-CN"/>
              </w:rPr>
              <w:t>批量</w:t>
            </w:r>
            <w:r>
              <w:rPr>
                <w:rFonts w:hint="default"/>
                <w:lang w:val="en-US" w:eastAsia="zh-CN"/>
              </w:rPr>
              <w:t>关停所有门店的开关（Bulk Open/Close HDRs）。在遇到硬件宕机或原料短缺等极端场景时，这些熔断机制能瞬间切断相关菜品在前端客耗层的外露，从物理源头阻断无法履约的订单流入，大幅降低错配客诉率，构筑了强有力的业务安全底线。</w:t>
            </w:r>
            <w:bookmarkStart w:id="0" w:name="_GoBack"/>
            <w:bookmarkEnd w:id="0"/>
          </w:p>
          <w:p w14:paraId="7A5365A4">
            <w:pPr>
              <w:pStyle w:val="12"/>
              <w:widowControl w:val="0"/>
              <w:numPr>
                <w:ilvl w:val="0"/>
                <w:numId w:val="3"/>
              </w:numPr>
              <w:ind w:left="425" w:leftChars="0" w:hanging="425" w:firstLineChars="0"/>
              <w:contextualSpacing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突破性系统降负与三层数据归档架构 (Data Archive)：针对核心大表随业务膨胀带来的查询性能骤降问题，主动牵头落地了基于生命周期管理（DLM）的冷-温-热三级数据归档策略。通过裁剪极速化热数据表（仅留近 6 个月）消除了高并发查询毛刺；而在同实例创新设计的“温表区（保留 6~12 个月）”则给日常数据修复与客诉订正预留了弹性空间；最后，将不可追溯的一年前数据彻底休眠转储至 Azure Blob Storage，在毫发无损核心业务的前提下，强行阻断了 MySQL 磁盘容量费用的无序扩张，完成了优异的基础设施降本。</w:t>
            </w:r>
          </w:p>
          <w:p w14:paraId="03D4B855">
            <w:pPr>
              <w:pStyle w:val="12"/>
              <w:widowControl w:val="0"/>
              <w:numPr>
                <w:ilvl w:val="0"/>
                <w:numId w:val="3"/>
              </w:numPr>
              <w:ind w:left="425" w:leftChars="0" w:hanging="425" w:firstLineChars="0"/>
              <w:contextualSpacing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供应链数据扁平化治理与旧系统解耦：针对中央仓发货至门店收货环节累积的历史技术债（旧路由高度耦合烹饪组和BOM，溯源极差），我实施了底层逻辑的剥离战役。将庞杂的动态推算重构为精准映射 SKU 与 Pod 属地的单张扁平化底表并接入 BigQuery。该重构不仅为预测老系统的平稳下线扫清了障碍，也大幅度简化了前端门店的收货核对规范以及 BI 开发链路的分析门槛。</w:t>
            </w:r>
          </w:p>
          <w:p w14:paraId="449CF77D">
            <w:pPr>
              <w:pStyle w:val="12"/>
              <w:numPr>
                <w:ilvl w:val="0"/>
                <w:numId w:val="0"/>
              </w:numPr>
              <w:ind w:lef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三、个人优点</w:t>
            </w:r>
          </w:p>
          <w:p w14:paraId="56C5140E">
            <w:pPr>
              <w:pStyle w:val="12"/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积极主动学习 DevOps 技术栈，通过参加线上课程、阅读专业书籍以及向同事请教等方式，快速掌握了相关工具的使用方法。在项目发布过程中，能够熟练运用 DevOps 工具实现自动化部署，减少了人工操作带来的错误，提高了发布效率；在问题排查时，利用 DevOps 工具进行日志分析和性能监控，能够快速定位问题根源，及时解决问题，有效提升了工作效率。</w:t>
            </w:r>
          </w:p>
          <w:p w14:paraId="29F9831F">
            <w:pPr>
              <w:pStyle w:val="12"/>
              <w:ind w:left="0" w:leftChars="0" w:firstLine="0" w:firstLine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四、存在的不足</w:t>
            </w:r>
          </w:p>
          <w:p w14:paraId="048FFBD9">
            <w:pPr>
              <w:pStyle w:val="12"/>
              <w:numPr>
                <w:ilvl w:val="0"/>
                <w:numId w:val="4"/>
              </w:numPr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 datadog 的使用还不够熟悉，在性能监控和故障排查方面的应用能力有待提高。后续我将加强学习，通过实际操作和案例分析，尽快掌握 datadog 的高级功能。</w:t>
            </w:r>
          </w:p>
          <w:p w14:paraId="3CBEC88E">
            <w:pPr>
              <w:pStyle w:val="12"/>
              <w:numPr>
                <w:ilvl w:val="0"/>
                <w:numId w:val="4"/>
              </w:numPr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在性能优化方面参与的 ticket 较少，对系统性能优化的深度和广度还不够。接下来我会主动关注性能优化相关的任务，深入学习性能优化技术和方法，为提升系统性能贡献更多力量。</w:t>
            </w:r>
          </w:p>
          <w:p w14:paraId="7BBEB204">
            <w:pPr>
              <w:pStyle w:val="12"/>
              <w:ind w:left="0" w:leftChars="0" w:firstLine="0" w:firstLine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五、对团队的建议</w:t>
            </w:r>
          </w:p>
          <w:p w14:paraId="0230D6EC">
            <w:pPr>
              <w:pStyle w:val="12"/>
              <w:numPr>
                <w:ilvl w:val="0"/>
                <w:numId w:val="5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加强技术分享：建议团队定期组织技术分享会，让成员们分享自己在工作中积累的技术经验和心得，促进团队成员之间的技术交流和学习，共同提升团队的技术水平。</w:t>
            </w:r>
          </w:p>
          <w:p w14:paraId="1172E578">
            <w:pPr>
              <w:pStyle w:val="12"/>
              <w:numPr>
                <w:ilvl w:val="0"/>
                <w:numId w:val="5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完善文档管理：建立更加完善的项目文档管理制度，确保每个项目都有详细、准确的文档记录。这样不仅可以方便新成员快速了解项目情况，还能在项目维护和升级时提供有力支持。</w:t>
            </w:r>
          </w:p>
          <w:p w14:paraId="49CA2B17">
            <w:pPr>
              <w:pStyle w:val="12"/>
              <w:numPr>
                <w:ilvl w:val="0"/>
                <w:numId w:val="5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优化团队协作流程：对团队协作流程进行全面梳理和优化，明确各个环节的职责和时间节点，减少沟通成本和重复工作，提高团队协作效率。</w:t>
            </w:r>
          </w:p>
          <w:p w14:paraId="51F61143">
            <w:pPr>
              <w:pStyle w:val="12"/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展望未来，我将继续努力，不断提升自己的专业技能和综合素质，为公司的发展贡献更多的力量。</w:t>
            </w:r>
          </w:p>
          <w:p w14:paraId="682644F3">
            <w:pPr>
              <w:pStyle w:val="12"/>
            </w:pPr>
          </w:p>
        </w:tc>
      </w:tr>
      <w:tr w14:paraId="482B503D">
        <w:trPr>
          <w:trHeight w:val="2585" w:hRule="atLeast"/>
        </w:trPr>
        <w:tc>
          <w:tcPr>
            <w:tcW w:w="8296" w:type="dxa"/>
            <w:gridSpan w:val="4"/>
          </w:tcPr>
          <w:p w14:paraId="4743DB2A">
            <w:pPr>
              <w:pStyle w:val="7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/>
                <w:lang w:val="en-US"/>
              </w:rPr>
            </w:pPr>
          </w:p>
        </w:tc>
      </w:tr>
    </w:tbl>
    <w:p w14:paraId="2F0D6F1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4" w:lineRule="atLeast"/>
        <w:ind w:leftChars="0" w:right="0" w:rightChars="0"/>
        <w:rPr>
          <w:rFonts w:hint="default" w:asciiTheme="minorHAnsi" w:hAnsiTheme="minorHAnsi" w:eastAsiaTheme="minorEastAsia" w:cstheme="minorBidi"/>
          <w:kern w:val="2"/>
          <w:sz w:val="21"/>
          <w:szCs w:val="22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苹方-简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 semibold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方正舒体">
    <w:altName w:val="华文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等线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.sf ns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FFA1FD"/>
    <w:multiLevelType w:val="singleLevel"/>
    <w:tmpl w:val="DFFFA1FD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7FED7ED"/>
    <w:multiLevelType w:val="singleLevel"/>
    <w:tmpl w:val="27FED7E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54E4ECDC"/>
    <w:multiLevelType w:val="singleLevel"/>
    <w:tmpl w:val="54E4ECDC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681AD220"/>
    <w:multiLevelType w:val="multilevel"/>
    <w:tmpl w:val="681AD220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681AD86A"/>
    <w:multiLevelType w:val="singleLevel"/>
    <w:tmpl w:val="681AD86A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4B23"/>
    <w:rsid w:val="00004B23"/>
    <w:rsid w:val="0006041F"/>
    <w:rsid w:val="000A5079"/>
    <w:rsid w:val="000B1796"/>
    <w:rsid w:val="000C1B15"/>
    <w:rsid w:val="000D6740"/>
    <w:rsid w:val="000F7EA6"/>
    <w:rsid w:val="00104331"/>
    <w:rsid w:val="0011169C"/>
    <w:rsid w:val="00124360"/>
    <w:rsid w:val="00132473"/>
    <w:rsid w:val="001402A0"/>
    <w:rsid w:val="00171DCC"/>
    <w:rsid w:val="0018487D"/>
    <w:rsid w:val="001A5C27"/>
    <w:rsid w:val="001A7AA1"/>
    <w:rsid w:val="001C3AB6"/>
    <w:rsid w:val="001D51BF"/>
    <w:rsid w:val="002D3DB5"/>
    <w:rsid w:val="003067D0"/>
    <w:rsid w:val="00327B7B"/>
    <w:rsid w:val="003438BF"/>
    <w:rsid w:val="003B51FD"/>
    <w:rsid w:val="003C5724"/>
    <w:rsid w:val="004050CD"/>
    <w:rsid w:val="004A0133"/>
    <w:rsid w:val="004B591A"/>
    <w:rsid w:val="004B5AA9"/>
    <w:rsid w:val="004E0A81"/>
    <w:rsid w:val="0051031C"/>
    <w:rsid w:val="005A114D"/>
    <w:rsid w:val="005B25EF"/>
    <w:rsid w:val="005C696D"/>
    <w:rsid w:val="00620E72"/>
    <w:rsid w:val="006244DE"/>
    <w:rsid w:val="006465DF"/>
    <w:rsid w:val="00683E83"/>
    <w:rsid w:val="006E6495"/>
    <w:rsid w:val="00710EF5"/>
    <w:rsid w:val="00741127"/>
    <w:rsid w:val="0076200D"/>
    <w:rsid w:val="0079707C"/>
    <w:rsid w:val="007B04B8"/>
    <w:rsid w:val="008032D3"/>
    <w:rsid w:val="00824324"/>
    <w:rsid w:val="00840FF3"/>
    <w:rsid w:val="00892559"/>
    <w:rsid w:val="0089255A"/>
    <w:rsid w:val="008C3500"/>
    <w:rsid w:val="008E6379"/>
    <w:rsid w:val="008F0F5E"/>
    <w:rsid w:val="009047D1"/>
    <w:rsid w:val="00914987"/>
    <w:rsid w:val="009708B4"/>
    <w:rsid w:val="009D729D"/>
    <w:rsid w:val="00A14273"/>
    <w:rsid w:val="00A146C8"/>
    <w:rsid w:val="00A26E8D"/>
    <w:rsid w:val="00A426CF"/>
    <w:rsid w:val="00A92989"/>
    <w:rsid w:val="00A93FDA"/>
    <w:rsid w:val="00B26FDF"/>
    <w:rsid w:val="00B456E3"/>
    <w:rsid w:val="00BC059A"/>
    <w:rsid w:val="00BF6EC1"/>
    <w:rsid w:val="00C0263B"/>
    <w:rsid w:val="00C24208"/>
    <w:rsid w:val="00C2624A"/>
    <w:rsid w:val="00C93002"/>
    <w:rsid w:val="00C97C5C"/>
    <w:rsid w:val="00CB2503"/>
    <w:rsid w:val="00CC7B3E"/>
    <w:rsid w:val="00D551C3"/>
    <w:rsid w:val="00D778D5"/>
    <w:rsid w:val="00D95C73"/>
    <w:rsid w:val="00DC073A"/>
    <w:rsid w:val="00E06B2D"/>
    <w:rsid w:val="00E227EB"/>
    <w:rsid w:val="00E44751"/>
    <w:rsid w:val="00E54A09"/>
    <w:rsid w:val="00E60B48"/>
    <w:rsid w:val="00E646E7"/>
    <w:rsid w:val="00E70A93"/>
    <w:rsid w:val="00E765B6"/>
    <w:rsid w:val="00E7743B"/>
    <w:rsid w:val="00E93295"/>
    <w:rsid w:val="00EE7FDC"/>
    <w:rsid w:val="00EF55CB"/>
    <w:rsid w:val="00F44958"/>
    <w:rsid w:val="00F63372"/>
    <w:rsid w:val="00F747B4"/>
    <w:rsid w:val="00F90F54"/>
    <w:rsid w:val="00FA1D9B"/>
    <w:rsid w:val="00FE556C"/>
    <w:rsid w:val="2EB77444"/>
    <w:rsid w:val="3FBD7109"/>
    <w:rsid w:val="3FC9D451"/>
    <w:rsid w:val="3FDD1AE3"/>
    <w:rsid w:val="57FE8E8F"/>
    <w:rsid w:val="5CFF3E2A"/>
    <w:rsid w:val="5FC6BE8C"/>
    <w:rsid w:val="5FF7FBEC"/>
    <w:rsid w:val="6FDF1268"/>
    <w:rsid w:val="76DFD9D6"/>
    <w:rsid w:val="7ED79685"/>
    <w:rsid w:val="7EFCCA4F"/>
    <w:rsid w:val="7F6B05F6"/>
    <w:rsid w:val="9BFF6B8B"/>
    <w:rsid w:val="9FDF1A87"/>
    <w:rsid w:val="AF7E265D"/>
    <w:rsid w:val="B73EF120"/>
    <w:rsid w:val="BBD9C0AD"/>
    <w:rsid w:val="BBE7FAE0"/>
    <w:rsid w:val="CF7D45D8"/>
    <w:rsid w:val="D37FB2C8"/>
    <w:rsid w:val="D5BAEC73"/>
    <w:rsid w:val="DEFD7493"/>
    <w:rsid w:val="DFBF4BB7"/>
    <w:rsid w:val="DFDBAF58"/>
    <w:rsid w:val="E3EEB896"/>
    <w:rsid w:val="EFBBFBA3"/>
    <w:rsid w:val="F6DF1046"/>
    <w:rsid w:val="F76D3EF7"/>
    <w:rsid w:val="FBDDA047"/>
    <w:rsid w:val="FBF72D75"/>
    <w:rsid w:val="FDD988D5"/>
    <w:rsid w:val="FFBCB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unhideWhenUsed/>
    <w:uiPriority w:val="1"/>
  </w:style>
  <w:style w:type="table" w:default="1" w:styleId="4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1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0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3"/>
    <w:qFormat/>
    <w:uiPriority w:val="22"/>
    <w:rPr>
      <w:b/>
      <w:bCs/>
    </w:rPr>
  </w:style>
  <w:style w:type="table" w:styleId="9">
    <w:name w:val="Table Grid"/>
    <w:basedOn w:val="4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页眉 字符"/>
    <w:basedOn w:val="3"/>
    <w:link w:val="6"/>
    <w:uiPriority w:val="99"/>
    <w:rPr>
      <w:sz w:val="18"/>
      <w:szCs w:val="18"/>
    </w:rPr>
  </w:style>
  <w:style w:type="character" w:customStyle="1" w:styleId="11">
    <w:name w:val="页脚 字符"/>
    <w:basedOn w:val="3"/>
    <w:link w:val="5"/>
    <w:uiPriority w:val="99"/>
    <w:rPr>
      <w:sz w:val="18"/>
      <w:szCs w:val="18"/>
    </w:rPr>
  </w:style>
  <w:style w:type="paragraph" w:customStyle="1" w:styleId="12">
    <w:name w:val="List Paragraph"/>
    <w:basedOn w:val="1"/>
    <w:qFormat/>
    <w:uiPriority w:val="34"/>
    <w:pPr>
      <w:ind w:left="720"/>
      <w:contextualSpacing/>
    </w:pPr>
  </w:style>
  <w:style w:type="paragraph" w:customStyle="1" w:styleId="13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paragraph" w:customStyle="1" w:styleId="14">
    <w:name w:val="p2"/>
    <w:uiPriority w:val="0"/>
    <w:pPr>
      <w:spacing w:before="0" w:beforeAutospacing="0" w:after="0" w:afterAutospacing="0"/>
      <w:ind w:left="0" w:right="0"/>
      <w:jc w:val="left"/>
    </w:pPr>
    <w:rPr>
      <w:rFonts w:ascii="pingfang sc" w:hAnsi="pingfang sc" w:eastAsia="pingfang sc" w:cs="pingfang sc"/>
      <w:kern w:val="0"/>
      <w:sz w:val="26"/>
      <w:szCs w:val="26"/>
      <w:lang w:val="en-US" w:eastAsia="zh-CN" w:bidi="ar"/>
    </w:rPr>
  </w:style>
  <w:style w:type="character" w:customStyle="1" w:styleId="15">
    <w:name w:val="s1"/>
    <w:uiPriority w:val="0"/>
    <w:rPr>
      <w:rFonts w:hint="default" w:ascii="Helvetica Neue" w:hAnsi="Helvetica Neue" w:eastAsia="Helvetica Neue" w:cs="Helvetica Neue"/>
      <w:sz w:val="26"/>
      <w:szCs w:val="26"/>
    </w:rPr>
  </w:style>
  <w:style w:type="paragraph" w:customStyle="1" w:styleId="16">
    <w:name w:val="p3"/>
    <w:uiPriority w:val="0"/>
    <w:pPr>
      <w:spacing w:before="0" w:beforeAutospacing="0" w:after="0" w:afterAutospacing="0"/>
      <w:ind w:left="0" w:right="0"/>
      <w:jc w:val="left"/>
    </w:pPr>
    <w:rPr>
      <w:rFonts w:ascii="Helvetica Neue" w:hAnsi="Helvetica Neue" w:eastAsia="Helvetica Neue" w:cs="Helvetica Neue"/>
      <w:kern w:val="0"/>
      <w:sz w:val="26"/>
      <w:szCs w:val="26"/>
      <w:lang w:val="en-US" w:eastAsia="zh-CN" w:bidi="ar"/>
    </w:rPr>
  </w:style>
  <w:style w:type="paragraph" w:customStyle="1" w:styleId="17">
    <w:name w:val="p4"/>
    <w:uiPriority w:val="0"/>
    <w:pPr>
      <w:spacing w:before="0" w:beforeAutospacing="0" w:after="0" w:afterAutospacing="0"/>
      <w:ind w:left="0" w:right="0"/>
      <w:jc w:val="left"/>
    </w:pPr>
    <w:rPr>
      <w:rFonts w:ascii="pingfang sc semibold" w:hAnsi="pingfang sc semibold" w:eastAsia="pingfang sc semibold" w:cs="pingfang sc semibold"/>
      <w:kern w:val="0"/>
      <w:sz w:val="26"/>
      <w:szCs w:val="26"/>
      <w:lang w:val="en-US" w:eastAsia="zh-CN" w:bidi="ar"/>
    </w:rPr>
  </w:style>
  <w:style w:type="character" w:customStyle="1" w:styleId="18">
    <w:name w:val="s2"/>
    <w:uiPriority w:val="0"/>
    <w:rPr>
      <w:rFonts w:ascii="pingfang sc" w:hAnsi="pingfang sc" w:eastAsia="pingfang sc" w:cs="pingfang sc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49</Words>
  <Characters>281</Characters>
  <Lines>2</Lines>
  <Paragraphs>1</Paragraphs>
  <TotalTime>14</TotalTime>
  <ScaleCrop>false</ScaleCrop>
  <LinksUpToDate>false</LinksUpToDate>
  <CharactersWithSpaces>329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2021-04-22T08:15:00Z</dcterms:created>
  <dc:creator>Tiffany Yang</dc:creator>
  <cp:lastModifiedBy>WPS_1775555782</cp:lastModifiedBy>
  <dcterms:modified xsi:type="dcterms:W3CDTF">2026-04-13T06:10:11Z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AE8C1A642D21443FAA62DC69C9926DBC_42</vt:lpwstr>
  </property>
</Properties>
</file>