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Npm install vue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脚手架安装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npm install -g vue-cli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安装项目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vue init webpack my-project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安装axios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npm install --save axios vue-axios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040" cy="15100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选择不安装ESLint 它会对空格检测很烦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vue官方文档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"https://cn.vuejs.org/v2/guide/installation.html" \l "footnote-1"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https://cn.vuejs.org/v2/guide/installation.html#footnote-1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vue-router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"https://router.vuejs.org/zh/"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https://router.vuejs.org/zh/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Vue cli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"https://cli.vuejs.org/zh/guide/installation.html"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https://cli.vuejs.org/zh/guide/installation.html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Vscode安装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ESLint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vetur关闭关闭eslint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vue-axios</w:t>
      </w:r>
      <w:r>
        <w:rPr>
          <w:rFonts w:hint="eastAsia"/>
          <w:lang w:val="en-US" w:eastAsia="zh-CN"/>
        </w:rPr>
        <w:t>的引入与使用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 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//引入element-ui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Element-ui安装与使用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官方文档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"https://element.eleme.cn/" \l "/zh-CN/component/installation"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https://element.eleme.cn/#/zh-CN/component/installation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AFAFA"/>
        </w:rPr>
        <w:t>npm i element-ui -S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 加入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r>
        <w:drawing>
          <wp:inline distT="0" distB="0" distL="114300" distR="114300">
            <wp:extent cx="5269865" cy="38430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Config/index.js设置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proxyTable: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'/api':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target: 'http://www.larcloud.com', // 接口的域名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secure: false,  // 如果是https接口，需要配置这个参数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changeOrigin: true, // 如果接口跨域，需要进行这个参数配置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pathRewrite: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'^/api': ''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 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Vue路由默认为hash模式即路由中带#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我们开启history模式去掉#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</w:p>
    <w:p>
      <w:pPr>
        <w:ind w:left="210" w:hanging="210" w:hangingChars="100"/>
      </w:pPr>
      <w:r>
        <w:drawing>
          <wp:inline distT="0" distB="0" distL="114300" distR="114300">
            <wp:extent cx="5271770" cy="18796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</w:pPr>
    </w:p>
    <w:p>
      <w:pPr>
        <w:ind w:left="210" w:hanging="210" w:hangingChars="100"/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3.1引入其他组件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left="210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"https://blog.csdn.net/weixin_30800987/article/details/96572462"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https://blog.csdn.net/weixin_30800987/article/details/96572462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3.2列表渲染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tabData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"</w:t>
      </w:r>
    </w:p>
    <w:p>
      <w:pPr>
        <w:ind w:left="21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1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要加一个:key</w:t>
      </w:r>
    </w:p>
    <w:p>
      <w:pPr>
        <w:ind w:left="21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3.3定义全局组件与全局方法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"https://segmentfault.com/a/1190000015842187"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https://segmentfault.com/a/1190000015842187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3.4将获取的屏幕尺寸保存全局使用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利用localstorage完成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3.5动态设置属性</w:t>
      </w:r>
    </w:p>
    <w:p>
      <w:r>
        <w:drawing>
          <wp:inline distT="0" distB="0" distL="114300" distR="114300">
            <wp:extent cx="5273040" cy="84201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四．Element-ui使用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4.1table表格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排序</w:t>
      </w:r>
    </w:p>
    <w:tbl>
      <w:tblPr>
        <w:tblStyle w:val="4"/>
        <w:tblpPr w:leftFromText="180" w:rightFromText="180" w:vertAnchor="text" w:horzAnchor="page" w:tblpX="150" w:tblpY="307"/>
        <w:tblOverlap w:val="never"/>
        <w:tblW w:w="1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3"/>
        <w:gridCol w:w="7521"/>
        <w:gridCol w:w="1628"/>
        <w:gridCol w:w="1884"/>
        <w:gridCol w:w="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sortable</w:t>
            </w:r>
          </w:p>
        </w:tc>
        <w:tc>
          <w:tcPr>
            <w:tcW w:w="0" w:type="auto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对应列是否可以排序，如果设置为 'custom'，则代表用户希望远程排序，需要监听 Table 的 sort-change 事件</w:t>
            </w:r>
          </w:p>
        </w:tc>
        <w:tc>
          <w:tcPr>
            <w:tcW w:w="0" w:type="auto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boolean, string</w:t>
            </w:r>
          </w:p>
        </w:tc>
        <w:tc>
          <w:tcPr>
            <w:tcW w:w="0" w:type="auto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true, false, 'custom'</w:t>
            </w:r>
          </w:p>
        </w:tc>
        <w:tc>
          <w:tcPr>
            <w:tcW w:w="0" w:type="auto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</w:tbl>
    <w:tbl>
      <w:tblPr>
        <w:tblStyle w:val="4"/>
        <w:tblpPr w:leftFromText="180" w:rightFromText="180" w:vertAnchor="text" w:horzAnchor="page" w:tblpX="150" w:tblpY="374"/>
        <w:tblOverlap w:val="never"/>
        <w:tblW w:w="15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5140"/>
        <w:gridCol w:w="1330"/>
        <w:gridCol w:w="1874"/>
        <w:gridCol w:w="5354"/>
        <w:gridCol w:w="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26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default-sort</w:t>
            </w:r>
          </w:p>
        </w:tc>
        <w:tc>
          <w:tcPr>
            <w:tcW w:w="5140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默认的排序列的 prop 和顺序。它的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bdr w:val="single" w:color="EAEEFB" w:sz="6" w:space="0"/>
                <w:shd w:val="clear" w:fill="F9FAFC"/>
                <w:lang w:val="en-US" w:eastAsia="zh-CN" w:bidi="ar"/>
              </w:rPr>
              <w:t>prop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属性指定默认的排序的列，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bdr w:val="single" w:color="EAEEFB" w:sz="6" w:space="0"/>
                <w:shd w:val="clear" w:fill="F9FAFC"/>
                <w:lang w:val="en-US" w:eastAsia="zh-CN" w:bidi="ar"/>
              </w:rPr>
              <w:t>order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指定默认排序的顺序</w:t>
            </w:r>
          </w:p>
        </w:tc>
        <w:tc>
          <w:tcPr>
            <w:tcW w:w="1330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874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bdr w:val="single" w:color="EAEEFB" w:sz="6" w:space="0"/>
                <w:shd w:val="clear" w:fill="F9FAFC"/>
                <w:lang w:val="en-US" w:eastAsia="zh-CN" w:bidi="ar"/>
              </w:rPr>
              <w:t>order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: ascending, descending</w:t>
            </w:r>
          </w:p>
        </w:tc>
        <w:tc>
          <w:tcPr>
            <w:tcW w:w="5354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如果只指定了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bdr w:val="single" w:color="EAEEFB" w:sz="6" w:space="0"/>
                <w:shd w:val="clear" w:fill="F9FAFC"/>
                <w:lang w:val="en-US" w:eastAsia="zh-CN" w:bidi="ar"/>
              </w:rPr>
              <w:t>prop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, 没有指定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bdr w:val="single" w:color="EAEEFB" w:sz="6" w:space="0"/>
                <w:shd w:val="clear" w:fill="F9FAFC"/>
                <w:lang w:val="en-US" w:eastAsia="zh-CN" w:bidi="ar"/>
              </w:rPr>
              <w:t>order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  <w:t>, 则默认顺序是ascending</w:t>
            </w:r>
          </w:p>
        </w:tc>
        <w:tc>
          <w:tcPr>
            <w:tcW w:w="456" w:type="dxa"/>
            <w:tcBorders>
              <w:bottom w:val="single" w:color="DCDF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 w:ascii="Helvetica" w:hAnsi="Helvetica" w:eastAsia="宋体" w:cs="Helvetica"/>
          <w:i w:val="0"/>
          <w:caps w:val="0"/>
          <w:color w:val="5E6D8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E6D82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caps w:val="0"/>
          <w:color w:val="5E6D82"/>
          <w:spacing w:val="0"/>
          <w:sz w:val="21"/>
          <w:szCs w:val="21"/>
          <w:shd w:val="clear" w:fill="FFFFFF"/>
          <w:lang w:val="en-US" w:eastAsia="zh-CN"/>
        </w:rPr>
        <w:t>efault-sort默认的表格按照摸个字段排序方式</w:t>
      </w:r>
    </w:p>
    <w:p>
      <w:pPr>
        <w:rPr>
          <w:rFonts w:hint="default" w:ascii="Helvetica" w:hAnsi="Helvetica" w:cs="Helvetica" w:eastAsiaTheme="minorEastAsia"/>
          <w:i w:val="0"/>
          <w:caps w:val="0"/>
          <w:color w:val="5E6D8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8100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==》该表格按照时间字段降序显示</w:t>
      </w:r>
    </w:p>
    <w:p>
      <w:pPr>
        <w:rPr>
          <w:rFonts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在列中设置</w:t>
      </w:r>
      <w:r>
        <w:rPr>
          <w:rStyle w:val="7"/>
          <w:rFonts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sortable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属性即可实现以该列为基准的排序，接受一个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Boolean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，默认为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。可以通过 Table 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default-sort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属性设置默认的排序列和排序顺序。可以使用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sort-method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或者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sort-by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使用自定义的排序规则。如果需要后端排序，需将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sortable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设置为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custom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，同时在 Table 上监听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sort-change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事件，在事件回调中可以获取当前排序的字段名和排序顺序，从而向接口请求排序后的表格数据。在本例中，我们还使用了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formatter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属性，它用于格式化指定列的值，接受一个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Function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，会传入两个参数：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row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5E6D82"/>
          <w:spacing w:val="0"/>
          <w:sz w:val="18"/>
          <w:szCs w:val="18"/>
          <w:bdr w:val="single" w:color="EAEEFB" w:sz="6" w:space="0"/>
          <w:shd w:val="clear" w:fill="E6EFFB"/>
        </w:rPr>
        <w:t>column</w:t>
      </w:r>
      <w: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</w:rPr>
        <w:t>，可以根据自己的需求进行处理。</w:t>
      </w:r>
    </w:p>
    <w:p>
      <w:pPr>
        <w:rPr>
          <w:rFonts w:hint="default" w:ascii="Helvetica" w:hAnsi="Helvetica" w:eastAsia="Helvetica" w:cs="Helvetica"/>
          <w:i w:val="0"/>
          <w:caps w:val="0"/>
          <w:color w:val="5E6D82"/>
          <w:spacing w:val="0"/>
          <w:sz w:val="21"/>
          <w:szCs w:val="21"/>
          <w:shd w:val="clear" w:fill="FFFFFF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3298C"/>
    <w:multiLevelType w:val="singleLevel"/>
    <w:tmpl w:val="D223298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ADF4691"/>
    <w:multiLevelType w:val="singleLevel"/>
    <w:tmpl w:val="EADF46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2020-03-17T00:57:40Z</dcterms:created>
  <dc:creator>Lin</dc:creator>
  <cp:lastModifiedBy>Cai</cp:lastModifiedBy>
  <dcterms:modified xsi:type="dcterms:W3CDTF">2020-03-17T00:57:43Z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