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763"/>
          <w:sz w:val="40"/>
        </w:rPr>
        <w:t>Reportable Events Procedure</w:t>
      </w:r>
    </w:p>
    <w:p>
      <w:pPr>
        <w:spacing w:after="280"/>
      </w:pPr>
      <w:r>
        <w:rPr>
          <w:color w:val="555555"/>
          <w:sz w:val="24"/>
        </w:rPr>
        <w:t>Standard Operating Procedure (SOP)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Reportable Events Procedure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SOP Number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SKN-OPS-009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May 9, 2026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Revision Number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Alvin Belt</w:t>
            </w:r>
          </w:p>
        </w:tc>
      </w:tr>
      <w:tr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/>
            <w:r>
              <w:rPr>
                <w:sz w:val="20"/>
              </w:rPr>
              <w:t>Alvin Belt</w:t>
            </w:r>
          </w:p>
        </w:tc>
      </w:tr>
    </w:tbl>
    <w:p/>
    <w:p>
      <w:pPr>
        <w:keepNext/>
        <w:spacing w:before="280" w:after="120"/>
      </w:pPr>
      <w:r/>
      <w:r>
        <w:rPr>
          <w:b/>
          <w:color w:val="1F3763"/>
          <w:sz w:val="28"/>
        </w:rPr>
        <w:t>1. Purpose</w:t>
      </w:r>
    </w:p>
    <w:p>
      <w:pPr>
        <w:spacing w:after="40"/>
        <w:ind w:left="720" w:hanging="288"/>
      </w:pPr>
      <w:r>
        <w:t xml:space="preserve">•  </w:t>
      </w:r>
      <w:r>
        <w:t>Establish a single, defensible approach for managing Sweet July Beauty, LLC reportable regulatory events — MoCRA serious adverse events, FDA product recalls (Class I/II/III), state adverse event reports, and MoCRA-specific recall reporting.</w:t>
      </w:r>
    </w:p>
    <w:p>
      <w:pPr>
        <w:spacing w:after="40"/>
        <w:ind w:left="720" w:hanging="288"/>
      </w:pPr>
      <w:r>
        <w:t xml:space="preserve">•  </w:t>
      </w:r>
      <w:r>
        <w:t>Ensure every reportable event is staged through Pedrero Regulatory for binding classification, drafted into an agency-ready packet, submitted to the right agency channel, and tracked against statutory clock until the agency confirms close.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2. Scope</w:t>
      </w:r>
    </w:p>
    <w:p>
      <w:pPr>
        <w:spacing w:after="40"/>
        <w:ind w:left="720" w:hanging="288"/>
      </w:pPr>
      <w:r>
        <w:t xml:space="preserve">•  </w:t>
      </w:r>
      <w:r>
        <w:t>Applies to every Sweet July Beauty, LLC reportable regulatory event:</w:t>
      </w:r>
    </w:p>
    <w:p>
      <w:pPr>
        <w:spacing w:after="40"/>
        <w:ind w:left="1080" w:hanging="288"/>
      </w:pPr>
      <w:r>
        <w:t xml:space="preserve">o  </w:t>
      </w:r>
      <w:r>
        <w:t>MoCRA serious adverse events (consumer events meeting MoCRA SAE definition)</w:t>
      </w:r>
    </w:p>
    <w:p>
      <w:pPr>
        <w:spacing w:after="40"/>
        <w:ind w:left="1080" w:hanging="288"/>
      </w:pPr>
      <w:r>
        <w:t xml:space="preserve">o  </w:t>
      </w:r>
      <w:r>
        <w:t>FDA product recalls (Class I, II, III per 21 CFR 7)</w:t>
      </w:r>
    </w:p>
    <w:p>
      <w:pPr>
        <w:spacing w:after="40"/>
        <w:ind w:left="1080" w:hanging="288"/>
      </w:pPr>
      <w:r>
        <w:t xml:space="preserve">o  </w:t>
      </w:r>
      <w:r>
        <w:t>State adverse event reports (CA, NY, WA, OR consumer protection statutes)</w:t>
      </w:r>
    </w:p>
    <w:p>
      <w:pPr>
        <w:spacing w:after="40"/>
        <w:ind w:left="1080" w:hanging="288"/>
      </w:pPr>
      <w:r>
        <w:t xml:space="preserve">o  </w:t>
      </w:r>
      <w:r>
        <w:t>MoCRA-specific recall reporting (post-MoCRA implementation rules)</w:t>
      </w:r>
    </w:p>
    <w:p>
      <w:pPr>
        <w:spacing w:after="40"/>
        <w:ind w:left="720" w:hanging="288"/>
      </w:pPr>
      <w:r>
        <w:t xml:space="preserve">•  </w:t>
      </w:r>
      <w:r>
        <w:t>Does not apply to: customer complaint intake or triage (SKN-OPS-002, SKN-OPS-004 — complaint-and-event-handler), recall ops execution (SKN-OPS-003 — complaint-and-event-handler), the CAPA opened from an SAE or recall (SKN-OPS-001 — capa-coordinator), pre-launch IL/claim/label (SKN-OPS-008 — claims-il-and-label-keeper), MoCRA registrations or state cosmetic registries (regulatory-manager v6.3), international AE reporting.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3. Definitions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Reportable Event: </w:t>
      </w:r>
      <w:r>
        <w:t>Any event meeting MoCRA SAE definition, FDA recall criteria per 21 CFR 7, state AE statute, or MoCRA-specific recall reporting criteria.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Date of Awareness: </w:t>
      </w:r>
      <w:r>
        <w:t>The date AC Brands first became aware of an event meeting reportable criteria. Starts the statutory clock for SAE filings.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Statutory Clock: </w:t>
      </w:r>
      <w:r>
        <w:t>The mandated reporting window. 15 days for MoCRA SAE; 1-3 days for Class I recall; ~10 days Class II; ~30 days Class III.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Filing Reference: </w:t>
      </w:r>
      <w:r>
        <w:t>The agency-assigned tracking number once submitted (FDA MedWatch ID, FDA recall tracking number, state DOH case ID). Internally numbered SAE-YYYY-NNN, RCL-YYYY-NNN, or STAE-YYYY-STATE-NNN until agency assigns its own.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Operator: </w:t>
      </w:r>
      <w:r>
        <w:t>Internal executor. Drafts, classifies, stages. Submits agency filings manually after Reg Lead approval.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Reg Lead: </w:t>
      </w:r>
      <w:r>
        <w:t>Internal sign-off authority. Two distinct gates per filing: Pedrero stage approval + agency submission approval.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External Reg Partner: </w:t>
      </w:r>
      <w:r>
        <w:t>Pedrero Regulatory. Substantive review and binding classification calls. No internal authority.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Pedrero Stage: </w:t>
      </w:r>
      <w:r>
        <w:t>Outlook send to Pedrero with full packet for substantive review.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Agency Submission: </w:t>
      </w:r>
      <w:r>
        <w:t>Formal upload to FDA MedWatch portal, FDA recall portal, or state DOH channel by Operator after Reg Lead approval.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4. Responsibilities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Reporter: </w:t>
      </w:r>
      <w:r>
        <w:t>Quality (complaint-and-event-handler) on the cross-flag, or Operator on direct intake.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Operator: </w:t>
      </w:r>
      <w:r>
        <w:t>Confirms scope at intake, drafts proposed classification, drafts packet contents, drafts Pedrero send, drafts agency submission. Submits agency filing manually after Reg Lead approval.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Reg Lead (internal): </w:t>
      </w:r>
      <w:r>
        <w:t>Internal sign-off authority. Approves every Pedrero send AND every agency submission as two distinct gates per filing — separate audit-trail entries.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External Reg Partner: </w:t>
      </w:r>
      <w:r>
        <w:t>All substantive regulatory review including binding classification calls. Pedrero Regulatory: Amy Pedrero principal, Heather Folkes and Teona Bebia secondary. No internal authority.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QA Lead: </w:t>
      </w:r>
      <w:r>
        <w:t>Consult-only on overlapping issues (e.g., a recall surfacing a stability finding that loops back to batch-lifecycle-tracker).</w:t>
      </w:r>
    </w:p>
    <w:p>
      <w:pPr>
        <w:spacing w:after="80"/>
        <w:ind w:left="720" w:hanging="288"/>
      </w:pPr>
      <w:r>
        <w:t xml:space="preserve">•  </w:t>
      </w:r>
      <w:r>
        <w:rPr>
          <w:b/>
        </w:rPr>
        <w:t xml:space="preserve">Voice of Customer: </w:t>
      </w:r>
      <w:r>
        <w:t>Consult-only on SAE classification when customer narrative interpretation matters.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5. Procedure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5.1  MoCRA SAE Classification</w:t>
      </w:r>
    </w:p>
    <w:p>
      <w:pPr>
        <w:spacing w:after="40"/>
        <w:ind w:left="720" w:hanging="288"/>
      </w:pPr>
      <w:r>
        <w:t xml:space="preserve">•  </w:t>
      </w:r>
      <w:r>
        <w:t>Definition criteria — a consumer event is a serious adverse event under MoCRA if it results in any of: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SAE criterion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Death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Consumer fatality from product use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Life-threatening experience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Event placing consumer at immediate risk of death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In-patient hospitalization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Required overnight or longer hospital admission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Persistent or significant disability/incapacity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Lasting impairment of normal function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Congenital anomaly/birth defect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Defect in a child of a consumer who used the product during pregnancy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Medical/surgical intervention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Intervention required to prevent any of the above outcomes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Other serious medical event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Reasonable medical judgment that event jeopardizes consumer health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One event, one filing — each consumer event with potentially serious outcome gets its own SAE filing. Aggregation across consumers requires Pedrero confirmation.</w:t>
      </w:r>
    </w:p>
    <w:p>
      <w:pPr>
        <w:spacing w:after="40"/>
        <w:ind w:left="720" w:hanging="288"/>
      </w:pPr>
      <w:r>
        <w:t xml:space="preserve">•  </w:t>
      </w:r>
      <w:r>
        <w:t>Classification draft — the skill walks criteria, proposes whether event meets SAE definition with cited criteria points and evidence references. Pedrero confirms or revises; Pedrero's call is binding.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5.2  FDA Recall Classification (21 CFR 7)</w:t>
      </w:r>
    </w:p>
    <w:p>
      <w:pPr>
        <w:spacing w:after="40"/>
        <w:ind w:left="720" w:hanging="288"/>
      </w:pPr>
      <w:r>
        <w:t xml:space="preserve">•  </w:t>
      </w:r>
      <w:r>
        <w:t>Class definitions per 21 CFR 7.3(m):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792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Class I</w:t>
            </w:r>
          </w:p>
        </w:tc>
        <w:tc>
          <w:tcPr>
            <w:tcW w:type="dxa" w:w="79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Reasonable probability that use will cause serious adverse health consequences or death.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Class II</w:t>
            </w:r>
          </w:p>
        </w:tc>
        <w:tc>
          <w:tcPr>
            <w:tcW w:type="dxa" w:w="79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Use may cause temporary or medically reversible adverse health consequences; remote probability of serious consequences.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Class III</w:t>
            </w:r>
          </w:p>
        </w:tc>
        <w:tc>
          <w:tcPr>
            <w:tcW w:type="dxa" w:w="79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Use is not likely to cause adverse health consequences.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Reporting timeline expectations — Class I 1-3 days, Class II ~10 days, Class III ~30 days from awareness. Operational targets; Pedrero confirms binding window per case.</w:t>
      </w:r>
    </w:p>
    <w:p>
      <w:pPr>
        <w:spacing w:after="40"/>
        <w:ind w:left="720" w:hanging="288"/>
      </w:pPr>
      <w:r>
        <w:t xml:space="preserve">•  </w:t>
      </w:r>
      <w:r>
        <w:t>Classification draft — skill walks criteria, proposes Class with rationale and 21 CFR 7 citation. Pedrero confirms or revises; binding.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5.3  SAE Packet Contents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648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of awareness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When AC Brands first became aware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Date of consumer event (if known)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From complaint record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Consumer information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Consistent with HIPAA-equivalent privacy rules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Event description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Verbatim from complaint + Operator-summarized facts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Severity assessment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 §5.1 criteria walk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Batch context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PLM batch_code, manufacturing date, distribution data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Complaint linkage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Originating complaint task in SJ Skin Complaint Log + Quality `[Reg Flag Pending]` reference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Proposed classification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 §5.1 with rationale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Supporting documents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Lab reports, complaint history pattern if relevant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Specific reg ask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Plain-language ask: please confirm SAE classification per MoCRA definition</w:t>
            </w:r>
          </w:p>
        </w:tc>
      </w:tr>
    </w:tbl>
    <w:p/>
    <w:p>
      <w:pPr>
        <w:keepNext/>
        <w:spacing w:before="200" w:after="80"/>
        <w:ind w:left="360"/>
      </w:pPr>
      <w:r/>
      <w:r>
        <w:rPr>
          <w:b/>
          <w:sz w:val="24"/>
        </w:rPr>
        <w:t>5.4  Recall Report Contents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648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Event description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What was discovered, when, by whom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Batch scope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Single or multi-batch; multi-batch list comma-separated in Linked Batch field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Distribution data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DTC + retailer breakdown via oc3pl-order-manager queries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Hazard assessment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Health consequences expected from continued use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Proposed Class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 §5.2 with 21 CFR 7 rationale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21 CFR 7 supporting docs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strategy draft, customer notification draft (from complaint-and-event-handler), retailer notification list</w:t>
            </w:r>
          </w:p>
        </w:tc>
      </w:tr>
      <w:tr>
        <w:tc>
          <w:tcPr>
            <w:tcW w:type="dxa" w:w="28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Specific reg ask</w:t>
            </w:r>
          </w:p>
        </w:tc>
        <w:tc>
          <w:tcPr>
            <w:tcW w:type="dxa" w:w="648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Plain-language ask: please confirm recall Class per 21 CFR 7</w:t>
            </w:r>
          </w:p>
        </w:tc>
      </w:tr>
    </w:tbl>
    <w:p/>
    <w:p>
      <w:pPr>
        <w:keepNext/>
        <w:spacing w:before="200" w:after="80"/>
        <w:ind w:left="360"/>
      </w:pPr>
      <w:r/>
      <w:r>
        <w:rPr>
          <w:b/>
          <w:sz w:val="24"/>
        </w:rPr>
        <w:t>5.5  Pedrero Send Mechanics</w:t>
      </w:r>
    </w:p>
    <w:p>
      <w:pPr>
        <w:spacing w:after="40"/>
        <w:ind w:left="720" w:hanging="288"/>
      </w:pPr>
      <w:r>
        <w:t xml:space="preserve">•  </w:t>
      </w:r>
      <w:r>
        <w:t>Subject line conventions: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Filing type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Subject prefix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MoCRA SAE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[SAE Filing — SKU-CODE]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FDA Recall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[FDA Recall — Class X — SKU-CODE]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[State AE — STATE — SKU-CODE]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MoCRA-specific recall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[MoCRA Recall — SKU-CODE]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Always include URGENT — by [date] when statutory clock is tighter than 5 business days.</w:t>
      </w:r>
    </w:p>
    <w:p>
      <w:pPr>
        <w:spacing w:after="40"/>
        <w:ind w:left="720" w:hanging="288"/>
      </w:pPr>
      <w:r>
        <w:t xml:space="preserve">•  </w:t>
      </w:r>
      <w:r>
        <w:t>Contacts — To: Amy Pedrero. Cc: Heather Folkes, Teona Bebia. Cc internal: Operator.</w:t>
      </w:r>
    </w:p>
    <w:p>
      <w:pPr>
        <w:spacing w:after="40"/>
        <w:ind w:left="720" w:hanging="288"/>
      </w:pPr>
      <w:r>
        <w:t xml:space="preserve">•  </w:t>
      </w:r>
      <w:r>
        <w:t>Return windows: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Filing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Default Pedrero return window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SAE — MoCRA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3 business days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— Class I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1 business day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— Class II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5 business days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— Class III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5 business days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5 business days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Pedrero on-call expectation for SAE and Class I recall — same-day acknowledgment, full review within window. Escalation per §11 if she doesn't respond.</w:t>
      </w:r>
    </w:p>
    <w:p>
      <w:pPr>
        <w:spacing w:after="40"/>
        <w:ind w:left="720" w:hanging="288"/>
      </w:pPr>
      <w:r>
        <w:t xml:space="preserve">•  </w:t>
      </w:r>
      <w:r>
        <w:t>Send commit — skill never sends Outlook autonomously. Operator hits send manually after Reg Lead approval.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5.6  Pedrero Return Processing</w:t>
      </w:r>
    </w:p>
    <w:p>
      <w:pPr>
        <w:spacing w:after="40"/>
        <w:ind w:left="720" w:hanging="288"/>
      </w:pPr>
      <w:r>
        <w:t xml:space="preserve">•  </w:t>
      </w:r>
      <w:r>
        <w:t>Return classifications: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Approved (classification confirmed)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Move to §5.7 agency submission. If classification revised, update Event Type and packet before submission.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Returned for revision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Move to Returned — Action Required. Capture rationale. Operator decides next step.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Question / clarifying request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Stage clarifying reply. Reg Lead approves reply send. Task stays in In Pedrero Review.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No verbal-only opinions — if Pedrero says anything binding on a call, stage written confirmation send: [CONFIRMING — SAE Classification — SKU-CODE — Pedrero verbal opinion]. Particularly critical for Pedrero opinions that an event does NOT meet SAE definition or that a recall doesn't require reporting.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5.7  Agency Submission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Filing</w:t>
            </w:r>
          </w:p>
        </w:tc>
        <w:tc>
          <w:tcPr>
            <w:tcW w:type="dxa" w:w="676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Channel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MoCRA SAE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FDA MedWatch portal (Form FDA 3500A or MoCRA-specific equivalent)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FDA Recall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FDA recall reporting portal per 21 CFR 7. Includes Recall Strategy submission.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— CA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CA-CDPH Cosmetics Program reporting channel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— NY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NY-DOH consumer cosmetic adverse event channel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— WA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WA-DOH consumer cosmetic channel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— OR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OR-OHA consumer cosmetic channel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Submission mechanics — skill drafts the submission per agency portal requirements; stages attachments and form-field values for Operator to enter. The skill never files directly.</w:t>
      </w:r>
    </w:p>
    <w:p>
      <w:pPr>
        <w:spacing w:after="40"/>
        <w:ind w:left="720" w:hanging="288"/>
      </w:pPr>
      <w:r>
        <w:t xml:space="preserve">•  </w:t>
      </w:r>
      <w:r>
        <w:t>HITL — Reg Lead approves the agency submission as a separate gate from the Pedrero send approval. Two distinct audit-trail entries per filing. Operator submits manually.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5.8  Statutory Clock Tracking</w:t>
      </w:r>
    </w:p>
    <w:p>
      <w:pPr>
        <w:spacing w:after="40"/>
        <w:ind w:left="720" w:hanging="288"/>
      </w:pPr>
      <w:r>
        <w:t xml:space="preserve">•  </w:t>
      </w:r>
      <w:r>
        <w:t>Window End field carries the statutory deadline (NOT Pedrero return — agency clock).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Clock</w:t>
            </w:r>
          </w:p>
        </w:tc>
        <w:tc>
          <w:tcPr>
            <w:tcW w:type="dxa" w:w="5904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Reminder schedule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MoCRA SAE (15 days)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60% (~9 days), 80% (~12 days), 95% (~14 days) — daily after 80%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Class I (1-3 days)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Hourly after 80% — these are urgent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Class II (~10 days)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Same scale as MoCRA SAE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Class III (~30 days)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50% / 75% / 90% / daily after 90%</w:t>
            </w:r>
          </w:p>
        </w:tc>
      </w:tr>
      <w:tr>
        <w:tc>
          <w:tcPr>
            <w:tcW w:type="dxa" w:w="345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</w:t>
            </w:r>
          </w:p>
        </w:tc>
        <w:tc>
          <w:tcPr>
            <w:tcW w:type="dxa" w:w="59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 state-specific window; 60/80/95% pattern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Skill auto-escalates to Reg Lead at 80% of clock and Operator at 95% if Pedrero hasn't returned the packet. Never lets a clock slide silently.</w:t>
      </w:r>
    </w:p>
    <w:p>
      <w:pPr>
        <w:keepNext/>
        <w:spacing w:before="200" w:after="80"/>
        <w:ind w:left="360"/>
      </w:pPr>
      <w:r/>
      <w:r>
        <w:rPr>
          <w:b/>
          <w:sz w:val="24"/>
        </w:rPr>
        <w:t>5.9  Agency Response and Closeout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676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Acknowledgment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Log timestamp + reference number. Move to Awaiting Agency Response if follow-up required; otherwise hold in Submitted to Agency.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Follow-up request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Capture request. Pedrero re-stage if substantive; routine reply Operator drafts + Reg Lead approves.</w:t>
            </w:r>
          </w:p>
        </w:tc>
      </w:tr>
      <w:tr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Agency close</w:t>
            </w:r>
          </w:p>
        </w:tc>
        <w:tc>
          <w:tcPr>
            <w:tcW w:type="dxa" w:w="67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Three-line summary, close-the-loop comment to Quality complaint task and SJ Skin Complaint Log entry. Move to Closed.</w:t>
            </w:r>
          </w:p>
        </w:tc>
      </w:tr>
    </w:tbl>
    <w:p/>
    <w:p>
      <w:pPr>
        <w:keepNext/>
        <w:spacing w:before="280" w:after="120"/>
      </w:pPr>
      <w:r/>
      <w:r>
        <w:rPr>
          <w:b/>
          <w:color w:val="1F3763"/>
          <w:sz w:val="28"/>
        </w:rPr>
        <w:t>6. Missed-Clock Handling</w:t>
      </w:r>
    </w:p>
    <w:p>
      <w:pPr>
        <w:spacing w:after="40"/>
        <w:ind w:left="720" w:hanging="288"/>
      </w:pPr>
      <w:r>
        <w:t xml:space="preserve">•  </w:t>
      </w:r>
      <w:r>
        <w:t>Don't hide the miss. Stage a late-filing packet to Pedrero with explicit acknowledgment of clock breach, rationale for delay, recommended remediation.</w:t>
      </w:r>
    </w:p>
    <w:p>
      <w:pPr>
        <w:spacing w:after="40"/>
        <w:ind w:left="720" w:hanging="288"/>
      </w:pPr>
      <w:r>
        <w:t xml:space="preserve">•  </w:t>
      </w:r>
      <w:r>
        <w:t>Pedrero confirms strategy: late filing + voluntary disclosure of delay vs alternate path.</w:t>
      </w:r>
    </w:p>
    <w:p>
      <w:pPr>
        <w:spacing w:after="40"/>
        <w:ind w:left="720" w:hanging="288"/>
      </w:pPr>
      <w:r>
        <w:t xml:space="preserve">•  </w:t>
      </w:r>
      <w:r>
        <w:t>The miss becomes part of the record — captured in Closeout Summary, referenced in next CAPA, surfaced in next regulatory review.</w:t>
      </w:r>
    </w:p>
    <w:p>
      <w:pPr>
        <w:spacing w:after="40"/>
        <w:ind w:left="720" w:hanging="288"/>
      </w:pPr>
      <w:r>
        <w:t xml:space="preserve">•  </w:t>
      </w:r>
      <w:r>
        <w:t>Root cause routes to capa-coordinator as Source = regulatory-observation for systemic prevention.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7. Records and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Record</w:t>
            </w:r>
          </w:p>
        </w:tc>
        <w:tc>
          <w:tcPr>
            <w:tcW w:type="dxa" w:w="504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Retention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SAE filings sent to FDA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Indefinite — FDA standard for adverse event records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reports sent to FDA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7 years from agency close per FDA standard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Pedrero correspondence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7 years from correspondence date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Agency correspondence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7 years from agency close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filings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Per state requirements; default 7 years from close</w:t>
            </w:r>
          </w:p>
        </w:tc>
      </w:tr>
      <w:tr>
        <w:tc>
          <w:tcPr>
            <w:tcW w:type="dxa" w:w="432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Working drafts that didn't ship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1 year from abandonment</w:t>
            </w:r>
          </w:p>
        </w:tc>
      </w:tr>
    </w:tbl>
    <w:p/>
    <w:p>
      <w:pPr>
        <w:spacing w:after="40"/>
        <w:ind w:left="720" w:hanging="288"/>
      </w:pPr>
      <w:r>
        <w:t xml:space="preserve">•  </w:t>
      </w:r>
      <w:r>
        <w:t>Storage — v6.2 interim: Asana task attachments. v6.3 forward: SharePoint regulatory folder. v6.3 build migrates v6.2 attachments to SharePoint.</w:t>
      </w:r>
    </w:p>
    <w:p>
      <w:pPr>
        <w:spacing w:after="40"/>
        <w:ind w:left="720" w:hanging="288"/>
      </w:pPr>
      <w:r>
        <w:t xml:space="preserve">•  </w:t>
      </w:r>
      <w:r>
        <w:t>Retention anchor — SKN-OPS-001 §5.6.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8. Procedure Review</w:t>
      </w:r>
    </w:p>
    <w:p>
      <w:pPr>
        <w:spacing w:after="40"/>
        <w:ind w:left="720" w:hanging="288"/>
      </w:pPr>
      <w:r>
        <w:t xml:space="preserve">•  </w:t>
      </w:r>
      <w:r>
        <w:t>Annual review on SOP anniversary. First review due 2027-05-09.</w:t>
      </w:r>
    </w:p>
    <w:p>
      <w:pPr>
        <w:spacing w:after="40"/>
        <w:ind w:left="720" w:hanging="288"/>
      </w:pPr>
      <w:r>
        <w:t xml:space="preserve">•  </w:t>
      </w:r>
      <w:r>
        <w:t>Review path mirrors SKN-OPS-001 §7. Reg Lead reviews against actual filing outcomes from prior 12 months. Pedrero consult on substantive content updates.</w:t>
      </w:r>
    </w:p>
    <w:p>
      <w:pPr>
        <w:spacing w:after="40"/>
        <w:ind w:left="720" w:hanging="288"/>
      </w:pPr>
      <w:r>
        <w:t xml:space="preserve">•  </w:t>
      </w:r>
      <w:r>
        <w:t>Mid-cycle revisions allowed when FDA/MoCRA implementation guidance changes materially, a state agency publishes new requirements, a missed-clock incident surfaces a procedure gap, or an audit finding identifies a procedural weakness.</w:t>
      </w:r>
    </w:p>
    <w:p>
      <w:pPr>
        <w:keepNext/>
        <w:spacing w:before="280" w:after="120"/>
      </w:pPr>
      <w:r/>
      <w:r>
        <w:rPr>
          <w:b/>
          <w:color w:val="1F3763"/>
          <w:sz w:val="28"/>
        </w:rPr>
        <w:t>9. References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Reference</w:t>
            </w:r>
          </w:p>
        </w:tc>
        <w:tc>
          <w:tcPr>
            <w:tcW w:type="dxa" w:w="475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Use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SKN-OPS-001 Rev.1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CAPA Procedure (retention anchor §5.6)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SKN-OPS-002 Rev.1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SAE intake (complaint-and-event-handler)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SKN-OPS-003 Rev.1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Recall ops (complaint-and-event-handler)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SKN-OPS-008 Rev.1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IL/Claims/Label Procedure (cross-system anchor)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system-c-regulatory-scope.md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System C architecture and v6.x build sequence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adverse-event-and-recall-reporter SKILL.md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Skill spec walking this procedure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MoCRA Implementation Guidance (FDA)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Federal SAE definition + reporting framework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21 CFR 7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FDA recall classification + reporting framework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FDA Form 3500A / MedWatch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SAE submission portal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CA-CDPH Cosmetics Program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channel — California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NY-DOH consumer cosmetic AE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channel — New York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WA-DOH consumer cosmetic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channel — Washington</w:t>
            </w:r>
          </w:p>
        </w:tc>
      </w:tr>
      <w:tr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OR-OHA consumer cosmetic</w:t>
            </w:r>
          </w:p>
        </w:tc>
        <w:tc>
          <w:tcPr>
            <w:tcW w:type="dxa" w:w="47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State AE channel — Oregon</w:t>
            </w:r>
          </w:p>
        </w:tc>
      </w:tr>
    </w:tbl>
    <w:p/>
    <w:p>
      <w:pPr>
        <w:keepNext/>
        <w:spacing w:before="280" w:after="120"/>
      </w:pPr>
      <w:r/>
      <w:r>
        <w:rPr>
          <w:b/>
          <w:color w:val="1F3763"/>
          <w:sz w:val="28"/>
        </w:rPr>
        <w:t>10.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Revision</w:t>
            </w:r>
          </w:p>
        </w:tc>
        <w:tc>
          <w:tcPr>
            <w:tcW w:type="dxa" w:w="144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5040"/>
            <w:shd w:val="clear" w:color="auto" w:fill="1F376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center"/>
          </w:tcPr>
          <w:p>
            <w:r/>
            <w:r>
              <w:rPr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2026-05-09</w:t>
            </w:r>
          </w:p>
        </w:tc>
        <w:tc>
          <w:tcPr>
            <w:tcW w:type="dxa" w:w="172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Alvin Belt</w:t>
            </w:r>
          </w:p>
        </w:tc>
        <w:tc>
          <w:tcPr>
            <w:tcW w:type="dxa" w:w="50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vAlign w:val="top"/>
          </w:tcPr>
          <w:p>
            <w:r/>
            <w:r>
              <w:rPr>
                <w:sz w:val="20"/>
              </w:rPr>
              <w:t>Initial issue. Authored during v6.2 build of adverse-event-and-recall-reporter; ratified in-place same session per SKN-OPS-006 / 007 / 008 pattern.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555555"/>
        <w:sz w:val="18"/>
      </w:rPr>
      <w:t xml:space="preserve">Reportable Events Procedure  |  Standard Operating Procedure (SOP)  |  REG_SKN-OPS-009 Rev.1     </w:t>
    </w: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