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763"/>
          <w:sz w:val="40"/>
        </w:rPr>
        <w:t>Non-Conformance Report (NCR) Procedure</w:t>
      </w:r>
    </w:p>
    <w:p>
      <w:pPr>
        <w:spacing w:after="280"/>
      </w:pPr>
      <w:r>
        <w:rPr>
          <w:color w:val="555555"/>
          <w:sz w:val="24"/>
        </w:rPr>
        <w:t>Standard Operating Procedure (SOP)</w:t>
      </w:r>
    </w:p>
    <w:tbl>
      <w:tblPr>
        <w:tblW w:type="auto" w:w="0"/>
        <w:tblLayout w:type="fixed"/>
        <w:tblLook w:firstColumn="1" w:firstRow="1" w:lastColumn="0" w:lastRow="0" w:noHBand="0" w:noVBand="1" w:val="04A0"/>
      </w:tblPr>
      <w:tblGrid>
        <w:gridCol w:w="4680"/>
        <w:gridCol w:w="4680"/>
      </w:tblGrid>
      <w:tr>
        <w:tc>
          <w:tcPr>
            <w:tcW w:type="dxa" w:w="2592"/>
            <w:shd w:val="clear" w:color="auto" w:fill="F2F2F2"/>
            <w:tcBorders>
              <w:top w:val="single" w:sz="4" w:color="BFBFBF"/>
              <w:left w:val="single" w:sz="4" w:color="BFBFBF"/>
              <w:bottom w:val="single" w:sz="4" w:color="BFBFBF"/>
              <w:right w:val="single" w:sz="4" w:color="BFBFBF"/>
            </w:tcBorders>
          </w:tcPr>
          <w:p>
            <w:r/>
            <w:r>
              <w:rPr>
                <w:b/>
                <w:sz w:val="20"/>
              </w:rPr>
              <w:t>Title</w:t>
            </w:r>
          </w:p>
        </w:tc>
        <w:tc>
          <w:tcPr>
            <w:tcW w:type="dxa" w:w="6768"/>
            <w:tcBorders>
              <w:top w:val="single" w:sz="4" w:color="BFBFBF"/>
              <w:left w:val="single" w:sz="4" w:color="BFBFBF"/>
              <w:bottom w:val="single" w:sz="4" w:color="BFBFBF"/>
              <w:right w:val="single" w:sz="4" w:color="BFBFBF"/>
            </w:tcBorders>
          </w:tcPr>
          <w:p>
            <w:r/>
            <w:r>
              <w:rPr>
                <w:sz w:val="20"/>
              </w:rPr>
              <w:t>Non-Conformance Report (NCR) Procedure</w:t>
            </w:r>
          </w:p>
        </w:tc>
      </w:tr>
      <w:tr>
        <w:tc>
          <w:tcPr>
            <w:tcW w:type="dxa" w:w="2592"/>
            <w:shd w:val="clear" w:color="auto" w:fill="F2F2F2"/>
            <w:tcBorders>
              <w:top w:val="single" w:sz="4" w:color="BFBFBF"/>
              <w:left w:val="single" w:sz="4" w:color="BFBFBF"/>
              <w:bottom w:val="single" w:sz="4" w:color="BFBFBF"/>
              <w:right w:val="single" w:sz="4" w:color="BFBFBF"/>
            </w:tcBorders>
          </w:tcPr>
          <w:p>
            <w:r/>
            <w:r>
              <w:rPr>
                <w:b/>
                <w:sz w:val="20"/>
              </w:rPr>
              <w:t>SOP Number</w:t>
            </w:r>
          </w:p>
        </w:tc>
        <w:tc>
          <w:tcPr>
            <w:tcW w:type="dxa" w:w="6768"/>
            <w:tcBorders>
              <w:top w:val="single" w:sz="4" w:color="BFBFBF"/>
              <w:left w:val="single" w:sz="4" w:color="BFBFBF"/>
              <w:bottom w:val="single" w:sz="4" w:color="BFBFBF"/>
              <w:right w:val="single" w:sz="4" w:color="BFBFBF"/>
            </w:tcBorders>
          </w:tcPr>
          <w:p>
            <w:r/>
            <w:r>
              <w:rPr>
                <w:sz w:val="20"/>
              </w:rPr>
              <w:t>SKN-OPS-005</w:t>
            </w:r>
          </w:p>
        </w:tc>
      </w:tr>
      <w:tr>
        <w:tc>
          <w:tcPr>
            <w:tcW w:type="dxa" w:w="2592"/>
            <w:shd w:val="clear" w:color="auto" w:fill="F2F2F2"/>
            <w:tcBorders>
              <w:top w:val="single" w:sz="4" w:color="BFBFBF"/>
              <w:left w:val="single" w:sz="4" w:color="BFBFBF"/>
              <w:bottom w:val="single" w:sz="4" w:color="BFBFBF"/>
              <w:right w:val="single" w:sz="4" w:color="BFBFBF"/>
            </w:tcBorders>
          </w:tcPr>
          <w:p>
            <w:r/>
            <w:r>
              <w:rPr>
                <w:b/>
                <w:sz w:val="20"/>
              </w:rPr>
              <w:t>Effective Date</w:t>
            </w:r>
          </w:p>
        </w:tc>
        <w:tc>
          <w:tcPr>
            <w:tcW w:type="dxa" w:w="6768"/>
            <w:tcBorders>
              <w:top w:val="single" w:sz="4" w:color="BFBFBF"/>
              <w:left w:val="single" w:sz="4" w:color="BFBFBF"/>
              <w:bottom w:val="single" w:sz="4" w:color="BFBFBF"/>
              <w:right w:val="single" w:sz="4" w:color="BFBFBF"/>
            </w:tcBorders>
          </w:tcPr>
          <w:p>
            <w:r/>
            <w:r>
              <w:rPr>
                <w:sz w:val="20"/>
              </w:rPr>
              <w:t>May 9, 2026</w:t>
            </w:r>
          </w:p>
        </w:tc>
      </w:tr>
      <w:tr>
        <w:tc>
          <w:tcPr>
            <w:tcW w:type="dxa" w:w="2592"/>
            <w:shd w:val="clear" w:color="auto" w:fill="F2F2F2"/>
            <w:tcBorders>
              <w:top w:val="single" w:sz="4" w:color="BFBFBF"/>
              <w:left w:val="single" w:sz="4" w:color="BFBFBF"/>
              <w:bottom w:val="single" w:sz="4" w:color="BFBFBF"/>
              <w:right w:val="single" w:sz="4" w:color="BFBFBF"/>
            </w:tcBorders>
          </w:tcPr>
          <w:p>
            <w:r/>
            <w:r>
              <w:rPr>
                <w:b/>
                <w:sz w:val="20"/>
              </w:rPr>
              <w:t>Revision Number</w:t>
            </w:r>
          </w:p>
        </w:tc>
        <w:tc>
          <w:tcPr>
            <w:tcW w:type="dxa" w:w="6768"/>
            <w:tcBorders>
              <w:top w:val="single" w:sz="4" w:color="BFBFBF"/>
              <w:left w:val="single" w:sz="4" w:color="BFBFBF"/>
              <w:bottom w:val="single" w:sz="4" w:color="BFBFBF"/>
              <w:right w:val="single" w:sz="4" w:color="BFBFBF"/>
            </w:tcBorders>
          </w:tcPr>
          <w:p>
            <w:r/>
            <w:r>
              <w:rPr>
                <w:sz w:val="20"/>
              </w:rPr>
              <w:t>1.0</w:t>
            </w:r>
          </w:p>
        </w:tc>
      </w:tr>
      <w:tr>
        <w:tc>
          <w:tcPr>
            <w:tcW w:type="dxa" w:w="2592"/>
            <w:shd w:val="clear" w:color="auto" w:fill="F2F2F2"/>
            <w:tcBorders>
              <w:top w:val="single" w:sz="4" w:color="BFBFBF"/>
              <w:left w:val="single" w:sz="4" w:color="BFBFBF"/>
              <w:bottom w:val="single" w:sz="4" w:color="BFBFBF"/>
              <w:right w:val="single" w:sz="4" w:color="BFBFBF"/>
            </w:tcBorders>
          </w:tcPr>
          <w:p>
            <w:r/>
            <w:r>
              <w:rPr>
                <w:b/>
                <w:sz w:val="20"/>
              </w:rPr>
              <w:t>Prepared by</w:t>
            </w:r>
          </w:p>
        </w:tc>
        <w:tc>
          <w:tcPr>
            <w:tcW w:type="dxa" w:w="6768"/>
            <w:tcBorders>
              <w:top w:val="single" w:sz="4" w:color="BFBFBF"/>
              <w:left w:val="single" w:sz="4" w:color="BFBFBF"/>
              <w:bottom w:val="single" w:sz="4" w:color="BFBFBF"/>
              <w:right w:val="single" w:sz="4" w:color="BFBFBF"/>
            </w:tcBorders>
          </w:tcPr>
          <w:p>
            <w:r/>
            <w:r>
              <w:rPr>
                <w:sz w:val="20"/>
              </w:rPr>
              <w:t>Alvin Belt</w:t>
            </w:r>
          </w:p>
        </w:tc>
      </w:tr>
      <w:tr>
        <w:tc>
          <w:tcPr>
            <w:tcW w:type="dxa" w:w="2592"/>
            <w:shd w:val="clear" w:color="auto" w:fill="F2F2F2"/>
            <w:tcBorders>
              <w:top w:val="single" w:sz="4" w:color="BFBFBF"/>
              <w:left w:val="single" w:sz="4" w:color="BFBFBF"/>
              <w:bottom w:val="single" w:sz="4" w:color="BFBFBF"/>
              <w:right w:val="single" w:sz="4" w:color="BFBFBF"/>
            </w:tcBorders>
          </w:tcPr>
          <w:p>
            <w:r/>
            <w:r>
              <w:rPr>
                <w:b/>
                <w:sz w:val="20"/>
              </w:rPr>
              <w:t>Approved by</w:t>
            </w:r>
          </w:p>
        </w:tc>
        <w:tc>
          <w:tcPr>
            <w:tcW w:type="dxa" w:w="6768"/>
            <w:tcBorders>
              <w:top w:val="single" w:sz="4" w:color="BFBFBF"/>
              <w:left w:val="single" w:sz="4" w:color="BFBFBF"/>
              <w:bottom w:val="single" w:sz="4" w:color="BFBFBF"/>
              <w:right w:val="single" w:sz="4" w:color="BFBFBF"/>
            </w:tcBorders>
          </w:tcPr>
          <w:p>
            <w:r/>
            <w:r>
              <w:rPr>
                <w:sz w:val="20"/>
              </w:rPr>
              <w:t>Alvin Belt</w:t>
            </w:r>
          </w:p>
        </w:tc>
      </w:tr>
    </w:tbl>
    <w:p/>
    <w:p>
      <w:pPr>
        <w:keepNext/>
        <w:spacing w:before="280" w:after="120"/>
      </w:pPr>
      <w:r/>
      <w:r>
        <w:rPr>
          <w:b/>
          <w:color w:val="1F3763"/>
          <w:sz w:val="28"/>
        </w:rPr>
        <w:t>1. Purpose</w:t>
      </w:r>
    </w:p>
    <w:p>
      <w:pPr>
        <w:spacing w:after="40"/>
        <w:ind w:left="720" w:hanging="288"/>
      </w:pPr>
      <w:r>
        <w:t xml:space="preserve">•  </w:t>
      </w:r>
      <w:r>
        <w:t>Establish a structured intake, classification, and escalation process for non-conformances at Sweet July Beauty, LLC, filling the gap left by SKN-OPS-001 §5.1–§5.2 (which named the NCR Form in Appendix A without specifying a standalone non-conformance procedure).</w:t>
      </w:r>
    </w:p>
    <w:p>
      <w:pPr>
        <w:spacing w:after="40"/>
        <w:ind w:left="720" w:hanging="288"/>
      </w:pPr>
      <w:r>
        <w:t xml:space="preserve">•  </w:t>
      </w:r>
      <w:r>
        <w:t>Ensure every NCR generates a defensible audit trail covering intake fields, severity classification, escalation decision, and disposition (CAPA conversion, close-no-CAPA, or hold).</w:t>
      </w:r>
    </w:p>
    <w:p>
      <w:pPr>
        <w:keepNext/>
        <w:spacing w:before="280" w:after="120"/>
      </w:pPr>
      <w:r/>
      <w:r>
        <w:rPr>
          <w:b/>
          <w:color w:val="1F3763"/>
          <w:sz w:val="28"/>
        </w:rPr>
        <w:t>2. Scope</w:t>
      </w:r>
    </w:p>
    <w:p>
      <w:pPr>
        <w:spacing w:after="40"/>
        <w:ind w:left="720" w:hanging="288"/>
      </w:pPr>
      <w:r>
        <w:t xml:space="preserve">•  </w:t>
      </w:r>
      <w:r>
        <w:t>Applies to any non-conformance or potential non-conformance at Sweet July Beauty, LLC affecting:</w:t>
      </w:r>
    </w:p>
    <w:p>
      <w:pPr>
        <w:spacing w:after="40"/>
        <w:ind w:left="1080" w:hanging="288"/>
      </w:pPr>
      <w:r>
        <w:t xml:space="preserve">o  </w:t>
      </w:r>
      <w:r>
        <w:t>Product quality, safety, or stability</w:t>
      </w:r>
    </w:p>
    <w:p>
      <w:pPr>
        <w:spacing w:after="40"/>
        <w:ind w:left="1080" w:hanging="288"/>
      </w:pPr>
      <w:r>
        <w:t xml:space="preserve">o  </w:t>
      </w:r>
      <w:r>
        <w:t>Regulatory compliance</w:t>
      </w:r>
    </w:p>
    <w:p>
      <w:pPr>
        <w:spacing w:after="40"/>
        <w:ind w:left="1080" w:hanging="288"/>
      </w:pPr>
      <w:r>
        <w:t xml:space="preserve">o  </w:t>
      </w:r>
      <w:r>
        <w:t>Process integrity (manufacturing, packaging, labeling, distribution, lab, fulfillment, customer service)</w:t>
      </w:r>
    </w:p>
    <w:p>
      <w:pPr>
        <w:spacing w:after="40"/>
        <w:ind w:left="1080" w:hanging="288"/>
      </w:pPr>
      <w:r>
        <w:t xml:space="preserve">o  </w:t>
      </w:r>
      <w:r>
        <w:t>Vendor or supplier output</w:t>
      </w:r>
    </w:p>
    <w:p>
      <w:pPr>
        <w:spacing w:after="40"/>
        <w:ind w:left="720" w:hanging="288"/>
      </w:pPr>
      <w:r>
        <w:t xml:space="preserve">•  </w:t>
      </w:r>
      <w:r>
        <w:t>Does not apply to: customer complaints (those run through the Customer Complaint Handling SOP, SKN-OPS-004, and feed the NCR queue only when a trend or single event meets the criteria below).</w:t>
      </w:r>
    </w:p>
    <w:p>
      <w:pPr>
        <w:keepNext/>
        <w:spacing w:before="280" w:after="120"/>
      </w:pPr>
      <w:r/>
      <w:r>
        <w:rPr>
          <w:b/>
          <w:color w:val="1F3763"/>
          <w:sz w:val="28"/>
        </w:rPr>
        <w:t>3. Definitions</w:t>
      </w:r>
    </w:p>
    <w:p>
      <w:pPr>
        <w:spacing w:after="80"/>
        <w:ind w:left="720" w:hanging="288"/>
      </w:pPr>
      <w:r>
        <w:t xml:space="preserve">•  </w:t>
      </w:r>
      <w:r>
        <w:rPr>
          <w:b/>
        </w:rPr>
        <w:t xml:space="preserve">Non-Conformance: </w:t>
      </w:r>
      <w:r>
        <w:t>A deviation from a standard or specification affecting product quality, safety, or regulatory compliance.</w:t>
      </w:r>
    </w:p>
    <w:p>
      <w:pPr>
        <w:spacing w:after="80"/>
        <w:ind w:left="720" w:hanging="288"/>
      </w:pPr>
      <w:r>
        <w:t xml:space="preserve">•  </w:t>
      </w:r>
      <w:r>
        <w:rPr>
          <w:b/>
        </w:rPr>
        <w:t xml:space="preserve">NCR (Non-Conformance Report): </w:t>
      </w:r>
      <w:r>
        <w:t>The intake record opened for any non-conformance or potential non-conformance. Numbered NCR-YYYY-NNN.</w:t>
      </w:r>
    </w:p>
    <w:p>
      <w:pPr>
        <w:spacing w:after="80"/>
        <w:ind w:left="720" w:hanging="288"/>
      </w:pPr>
      <w:r>
        <w:t xml:space="preserve">•  </w:t>
      </w:r>
      <w:r>
        <w:rPr>
          <w:b/>
        </w:rPr>
        <w:t xml:space="preserve">CAPA Conversion: </w:t>
      </w:r>
      <w:r>
        <w:t>The decision to escalate an NCR to a corrective and preventive action investigation per SKN-OPS-001.</w:t>
      </w:r>
    </w:p>
    <w:p>
      <w:pPr>
        <w:spacing w:after="80"/>
        <w:ind w:left="720" w:hanging="288"/>
      </w:pPr>
      <w:r>
        <w:t xml:space="preserve">•  </w:t>
      </w:r>
      <w:r>
        <w:rPr>
          <w:b/>
        </w:rPr>
        <w:t xml:space="preserve">Closed — No CAPA: </w:t>
      </w:r>
      <w:r>
        <w:t>Disposition for Minor NCRs where containment alone is sufficient and no CAPA is opened.</w:t>
      </w:r>
    </w:p>
    <w:p>
      <w:pPr>
        <w:spacing w:after="80"/>
        <w:ind w:left="720" w:hanging="288"/>
      </w:pPr>
      <w:r>
        <w:t xml:space="preserve">•  </w:t>
      </w:r>
      <w:r>
        <w:rPr>
          <w:b/>
        </w:rPr>
        <w:t xml:space="preserve">Hold for More Information: </w:t>
      </w:r>
      <w:r>
        <w:t>Temporary state where additional information is needed before an escalation decision can be made.</w:t>
      </w:r>
    </w:p>
    <w:p>
      <w:pPr>
        <w:spacing w:after="80"/>
        <w:ind w:left="720" w:hanging="288"/>
      </w:pPr>
      <w:r>
        <w:t xml:space="preserve">•  </w:t>
      </w:r>
      <w:r>
        <w:rPr>
          <w:b/>
        </w:rPr>
        <w:t xml:space="preserve">Severity Band: </w:t>
      </w:r>
      <w:r>
        <w:t>Critical, Major, or Minor — the classification that drives whether and how fast an NCR must convert to CAPA.</w:t>
      </w:r>
    </w:p>
    <w:p>
      <w:pPr>
        <w:spacing w:after="80"/>
        <w:ind w:left="720" w:hanging="288"/>
      </w:pPr>
      <w:r>
        <w:t xml:space="preserve">•  </w:t>
      </w:r>
      <w:r>
        <w:rPr>
          <w:b/>
        </w:rPr>
        <w:t xml:space="preserve">Containment Action: </w:t>
      </w:r>
      <w:r>
        <w:t>Immediate action taken to prevent further impact (hold, quarantine, stop-ship, recall scoping).</w:t>
      </w:r>
    </w:p>
    <w:p>
      <w:pPr>
        <w:keepNext/>
        <w:spacing w:before="280" w:after="120"/>
      </w:pPr>
      <w:r/>
      <w:r>
        <w:rPr>
          <w:b/>
          <w:color w:val="1F3763"/>
          <w:sz w:val="28"/>
        </w:rPr>
        <w:t>4. Responsibilities</w:t>
      </w:r>
    </w:p>
    <w:p>
      <w:pPr>
        <w:spacing w:after="80"/>
        <w:ind w:left="720" w:hanging="288"/>
      </w:pPr>
      <w:r>
        <w:t xml:space="preserve">•  </w:t>
      </w:r>
      <w:r>
        <w:rPr>
          <w:b/>
        </w:rPr>
        <w:t xml:space="preserve">Reporter: </w:t>
      </w:r>
      <w:r>
        <w:t>Any employee. Identifies the non-conformance and submits the NCR.</w:t>
      </w:r>
    </w:p>
    <w:p>
      <w:pPr>
        <w:spacing w:after="80"/>
        <w:ind w:left="720" w:hanging="288"/>
      </w:pPr>
      <w:r>
        <w:t xml:space="preserve">•  </w:t>
      </w:r>
      <w:r>
        <w:rPr>
          <w:b/>
        </w:rPr>
        <w:t xml:space="preserve">Operator: </w:t>
      </w:r>
      <w:r>
        <w:t>Reviews intake, classifies severity, decides whether to escalate to CAPA.</w:t>
      </w:r>
    </w:p>
    <w:p>
      <w:pPr>
        <w:spacing w:after="80"/>
        <w:ind w:left="720" w:hanging="288"/>
      </w:pPr>
      <w:r>
        <w:t xml:space="preserve">•  </w:t>
      </w:r>
      <w:r>
        <w:rPr>
          <w:b/>
        </w:rPr>
        <w:t xml:space="preserve">QA Lead: </w:t>
      </w:r>
      <w:r>
        <w:t>Approves NCR→CAPA conversion. Reviews monthly close-no-CAPA NCRs quarterly for missed pattern signals.</w:t>
      </w:r>
    </w:p>
    <w:p>
      <w:pPr>
        <w:spacing w:after="80"/>
        <w:ind w:left="720" w:hanging="288"/>
      </w:pPr>
      <w:r>
        <w:t xml:space="preserve">•  </w:t>
      </w:r>
      <w:r>
        <w:rPr>
          <w:b/>
        </w:rPr>
        <w:t xml:space="preserve">Department Manager: </w:t>
      </w:r>
      <w:r>
        <w:t>Owns the corrective action within their domain once the NCR converts to CAPA.</w:t>
      </w:r>
    </w:p>
    <w:p>
      <w:pPr>
        <w:spacing w:after="80"/>
        <w:ind w:left="720" w:hanging="288"/>
      </w:pPr>
      <w:r>
        <w:t xml:space="preserve">•  </w:t>
      </w:r>
      <w:r>
        <w:rPr>
          <w:b/>
        </w:rPr>
        <w:t xml:space="preserve">QA Manager: </w:t>
      </w:r>
      <w:r>
        <w:t>Owns this SOP. Approves all revisions. Reviews annually.</w:t>
      </w:r>
    </w:p>
    <w:p>
      <w:pPr>
        <w:spacing w:after="80"/>
        <w:ind w:left="720" w:hanging="288"/>
      </w:pPr>
      <w:r>
        <w:t xml:space="preserve">•  </w:t>
      </w:r>
      <w:r>
        <w:rPr>
          <w:b/>
        </w:rPr>
        <w:t xml:space="preserve">All Employees: </w:t>
      </w:r>
      <w:r>
        <w:t>Report non-conformances and potential non-conformances to their supervisors or QA.</w:t>
      </w:r>
    </w:p>
    <w:p>
      <w:pPr>
        <w:keepNext/>
        <w:spacing w:before="280" w:after="120"/>
      </w:pPr>
      <w:r/>
      <w:r>
        <w:rPr>
          <w:b/>
          <w:color w:val="1F3763"/>
          <w:sz w:val="28"/>
        </w:rPr>
        <w:t>5. Procedure</w:t>
      </w:r>
    </w:p>
    <w:p>
      <w:pPr>
        <w:keepNext/>
        <w:spacing w:before="200" w:after="80"/>
        <w:ind w:left="360"/>
      </w:pPr>
      <w:r/>
      <w:r>
        <w:rPr>
          <w:b/>
          <w:sz w:val="24"/>
        </w:rPr>
        <w:t>5.1  Intake</w:t>
      </w:r>
    </w:p>
    <w:p>
      <w:pPr>
        <w:spacing w:after="40"/>
        <w:ind w:left="720" w:hanging="288"/>
      </w:pPr>
      <w:r>
        <w:t xml:space="preserve">•  </w:t>
      </w:r>
      <w:r>
        <w:t>An NCR is opened when any of these is true:</w:t>
      </w:r>
    </w:p>
    <w:p>
      <w:pPr>
        <w:spacing w:after="40"/>
        <w:ind w:left="1080" w:hanging="288"/>
      </w:pPr>
      <w:r>
        <w:t xml:space="preserve">o  </w:t>
      </w:r>
      <w:r>
        <w:t>A product, batch, lot, or component fails an internal spec (visual, sensory, microbial, weight, fill, label).</w:t>
      </w:r>
    </w:p>
    <w:p>
      <w:pPr>
        <w:spacing w:after="40"/>
        <w:ind w:left="1080" w:hanging="288"/>
      </w:pPr>
      <w:r>
        <w:t xml:space="preserve">o  </w:t>
      </w:r>
      <w:r>
        <w:t>Lab results return OOS (out of spec) or OOT (out of trend).</w:t>
      </w:r>
    </w:p>
    <w:p>
      <w:pPr>
        <w:spacing w:after="40"/>
        <w:ind w:left="1080" w:hanging="288"/>
      </w:pPr>
      <w:r>
        <w:t xml:space="preserve">o  </w:t>
      </w:r>
      <w:r>
        <w:t>A vendor delivery fails incoming inspection (wrong material, wrong qty, wrong COA, expired retest date, packaging damage).</w:t>
      </w:r>
    </w:p>
    <w:p>
      <w:pPr>
        <w:spacing w:after="40"/>
        <w:ind w:left="1080" w:hanging="288"/>
      </w:pPr>
      <w:r>
        <w:t xml:space="preserve">o  </w:t>
      </w:r>
      <w:r>
        <w:t>A process deviation occurs — recipe miss, hold-time exceeded, label revision used in error, environmental condition out of band.</w:t>
      </w:r>
    </w:p>
    <w:p>
      <w:pPr>
        <w:spacing w:after="40"/>
        <w:ind w:left="1080" w:hanging="288"/>
      </w:pPr>
      <w:r>
        <w:t xml:space="preserve">o  </w:t>
      </w:r>
      <w:r>
        <w:t>A complaint trend meets the threshold defined by complaint handling (3+ same-batch in 30 days, 5+ same-SKU same-type in 30 days).</w:t>
      </w:r>
    </w:p>
    <w:p>
      <w:pPr>
        <w:spacing w:after="40"/>
        <w:ind w:left="1080" w:hanging="288"/>
      </w:pPr>
      <w:r>
        <w:t xml:space="preserve">o  </w:t>
      </w:r>
      <w:r>
        <w:t>A regulatory observation, audit finding, or retailer-flagged issue requires documented response.</w:t>
      </w:r>
    </w:p>
    <w:p>
      <w:pPr>
        <w:spacing w:after="40"/>
        <w:ind w:left="1080" w:hanging="288"/>
      </w:pPr>
      <w:r>
        <w:t xml:space="preserve">o  </w:t>
      </w:r>
      <w:r>
        <w:t>The Operator or QA Lead requests one explicitly.</w:t>
      </w:r>
    </w:p>
    <w:p>
      <w:pPr>
        <w:spacing w:after="40"/>
        <w:ind w:left="720" w:hanging="288"/>
      </w:pPr>
      <w:r>
        <w:t xml:space="preserve">•  </w:t>
      </w:r>
      <w:r>
        <w:t>Required intake fields — every NCR must capture the following before commit:</w:t>
      </w:r>
    </w:p>
    <w:tbl>
      <w:tblPr>
        <w:tblW w:type="auto" w:w="0"/>
        <w:tblLayout w:type="fixed"/>
        <w:tblLook w:firstColumn="1" w:firstRow="1" w:lastColumn="0" w:lastRow="0" w:noHBand="0" w:noVBand="1" w:val="04A0"/>
      </w:tblPr>
      <w:tblGrid>
        <w:gridCol w:w="4680"/>
        <w:gridCol w:w="4680"/>
      </w:tblGrid>
      <w:tr>
        <w:tc>
          <w:tcPr>
            <w:tcW w:type="dxa" w:w="2880"/>
            <w:shd w:val="clear" w:color="auto" w:fill="1F3763"/>
            <w:tcBorders>
              <w:top w:val="single" w:sz="4" w:color="BFBFBF"/>
              <w:left w:val="single" w:sz="4" w:color="BFBFBF"/>
              <w:bottom w:val="single" w:sz="4" w:color="BFBFBF"/>
              <w:right w:val="single" w:sz="4" w:color="BFBFBF"/>
            </w:tcBorders>
            <w:vAlign w:val="center"/>
          </w:tcPr>
          <w:p>
            <w:r/>
            <w:r>
              <w:rPr>
                <w:b/>
                <w:color w:val="FFFFFF"/>
                <w:sz w:val="20"/>
              </w:rPr>
              <w:t>Field</w:t>
            </w:r>
          </w:p>
        </w:tc>
        <w:tc>
          <w:tcPr>
            <w:tcW w:type="dxa" w:w="6480"/>
            <w:shd w:val="clear" w:color="auto" w:fill="1F3763"/>
            <w:tcBorders>
              <w:top w:val="single" w:sz="4" w:color="BFBFBF"/>
              <w:left w:val="single" w:sz="4" w:color="BFBFBF"/>
              <w:bottom w:val="single" w:sz="4" w:color="BFBFBF"/>
              <w:right w:val="single" w:sz="4" w:color="BFBFBF"/>
            </w:tcBorders>
            <w:vAlign w:val="center"/>
          </w:tcPr>
          <w:p>
            <w:r/>
            <w:r>
              <w:rPr>
                <w:b/>
                <w:color w:val="FFFFFF"/>
                <w:sz w:val="20"/>
              </w:rPr>
              <w:t>Notes</w:t>
            </w:r>
          </w:p>
        </w:tc>
      </w:tr>
      <w:tr>
        <w:tc>
          <w:tcPr>
            <w:tcW w:type="dxa" w:w="2880"/>
            <w:tcBorders>
              <w:top w:val="single" w:sz="4" w:color="BFBFBF"/>
              <w:left w:val="single" w:sz="4" w:color="BFBFBF"/>
              <w:bottom w:val="single" w:sz="4" w:color="BFBFBF"/>
              <w:right w:val="single" w:sz="4" w:color="BFBFBF"/>
            </w:tcBorders>
            <w:vAlign w:val="top"/>
          </w:tcPr>
          <w:p>
            <w:r/>
            <w:r>
              <w:rPr>
                <w:sz w:val="20"/>
              </w:rPr>
              <w:t>NCR Number</w:t>
            </w:r>
          </w:p>
        </w:tc>
        <w:tc>
          <w:tcPr>
            <w:tcW w:type="dxa" w:w="6480"/>
            <w:tcBorders>
              <w:top w:val="single" w:sz="4" w:color="BFBFBF"/>
              <w:left w:val="single" w:sz="4" w:color="BFBFBF"/>
              <w:bottom w:val="single" w:sz="4" w:color="BFBFBF"/>
              <w:right w:val="single" w:sz="4" w:color="BFBFBF"/>
            </w:tcBorders>
            <w:vAlign w:val="top"/>
          </w:tcPr>
          <w:p>
            <w:r/>
            <w:r>
              <w:rPr>
                <w:sz w:val="20"/>
              </w:rPr>
              <w:t>NCR-YYYY-NNN, zero-padded sequential by year</w:t>
            </w:r>
          </w:p>
        </w:tc>
      </w:tr>
      <w:tr>
        <w:tc>
          <w:tcPr>
            <w:tcW w:type="dxa" w:w="2880"/>
            <w:tcBorders>
              <w:top w:val="single" w:sz="4" w:color="BFBFBF"/>
              <w:left w:val="single" w:sz="4" w:color="BFBFBF"/>
              <w:bottom w:val="single" w:sz="4" w:color="BFBFBF"/>
              <w:right w:val="single" w:sz="4" w:color="BFBFBF"/>
            </w:tcBorders>
            <w:vAlign w:val="top"/>
          </w:tcPr>
          <w:p>
            <w:r/>
            <w:r>
              <w:rPr>
                <w:sz w:val="20"/>
              </w:rPr>
              <w:t>Date opened</w:t>
            </w:r>
          </w:p>
        </w:tc>
        <w:tc>
          <w:tcPr>
            <w:tcW w:type="dxa" w:w="6480"/>
            <w:tcBorders>
              <w:top w:val="single" w:sz="4" w:color="BFBFBF"/>
              <w:left w:val="single" w:sz="4" w:color="BFBFBF"/>
              <w:bottom w:val="single" w:sz="4" w:color="BFBFBF"/>
              <w:right w:val="single" w:sz="4" w:color="BFBFBF"/>
            </w:tcBorders>
            <w:vAlign w:val="top"/>
          </w:tcPr>
          <w:p>
            <w:r/>
            <w:r>
              <w:rPr>
                <w:sz w:val="20"/>
              </w:rPr>
              <w:t>ISO date</w:t>
            </w:r>
          </w:p>
        </w:tc>
      </w:tr>
      <w:tr>
        <w:tc>
          <w:tcPr>
            <w:tcW w:type="dxa" w:w="2880"/>
            <w:tcBorders>
              <w:top w:val="single" w:sz="4" w:color="BFBFBF"/>
              <w:left w:val="single" w:sz="4" w:color="BFBFBF"/>
              <w:bottom w:val="single" w:sz="4" w:color="BFBFBF"/>
              <w:right w:val="single" w:sz="4" w:color="BFBFBF"/>
            </w:tcBorders>
            <w:vAlign w:val="top"/>
          </w:tcPr>
          <w:p>
            <w:r/>
            <w:r>
              <w:rPr>
                <w:sz w:val="20"/>
              </w:rPr>
              <w:t>Reporter</w:t>
            </w:r>
          </w:p>
        </w:tc>
        <w:tc>
          <w:tcPr>
            <w:tcW w:type="dxa" w:w="6480"/>
            <w:tcBorders>
              <w:top w:val="single" w:sz="4" w:color="BFBFBF"/>
              <w:left w:val="single" w:sz="4" w:color="BFBFBF"/>
              <w:bottom w:val="single" w:sz="4" w:color="BFBFBF"/>
              <w:right w:val="single" w:sz="4" w:color="BFBFBF"/>
            </w:tcBorders>
            <w:vAlign w:val="top"/>
          </w:tcPr>
          <w:p>
            <w:r/>
            <w:r>
              <w:rPr>
                <w:sz w:val="20"/>
              </w:rPr>
              <w:t>Name and role</w:t>
            </w:r>
          </w:p>
        </w:tc>
      </w:tr>
      <w:tr>
        <w:tc>
          <w:tcPr>
            <w:tcW w:type="dxa" w:w="2880"/>
            <w:tcBorders>
              <w:top w:val="single" w:sz="4" w:color="BFBFBF"/>
              <w:left w:val="single" w:sz="4" w:color="BFBFBF"/>
              <w:bottom w:val="single" w:sz="4" w:color="BFBFBF"/>
              <w:right w:val="single" w:sz="4" w:color="BFBFBF"/>
            </w:tcBorders>
            <w:vAlign w:val="top"/>
          </w:tcPr>
          <w:p>
            <w:r/>
            <w:r>
              <w:rPr>
                <w:sz w:val="20"/>
              </w:rPr>
              <w:t>Source</w:t>
            </w:r>
          </w:p>
        </w:tc>
        <w:tc>
          <w:tcPr>
            <w:tcW w:type="dxa" w:w="6480"/>
            <w:tcBorders>
              <w:top w:val="single" w:sz="4" w:color="BFBFBF"/>
              <w:left w:val="single" w:sz="4" w:color="BFBFBF"/>
              <w:bottom w:val="single" w:sz="4" w:color="BFBFBF"/>
              <w:right w:val="single" w:sz="4" w:color="BFBFBF"/>
            </w:tcBorders>
            <w:vAlign w:val="top"/>
          </w:tcPr>
          <w:p>
            <w:r/>
            <w:r>
              <w:rPr>
                <w:sz w:val="20"/>
              </w:rPr>
              <w:t>complaint-trend, lab-OOS, lab-OOT, vendor-receipt, process-deviation, audit-finding, regulatory-observation, internal-flag, direct-open</w:t>
            </w:r>
          </w:p>
        </w:tc>
      </w:tr>
      <w:tr>
        <w:tc>
          <w:tcPr>
            <w:tcW w:type="dxa" w:w="2880"/>
            <w:tcBorders>
              <w:top w:val="single" w:sz="4" w:color="BFBFBF"/>
              <w:left w:val="single" w:sz="4" w:color="BFBFBF"/>
              <w:bottom w:val="single" w:sz="4" w:color="BFBFBF"/>
              <w:right w:val="single" w:sz="4" w:color="BFBFBF"/>
            </w:tcBorders>
            <w:vAlign w:val="top"/>
          </w:tcPr>
          <w:p>
            <w:r/>
            <w:r>
              <w:rPr>
                <w:sz w:val="20"/>
              </w:rPr>
              <w:t>Category</w:t>
            </w:r>
          </w:p>
        </w:tc>
        <w:tc>
          <w:tcPr>
            <w:tcW w:type="dxa" w:w="6480"/>
            <w:tcBorders>
              <w:top w:val="single" w:sz="4" w:color="BFBFBF"/>
              <w:left w:val="single" w:sz="4" w:color="BFBFBF"/>
              <w:bottom w:val="single" w:sz="4" w:color="BFBFBF"/>
              <w:right w:val="single" w:sz="4" w:color="BFBFBF"/>
            </w:tcBorders>
            <w:vAlign w:val="top"/>
          </w:tcPr>
          <w:p>
            <w:r/>
            <w:r>
              <w:rPr>
                <w:sz w:val="20"/>
              </w:rPr>
              <w:t>Product, Process, Vendor, Regulatory, Lab, Fulfillment</w:t>
            </w:r>
          </w:p>
        </w:tc>
      </w:tr>
      <w:tr>
        <w:tc>
          <w:tcPr>
            <w:tcW w:type="dxa" w:w="2880"/>
            <w:tcBorders>
              <w:top w:val="single" w:sz="4" w:color="BFBFBF"/>
              <w:left w:val="single" w:sz="4" w:color="BFBFBF"/>
              <w:bottom w:val="single" w:sz="4" w:color="BFBFBF"/>
              <w:right w:val="single" w:sz="4" w:color="BFBFBF"/>
            </w:tcBorders>
            <w:vAlign w:val="top"/>
          </w:tcPr>
          <w:p>
            <w:r/>
            <w:r>
              <w:rPr>
                <w:sz w:val="20"/>
              </w:rPr>
              <w:t>SKU(s) affected</w:t>
            </w:r>
          </w:p>
        </w:tc>
        <w:tc>
          <w:tcPr>
            <w:tcW w:type="dxa" w:w="6480"/>
            <w:tcBorders>
              <w:top w:val="single" w:sz="4" w:color="BFBFBF"/>
              <w:left w:val="single" w:sz="4" w:color="BFBFBF"/>
              <w:bottom w:val="single" w:sz="4" w:color="BFBFBF"/>
              <w:right w:val="single" w:sz="4" w:color="BFBFBF"/>
            </w:tcBorders>
            <w:vAlign w:val="top"/>
          </w:tcPr>
          <w:p>
            <w:r/>
            <w:r>
              <w:rPr>
                <w:sz w:val="20"/>
              </w:rPr>
              <w:t>If applicable</w:t>
            </w:r>
          </w:p>
        </w:tc>
      </w:tr>
      <w:tr>
        <w:tc>
          <w:tcPr>
            <w:tcW w:type="dxa" w:w="2880"/>
            <w:tcBorders>
              <w:top w:val="single" w:sz="4" w:color="BFBFBF"/>
              <w:left w:val="single" w:sz="4" w:color="BFBFBF"/>
              <w:bottom w:val="single" w:sz="4" w:color="BFBFBF"/>
              <w:right w:val="single" w:sz="4" w:color="BFBFBF"/>
            </w:tcBorders>
            <w:vAlign w:val="top"/>
          </w:tcPr>
          <w:p>
            <w:r/>
            <w:r>
              <w:rPr>
                <w:sz w:val="20"/>
              </w:rPr>
              <w:t>Batch / lot code(s)</w:t>
            </w:r>
          </w:p>
        </w:tc>
        <w:tc>
          <w:tcPr>
            <w:tcW w:type="dxa" w:w="6480"/>
            <w:tcBorders>
              <w:top w:val="single" w:sz="4" w:color="BFBFBF"/>
              <w:left w:val="single" w:sz="4" w:color="BFBFBF"/>
              <w:bottom w:val="single" w:sz="4" w:color="BFBFBF"/>
              <w:right w:val="single" w:sz="4" w:color="BFBFBF"/>
            </w:tcBorders>
            <w:vAlign w:val="top"/>
          </w:tcPr>
          <w:p>
            <w:r/>
            <w:r>
              <w:rPr>
                <w:sz w:val="20"/>
              </w:rPr>
              <w:t>If applicable — links to PLM batch record</w:t>
            </w:r>
          </w:p>
        </w:tc>
      </w:tr>
      <w:tr>
        <w:tc>
          <w:tcPr>
            <w:tcW w:type="dxa" w:w="2880"/>
            <w:tcBorders>
              <w:top w:val="single" w:sz="4" w:color="BFBFBF"/>
              <w:left w:val="single" w:sz="4" w:color="BFBFBF"/>
              <w:bottom w:val="single" w:sz="4" w:color="BFBFBF"/>
              <w:right w:val="single" w:sz="4" w:color="BFBFBF"/>
            </w:tcBorders>
            <w:vAlign w:val="top"/>
          </w:tcPr>
          <w:p>
            <w:r/>
            <w:r>
              <w:rPr>
                <w:sz w:val="20"/>
              </w:rPr>
              <w:t>Vendor</w:t>
            </w:r>
          </w:p>
        </w:tc>
        <w:tc>
          <w:tcPr>
            <w:tcW w:type="dxa" w:w="6480"/>
            <w:tcBorders>
              <w:top w:val="single" w:sz="4" w:color="BFBFBF"/>
              <w:left w:val="single" w:sz="4" w:color="BFBFBF"/>
              <w:bottom w:val="single" w:sz="4" w:color="BFBFBF"/>
              <w:right w:val="single" w:sz="4" w:color="BFBFBF"/>
            </w:tcBorders>
            <w:vAlign w:val="top"/>
          </w:tcPr>
          <w:p>
            <w:r/>
            <w:r>
              <w:rPr>
                <w:sz w:val="20"/>
              </w:rPr>
              <w:t>If applicable</w:t>
            </w:r>
          </w:p>
        </w:tc>
      </w:tr>
      <w:tr>
        <w:tc>
          <w:tcPr>
            <w:tcW w:type="dxa" w:w="2880"/>
            <w:tcBorders>
              <w:top w:val="single" w:sz="4" w:color="BFBFBF"/>
              <w:left w:val="single" w:sz="4" w:color="BFBFBF"/>
              <w:bottom w:val="single" w:sz="4" w:color="BFBFBF"/>
              <w:right w:val="single" w:sz="4" w:color="BFBFBF"/>
            </w:tcBorders>
            <w:vAlign w:val="top"/>
          </w:tcPr>
          <w:p>
            <w:r/>
            <w:r>
              <w:rPr>
                <w:sz w:val="20"/>
              </w:rPr>
              <w:t>Description</w:t>
            </w:r>
          </w:p>
        </w:tc>
        <w:tc>
          <w:tcPr>
            <w:tcW w:type="dxa" w:w="6480"/>
            <w:tcBorders>
              <w:top w:val="single" w:sz="4" w:color="BFBFBF"/>
              <w:left w:val="single" w:sz="4" w:color="BFBFBF"/>
              <w:bottom w:val="single" w:sz="4" w:color="BFBFBF"/>
              <w:right w:val="single" w:sz="4" w:color="BFBFBF"/>
            </w:tcBorders>
            <w:vAlign w:val="top"/>
          </w:tcPr>
          <w:p>
            <w:r/>
            <w:r>
              <w:rPr>
                <w:sz w:val="20"/>
              </w:rPr>
              <w:t>Plain-language description of what was observed and how</w:t>
            </w:r>
          </w:p>
        </w:tc>
      </w:tr>
      <w:tr>
        <w:tc>
          <w:tcPr>
            <w:tcW w:type="dxa" w:w="2880"/>
            <w:tcBorders>
              <w:top w:val="single" w:sz="4" w:color="BFBFBF"/>
              <w:left w:val="single" w:sz="4" w:color="BFBFBF"/>
              <w:bottom w:val="single" w:sz="4" w:color="BFBFBF"/>
              <w:right w:val="single" w:sz="4" w:color="BFBFBF"/>
            </w:tcBorders>
            <w:vAlign w:val="top"/>
          </w:tcPr>
          <w:p>
            <w:r/>
            <w:r>
              <w:rPr>
                <w:sz w:val="20"/>
              </w:rPr>
              <w:t>Evidence</w:t>
            </w:r>
          </w:p>
        </w:tc>
        <w:tc>
          <w:tcPr>
            <w:tcW w:type="dxa" w:w="6480"/>
            <w:tcBorders>
              <w:top w:val="single" w:sz="4" w:color="BFBFBF"/>
              <w:left w:val="single" w:sz="4" w:color="BFBFBF"/>
              <w:bottom w:val="single" w:sz="4" w:color="BFBFBF"/>
              <w:right w:val="single" w:sz="4" w:color="BFBFBF"/>
            </w:tcBorders>
            <w:vAlign w:val="top"/>
          </w:tcPr>
          <w:p>
            <w:r/>
            <w:r>
              <w:rPr>
                <w:sz w:val="20"/>
              </w:rPr>
              <w:t>Links to test results, photos, COAs, complaint task IDs, audit notes</w:t>
            </w:r>
          </w:p>
        </w:tc>
      </w:tr>
      <w:tr>
        <w:tc>
          <w:tcPr>
            <w:tcW w:type="dxa" w:w="2880"/>
            <w:tcBorders>
              <w:top w:val="single" w:sz="4" w:color="BFBFBF"/>
              <w:left w:val="single" w:sz="4" w:color="BFBFBF"/>
              <w:bottom w:val="single" w:sz="4" w:color="BFBFBF"/>
              <w:right w:val="single" w:sz="4" w:color="BFBFBF"/>
            </w:tcBorders>
            <w:vAlign w:val="top"/>
          </w:tcPr>
          <w:p>
            <w:r/>
            <w:r>
              <w:rPr>
                <w:sz w:val="20"/>
              </w:rPr>
              <w:t>Suspected severity</w:t>
            </w:r>
          </w:p>
        </w:tc>
        <w:tc>
          <w:tcPr>
            <w:tcW w:type="dxa" w:w="6480"/>
            <w:tcBorders>
              <w:top w:val="single" w:sz="4" w:color="BFBFBF"/>
              <w:left w:val="single" w:sz="4" w:color="BFBFBF"/>
              <w:bottom w:val="single" w:sz="4" w:color="BFBFBF"/>
              <w:right w:val="single" w:sz="4" w:color="BFBFBF"/>
            </w:tcBorders>
            <w:vAlign w:val="top"/>
          </w:tcPr>
          <w:p>
            <w:r/>
            <w:r>
              <w:rPr>
                <w:sz w:val="20"/>
              </w:rPr>
              <w:t>Operator's first read; QA Lead can override at review</w:t>
            </w:r>
          </w:p>
        </w:tc>
      </w:tr>
      <w:tr>
        <w:tc>
          <w:tcPr>
            <w:tcW w:type="dxa" w:w="2880"/>
            <w:tcBorders>
              <w:top w:val="single" w:sz="4" w:color="BFBFBF"/>
              <w:left w:val="single" w:sz="4" w:color="BFBFBF"/>
              <w:bottom w:val="single" w:sz="4" w:color="BFBFBF"/>
              <w:right w:val="single" w:sz="4" w:color="BFBFBF"/>
            </w:tcBorders>
            <w:vAlign w:val="top"/>
          </w:tcPr>
          <w:p>
            <w:r/>
            <w:r>
              <w:rPr>
                <w:sz w:val="20"/>
              </w:rPr>
              <w:t>Containment action taken</w:t>
            </w:r>
          </w:p>
        </w:tc>
        <w:tc>
          <w:tcPr>
            <w:tcW w:type="dxa" w:w="6480"/>
            <w:tcBorders>
              <w:top w:val="single" w:sz="4" w:color="BFBFBF"/>
              <w:left w:val="single" w:sz="4" w:color="BFBFBF"/>
              <w:bottom w:val="single" w:sz="4" w:color="BFBFBF"/>
              <w:right w:val="single" w:sz="4" w:color="BFBFBF"/>
            </w:tcBorders>
            <w:vAlign w:val="top"/>
          </w:tcPr>
          <w:p>
            <w:r/>
            <w:r>
              <w:rPr>
                <w:sz w:val="20"/>
              </w:rPr>
              <w:t>What was done immediately to prevent further impact (hold, quarantine, stop-ship, recall scoping)</w:t>
            </w:r>
          </w:p>
        </w:tc>
      </w:tr>
    </w:tbl>
    <w:p/>
    <w:p>
      <w:pPr>
        <w:keepNext/>
        <w:spacing w:before="200" w:after="80"/>
        <w:ind w:left="360"/>
      </w:pPr>
      <w:r/>
      <w:r>
        <w:rPr>
          <w:b/>
          <w:sz w:val="24"/>
        </w:rPr>
        <w:t>5.2  Severity Classification</w:t>
      </w:r>
    </w:p>
    <w:p>
      <w:pPr>
        <w:spacing w:after="40"/>
        <w:ind w:left="720" w:hanging="288"/>
      </w:pPr>
      <w:r>
        <w:t xml:space="preserve">•  </w:t>
      </w:r>
      <w:r>
        <w:t>Three bands. The band drives whether and how fast the NCR must convert to CAPA.</w:t>
      </w:r>
    </w:p>
    <w:p>
      <w:pPr>
        <w:spacing w:after="40"/>
        <w:ind w:left="720" w:hanging="288"/>
      </w:pPr>
      <w:r>
        <w:t xml:space="preserve">•  </w:t>
      </w:r>
      <w:r>
        <w:t>Critical — direct safety, recall risk, regulatory exposure, or repeated failure of the same root cause.</w:t>
      </w:r>
    </w:p>
    <w:p>
      <w:pPr>
        <w:spacing w:after="40"/>
        <w:ind w:left="1080" w:hanging="288"/>
      </w:pPr>
      <w:r>
        <w:t xml:space="preserve">o  </w:t>
      </w:r>
      <w:r>
        <w:t>Triggers: medical-intervention SAE, FDA observation, retailer chargeback for safety, repeat NCR on same batch within 12 months</w:t>
      </w:r>
    </w:p>
    <w:p>
      <w:pPr>
        <w:spacing w:after="40"/>
        <w:ind w:left="1080" w:hanging="288"/>
      </w:pPr>
      <w:r>
        <w:t xml:space="preserve">o  </w:t>
      </w:r>
      <w:r>
        <w:t>NCR→CAPA conversion: required, within 5 business days of NCR open</w:t>
      </w:r>
    </w:p>
    <w:p>
      <w:pPr>
        <w:spacing w:after="40"/>
        <w:ind w:left="720" w:hanging="288"/>
      </w:pPr>
      <w:r>
        <w:t xml:space="preserve">•  </w:t>
      </w:r>
      <w:r>
        <w:t>Major — quality or compliance impact that doesn't directly threaten safety but cannot be absorbed without action.</w:t>
      </w:r>
    </w:p>
    <w:p>
      <w:pPr>
        <w:spacing w:after="40"/>
        <w:ind w:left="1080" w:hanging="288"/>
      </w:pPr>
      <w:r>
        <w:t xml:space="preserve">o  </w:t>
      </w:r>
      <w:r>
        <w:t>Triggers: full-batch OOS, vendor systemic deviation, missed labeling claim, single-batch complaint cluster</w:t>
      </w:r>
    </w:p>
    <w:p>
      <w:pPr>
        <w:spacing w:after="40"/>
        <w:ind w:left="1080" w:hanging="288"/>
      </w:pPr>
      <w:r>
        <w:t xml:space="preserve">o  </w:t>
      </w:r>
      <w:r>
        <w:t>NCR→CAPA conversion: required, within 10 business days</w:t>
      </w:r>
    </w:p>
    <w:p>
      <w:pPr>
        <w:spacing w:after="40"/>
        <w:ind w:left="720" w:hanging="288"/>
      </w:pPr>
      <w:r>
        <w:t xml:space="preserve">•  </w:t>
      </w:r>
      <w:r>
        <w:t>Minor — isolated, contained, no recurrence pattern, no compliance exposure.</w:t>
      </w:r>
    </w:p>
    <w:p>
      <w:pPr>
        <w:spacing w:after="40"/>
        <w:ind w:left="1080" w:hanging="288"/>
      </w:pPr>
      <w:r>
        <w:t xml:space="preserve">o  </w:t>
      </w:r>
      <w:r>
        <w:t>Triggers: single-unit cosmetic defect, one-off process miss already corrected, single complaint with no batch linkage</w:t>
      </w:r>
    </w:p>
    <w:p>
      <w:pPr>
        <w:spacing w:after="40"/>
        <w:ind w:left="1080" w:hanging="288"/>
      </w:pPr>
      <w:r>
        <w:t xml:space="preserve">o  </w:t>
      </w:r>
      <w:r>
        <w:t>NCR→CAPA conversion: not required by default. Operator + QA Lead can decide to escalate; if they don't, the NCR closes per §5.4.</w:t>
      </w:r>
    </w:p>
    <w:p>
      <w:pPr>
        <w:spacing w:after="40"/>
        <w:ind w:left="720" w:hanging="288"/>
      </w:pPr>
      <w:r>
        <w:t xml:space="preserve">•  </w:t>
      </w:r>
      <w:r>
        <w:t>Severity reads should err high. The cost of an unnecessary CAPA is lower than the cost of a missed one.</w:t>
      </w:r>
    </w:p>
    <w:p>
      <w:pPr>
        <w:keepNext/>
        <w:spacing w:before="200" w:after="80"/>
        <w:ind w:left="360"/>
      </w:pPr>
      <w:r/>
      <w:r>
        <w:rPr>
          <w:b/>
          <w:sz w:val="24"/>
        </w:rPr>
        <w:t>5.3  Review and Escalation Decision</w:t>
      </w:r>
    </w:p>
    <w:p>
      <w:pPr>
        <w:spacing w:after="40"/>
        <w:ind w:left="720" w:hanging="288"/>
      </w:pPr>
      <w:r>
        <w:t xml:space="preserve">•  </w:t>
      </w:r>
      <w:r>
        <w:t>Once intake is complete, the Operator reviews the NCR. SKN-OPS-001 §5.2 says "QA reviews the NCR form to determine the need for a CAPA." This procedure makes that review concrete.</w:t>
      </w:r>
    </w:p>
    <w:p>
      <w:pPr>
        <w:spacing w:after="40"/>
        <w:ind w:left="720" w:hanging="288"/>
      </w:pPr>
      <w:r>
        <w:t xml:space="preserve">•  </w:t>
      </w:r>
      <w:r>
        <w:t>Review checklist — the Operator confirms:</w:t>
      </w:r>
    </w:p>
    <w:p>
      <w:pPr>
        <w:spacing w:after="40"/>
        <w:ind w:left="1080" w:hanging="288"/>
      </w:pPr>
      <w:r>
        <w:t xml:space="preserve">o  </w:t>
      </w:r>
      <w:r>
        <w:t>Description is specific enough that a third party could understand what happened. If not, request more detail before deciding.</w:t>
      </w:r>
    </w:p>
    <w:p>
      <w:pPr>
        <w:spacing w:after="40"/>
        <w:ind w:left="1080" w:hanging="288"/>
      </w:pPr>
      <w:r>
        <w:t xml:space="preserve">o  </w:t>
      </w:r>
      <w:r>
        <w:t>Severity classification is consistent with the criteria in §5.2. Adjust if needed.</w:t>
      </w:r>
    </w:p>
    <w:p>
      <w:pPr>
        <w:spacing w:after="40"/>
        <w:ind w:left="1080" w:hanging="288"/>
      </w:pPr>
      <w:r>
        <w:t xml:space="preserve">o  </w:t>
      </w:r>
      <w:r>
        <w:t>No existing open CAPA covers this root cause. If one does, link the NCR as additional evidence — do not open a duplicate.</w:t>
      </w:r>
    </w:p>
    <w:p>
      <w:pPr>
        <w:spacing w:after="40"/>
        <w:ind w:left="1080" w:hanging="288"/>
      </w:pPr>
      <w:r>
        <w:t xml:space="preserve">o  </w:t>
      </w:r>
      <w:r>
        <w:t>No pattern across recent closed NCRs that this one fits. If a pattern exists, escalation may be required even if this single instance is Minor.</w:t>
      </w:r>
    </w:p>
    <w:p>
      <w:pPr>
        <w:spacing w:after="40"/>
        <w:ind w:left="1080" w:hanging="288"/>
      </w:pPr>
      <w:r>
        <w:t xml:space="preserve">o  </w:t>
      </w:r>
      <w:r>
        <w:t>Containment has been confirmed. If not, drive containment first; the NCR can wait.</w:t>
      </w:r>
    </w:p>
    <w:p>
      <w:pPr>
        <w:spacing w:after="40"/>
        <w:ind w:left="720" w:hanging="288"/>
      </w:pPr>
      <w:r>
        <w:t xml:space="preserve">•  </w:t>
      </w:r>
      <w:r>
        <w:t>Three valid endpoints from review:</w:t>
      </w:r>
    </w:p>
    <w:p>
      <w:pPr>
        <w:spacing w:after="40"/>
        <w:ind w:left="1080" w:hanging="288"/>
      </w:pPr>
      <w:r>
        <w:t xml:space="preserve">o  </w:t>
      </w:r>
      <w:r>
        <w:t>Convert to CAPA — required for Critical and Major; permitted for Minor. Skill assigns CAPA-YYYY-NNN and walks SKN-OPS-001 §5.2 through §5.6.</w:t>
      </w:r>
    </w:p>
    <w:p>
      <w:pPr>
        <w:spacing w:after="40"/>
        <w:ind w:left="1080" w:hanging="288"/>
      </w:pPr>
      <w:r>
        <w:t xml:space="preserve">o  </w:t>
      </w:r>
      <w:r>
        <w:t>Close — No CAPA — permitted for Minor only. Requires the §5.4 justification fields.</w:t>
      </w:r>
    </w:p>
    <w:p>
      <w:pPr>
        <w:spacing w:after="40"/>
        <w:ind w:left="1080" w:hanging="288"/>
      </w:pPr>
      <w:r>
        <w:t xml:space="preserve">o  </w:t>
      </w:r>
      <w:r>
        <w:t>Hold for More Information — temporary state. NCR sits open with a date-bounded ask back to the Reporter or supporting team. Auto-flags after 10 business days uninterrupted.</w:t>
      </w:r>
    </w:p>
    <w:p>
      <w:pPr>
        <w:spacing w:after="40"/>
        <w:ind w:left="720" w:hanging="288"/>
      </w:pPr>
      <w:r>
        <w:t xml:space="preserve">•  </w:t>
      </w:r>
      <w:r>
        <w:t>QA Lead approves NCR→CAPA conversion at the gate. Operator drafts; QA Lead is the commit step.</w:t>
      </w:r>
    </w:p>
    <w:p>
      <w:pPr>
        <w:keepNext/>
        <w:spacing w:before="200" w:after="80"/>
        <w:ind w:left="360"/>
      </w:pPr>
      <w:r/>
      <w:r>
        <w:rPr>
          <w:b/>
          <w:sz w:val="24"/>
        </w:rPr>
        <w:t>5.4  NCR Closed — No CAPA</w:t>
      </w:r>
    </w:p>
    <w:p>
      <w:pPr>
        <w:spacing w:after="40"/>
        <w:ind w:left="720" w:hanging="288"/>
      </w:pPr>
      <w:r>
        <w:t xml:space="preserve">•  </w:t>
      </w:r>
      <w:r>
        <w:t>Used for Minor NCRs where containment alone is sufficient. The justification field must include:</w:t>
      </w:r>
    </w:p>
    <w:p>
      <w:pPr>
        <w:spacing w:after="40"/>
        <w:ind w:left="1080" w:hanging="288"/>
      </w:pPr>
      <w:r>
        <w:t xml:space="preserve">o  </w:t>
      </w:r>
      <w:r>
        <w:t>Why no CAPA — explicit reasoning tied to §5.2 severity criteria</w:t>
      </w:r>
    </w:p>
    <w:p>
      <w:pPr>
        <w:spacing w:after="40"/>
        <w:ind w:left="1080" w:hanging="288"/>
      </w:pPr>
      <w:r>
        <w:t xml:space="preserve">o  </w:t>
      </w:r>
      <w:r>
        <w:t>What containment resolved — what was done at intake and why it closes the loop</w:t>
      </w:r>
    </w:p>
    <w:p>
      <w:pPr>
        <w:spacing w:after="40"/>
        <w:ind w:left="1080" w:hanging="288"/>
      </w:pPr>
      <w:r>
        <w:t xml:space="preserve">o  </w:t>
      </w:r>
      <w:r>
        <w:t>Trend exposure — confirmation that this isn't part of a pattern (cite recent NCRs reviewed)</w:t>
      </w:r>
    </w:p>
    <w:p>
      <w:pPr>
        <w:spacing w:after="40"/>
        <w:ind w:left="1080" w:hanging="288"/>
      </w:pPr>
      <w:r>
        <w:t xml:space="preserve">o  </w:t>
      </w:r>
      <w:r>
        <w:t>Reviewer — who signed off (role + name)</w:t>
      </w:r>
    </w:p>
    <w:p>
      <w:pPr>
        <w:spacing w:after="40"/>
        <w:ind w:left="720" w:hanging="288"/>
      </w:pPr>
      <w:r>
        <w:t xml:space="preserve">•  </w:t>
      </w:r>
      <w:r>
        <w:t>Closed-No-CAPA NCRs are reviewed monthly by the Operator and quarterly by the QA Lead. If a pattern shows up across closed NCRs that should have been CAPAs, an after-the-fact CAPA can be opened referencing the pattern.</w:t>
      </w:r>
    </w:p>
    <w:p>
      <w:pPr>
        <w:keepNext/>
        <w:spacing w:before="200" w:after="80"/>
        <w:ind w:left="360"/>
      </w:pPr>
      <w:r/>
      <w:r>
        <w:rPr>
          <w:b/>
          <w:sz w:val="24"/>
        </w:rPr>
        <w:t>5.5  Documentation and Retention</w:t>
      </w:r>
    </w:p>
    <w:p>
      <w:pPr>
        <w:spacing w:after="40"/>
        <w:ind w:left="720" w:hanging="288"/>
      </w:pPr>
      <w:r>
        <w:t xml:space="preserve">•  </w:t>
      </w:r>
      <w:r>
        <w:t>Every NCR — open, closed-no-CAPA, or converted-to-CAPA — generates a record retained per SKN-OPS-001 §5.6.</w:t>
      </w:r>
    </w:p>
    <w:p>
      <w:pPr>
        <w:spacing w:after="40"/>
        <w:ind w:left="720" w:hanging="288"/>
      </w:pPr>
      <w:r>
        <w:t xml:space="preserve">•  </w:t>
      </w:r>
      <w:r>
        <w:t>Retention: 3 years post-batch-expiration per ISO 22716 cosmetic GMP.</w:t>
      </w:r>
    </w:p>
    <w:p>
      <w:pPr>
        <w:spacing w:after="40"/>
        <w:ind w:left="720" w:hanging="288"/>
      </w:pPr>
      <w:r>
        <w:t xml:space="preserve">•  </w:t>
      </w:r>
      <w:r>
        <w:t>Records live as Asana tasks in the SJS CAPA Log project. Custom fields capture structured intake, severity, source, category, decision, and conversion link. Comments capture working notes. Attachments hold evidence (photos, COAs, lab reports, audit observations).</w:t>
      </w:r>
    </w:p>
    <w:p>
      <w:pPr>
        <w:spacing w:after="40"/>
        <w:ind w:left="720" w:hanging="288"/>
      </w:pPr>
      <w:r>
        <w:t xml:space="preserve">•  </w:t>
      </w:r>
      <w:r>
        <w:t>PLM holds source-of-truth batch and vendor records; the NCR Asana task carries the workflow surface and links to the PLM record.</w:t>
      </w:r>
    </w:p>
    <w:p>
      <w:pPr>
        <w:keepNext/>
        <w:spacing w:before="280" w:after="120"/>
      </w:pPr>
      <w:r/>
      <w:r>
        <w:rPr>
          <w:b/>
          <w:color w:val="1F3763"/>
          <w:sz w:val="28"/>
        </w:rPr>
        <w:t>6. Service Level Agreements</w:t>
      </w:r>
    </w:p>
    <w:tbl>
      <w:tblPr>
        <w:tblW w:type="auto" w:w="0"/>
        <w:tblLayout w:type="fixed"/>
        <w:tblLook w:firstColumn="1" w:firstRow="1" w:lastColumn="0" w:lastRow="0" w:noHBand="0" w:noVBand="1" w:val="04A0"/>
      </w:tblPr>
      <w:tblGrid>
        <w:gridCol w:w="4680"/>
        <w:gridCol w:w="4680"/>
      </w:tblGrid>
      <w:tr>
        <w:tc>
          <w:tcPr>
            <w:tcW w:type="dxa" w:w="3600"/>
            <w:shd w:val="clear" w:color="auto" w:fill="1F3763"/>
            <w:tcBorders>
              <w:top w:val="single" w:sz="4" w:color="BFBFBF"/>
              <w:left w:val="single" w:sz="4" w:color="BFBFBF"/>
              <w:bottom w:val="single" w:sz="4" w:color="BFBFBF"/>
              <w:right w:val="single" w:sz="4" w:color="BFBFBF"/>
            </w:tcBorders>
            <w:vAlign w:val="center"/>
          </w:tcPr>
          <w:p>
            <w:r/>
            <w:r>
              <w:rPr>
                <w:b/>
                <w:color w:val="FFFFFF"/>
                <w:sz w:val="20"/>
              </w:rPr>
              <w:t>Action</w:t>
            </w:r>
          </w:p>
        </w:tc>
        <w:tc>
          <w:tcPr>
            <w:tcW w:type="dxa" w:w="5760"/>
            <w:shd w:val="clear" w:color="auto" w:fill="1F3763"/>
            <w:tcBorders>
              <w:top w:val="single" w:sz="4" w:color="BFBFBF"/>
              <w:left w:val="single" w:sz="4" w:color="BFBFBF"/>
              <w:bottom w:val="single" w:sz="4" w:color="BFBFBF"/>
              <w:right w:val="single" w:sz="4" w:color="BFBFBF"/>
            </w:tcBorders>
            <w:vAlign w:val="center"/>
          </w:tcPr>
          <w:p>
            <w:r/>
            <w:r>
              <w:rPr>
                <w:b/>
                <w:color w:val="FFFFFF"/>
                <w:sz w:val="20"/>
              </w:rPr>
              <w:t>SLA</w:t>
            </w:r>
          </w:p>
        </w:tc>
      </w:tr>
      <w:tr>
        <w:tc>
          <w:tcPr>
            <w:tcW w:type="dxa" w:w="3600"/>
            <w:tcBorders>
              <w:top w:val="single" w:sz="4" w:color="BFBFBF"/>
              <w:left w:val="single" w:sz="4" w:color="BFBFBF"/>
              <w:bottom w:val="single" w:sz="4" w:color="BFBFBF"/>
              <w:right w:val="single" w:sz="4" w:color="BFBFBF"/>
            </w:tcBorders>
            <w:vAlign w:val="top"/>
          </w:tcPr>
          <w:p>
            <w:r/>
            <w:r>
              <w:rPr>
                <w:sz w:val="20"/>
              </w:rPr>
              <w:t>NCR review (intake → decision)</w:t>
            </w:r>
          </w:p>
        </w:tc>
        <w:tc>
          <w:tcPr>
            <w:tcW w:type="dxa" w:w="5760"/>
            <w:tcBorders>
              <w:top w:val="single" w:sz="4" w:color="BFBFBF"/>
              <w:left w:val="single" w:sz="4" w:color="BFBFBF"/>
              <w:bottom w:val="single" w:sz="4" w:color="BFBFBF"/>
              <w:right w:val="single" w:sz="4" w:color="BFBFBF"/>
            </w:tcBorders>
            <w:vAlign w:val="top"/>
          </w:tcPr>
          <w:p>
            <w:r/>
            <w:r>
              <w:rPr>
                <w:sz w:val="20"/>
              </w:rPr>
              <w:t>5 business days for Critical, 10 for Major, 15 for Minor</w:t>
            </w:r>
          </w:p>
        </w:tc>
      </w:tr>
      <w:tr>
        <w:tc>
          <w:tcPr>
            <w:tcW w:type="dxa" w:w="3600"/>
            <w:tcBorders>
              <w:top w:val="single" w:sz="4" w:color="BFBFBF"/>
              <w:left w:val="single" w:sz="4" w:color="BFBFBF"/>
              <w:bottom w:val="single" w:sz="4" w:color="BFBFBF"/>
              <w:right w:val="single" w:sz="4" w:color="BFBFBF"/>
            </w:tcBorders>
            <w:vAlign w:val="top"/>
          </w:tcPr>
          <w:p>
            <w:r/>
            <w:r>
              <w:rPr>
                <w:sz w:val="20"/>
              </w:rPr>
              <w:t>Hold-state escalation</w:t>
            </w:r>
          </w:p>
        </w:tc>
        <w:tc>
          <w:tcPr>
            <w:tcW w:type="dxa" w:w="5760"/>
            <w:tcBorders>
              <w:top w:val="single" w:sz="4" w:color="BFBFBF"/>
              <w:left w:val="single" w:sz="4" w:color="BFBFBF"/>
              <w:bottom w:val="single" w:sz="4" w:color="BFBFBF"/>
              <w:right w:val="single" w:sz="4" w:color="BFBFBF"/>
            </w:tcBorders>
            <w:vAlign w:val="top"/>
          </w:tcPr>
          <w:p>
            <w:r/>
            <w:r>
              <w:rPr>
                <w:sz w:val="20"/>
              </w:rPr>
              <w:t>10 business days uninterrupted before auto-flag</w:t>
            </w:r>
          </w:p>
        </w:tc>
      </w:tr>
      <w:tr>
        <w:tc>
          <w:tcPr>
            <w:tcW w:type="dxa" w:w="3600"/>
            <w:tcBorders>
              <w:top w:val="single" w:sz="4" w:color="BFBFBF"/>
              <w:left w:val="single" w:sz="4" w:color="BFBFBF"/>
              <w:bottom w:val="single" w:sz="4" w:color="BFBFBF"/>
              <w:right w:val="single" w:sz="4" w:color="BFBFBF"/>
            </w:tcBorders>
            <w:vAlign w:val="top"/>
          </w:tcPr>
          <w:p>
            <w:r/>
            <w:r>
              <w:rPr>
                <w:sz w:val="20"/>
              </w:rPr>
              <w:t>Critical NCR→CAPA conversion</w:t>
            </w:r>
          </w:p>
        </w:tc>
        <w:tc>
          <w:tcPr>
            <w:tcW w:type="dxa" w:w="5760"/>
            <w:tcBorders>
              <w:top w:val="single" w:sz="4" w:color="BFBFBF"/>
              <w:left w:val="single" w:sz="4" w:color="BFBFBF"/>
              <w:bottom w:val="single" w:sz="4" w:color="BFBFBF"/>
              <w:right w:val="single" w:sz="4" w:color="BFBFBF"/>
            </w:tcBorders>
            <w:vAlign w:val="top"/>
          </w:tcPr>
          <w:p>
            <w:r/>
            <w:r>
              <w:rPr>
                <w:sz w:val="20"/>
              </w:rPr>
              <w:t>5 business days from NCR open</w:t>
            </w:r>
          </w:p>
        </w:tc>
      </w:tr>
      <w:tr>
        <w:tc>
          <w:tcPr>
            <w:tcW w:type="dxa" w:w="3600"/>
            <w:tcBorders>
              <w:top w:val="single" w:sz="4" w:color="BFBFBF"/>
              <w:left w:val="single" w:sz="4" w:color="BFBFBF"/>
              <w:bottom w:val="single" w:sz="4" w:color="BFBFBF"/>
              <w:right w:val="single" w:sz="4" w:color="BFBFBF"/>
            </w:tcBorders>
            <w:vAlign w:val="top"/>
          </w:tcPr>
          <w:p>
            <w:r/>
            <w:r>
              <w:rPr>
                <w:sz w:val="20"/>
              </w:rPr>
              <w:t>Major NCR→CAPA conversion</w:t>
            </w:r>
          </w:p>
        </w:tc>
        <w:tc>
          <w:tcPr>
            <w:tcW w:type="dxa" w:w="5760"/>
            <w:tcBorders>
              <w:top w:val="single" w:sz="4" w:color="BFBFBF"/>
              <w:left w:val="single" w:sz="4" w:color="BFBFBF"/>
              <w:bottom w:val="single" w:sz="4" w:color="BFBFBF"/>
              <w:right w:val="single" w:sz="4" w:color="BFBFBF"/>
            </w:tcBorders>
            <w:vAlign w:val="top"/>
          </w:tcPr>
          <w:p>
            <w:r/>
            <w:r>
              <w:rPr>
                <w:sz w:val="20"/>
              </w:rPr>
              <w:t>10 business days from NCR open</w:t>
            </w:r>
          </w:p>
        </w:tc>
      </w:tr>
      <w:tr>
        <w:tc>
          <w:tcPr>
            <w:tcW w:type="dxa" w:w="3600"/>
            <w:tcBorders>
              <w:top w:val="single" w:sz="4" w:color="BFBFBF"/>
              <w:left w:val="single" w:sz="4" w:color="BFBFBF"/>
              <w:bottom w:val="single" w:sz="4" w:color="BFBFBF"/>
              <w:right w:val="single" w:sz="4" w:color="BFBFBF"/>
            </w:tcBorders>
            <w:vAlign w:val="top"/>
          </w:tcPr>
          <w:p>
            <w:r/>
            <w:r>
              <w:rPr>
                <w:sz w:val="20"/>
              </w:rPr>
              <w:t>Closed-No-CAPA monthly review</w:t>
            </w:r>
          </w:p>
        </w:tc>
        <w:tc>
          <w:tcPr>
            <w:tcW w:type="dxa" w:w="5760"/>
            <w:tcBorders>
              <w:top w:val="single" w:sz="4" w:color="BFBFBF"/>
              <w:left w:val="single" w:sz="4" w:color="BFBFBF"/>
              <w:bottom w:val="single" w:sz="4" w:color="BFBFBF"/>
              <w:right w:val="single" w:sz="4" w:color="BFBFBF"/>
            </w:tcBorders>
            <w:vAlign w:val="top"/>
          </w:tcPr>
          <w:p>
            <w:r/>
            <w:r>
              <w:rPr>
                <w:sz w:val="20"/>
              </w:rPr>
              <w:t>First business day of each month</w:t>
            </w:r>
          </w:p>
        </w:tc>
      </w:tr>
      <w:tr>
        <w:tc>
          <w:tcPr>
            <w:tcW w:type="dxa" w:w="3600"/>
            <w:tcBorders>
              <w:top w:val="single" w:sz="4" w:color="BFBFBF"/>
              <w:left w:val="single" w:sz="4" w:color="BFBFBF"/>
              <w:bottom w:val="single" w:sz="4" w:color="BFBFBF"/>
              <w:right w:val="single" w:sz="4" w:color="BFBFBF"/>
            </w:tcBorders>
            <w:vAlign w:val="top"/>
          </w:tcPr>
          <w:p>
            <w:r/>
            <w:r>
              <w:rPr>
                <w:sz w:val="20"/>
              </w:rPr>
              <w:t>Closed-No-CAPA quarterly QA Lead review</w:t>
            </w:r>
          </w:p>
        </w:tc>
        <w:tc>
          <w:tcPr>
            <w:tcW w:type="dxa" w:w="5760"/>
            <w:tcBorders>
              <w:top w:val="single" w:sz="4" w:color="BFBFBF"/>
              <w:left w:val="single" w:sz="4" w:color="BFBFBF"/>
              <w:bottom w:val="single" w:sz="4" w:color="BFBFBF"/>
              <w:right w:val="single" w:sz="4" w:color="BFBFBF"/>
            </w:tcBorders>
            <w:vAlign w:val="top"/>
          </w:tcPr>
          <w:p>
            <w:r/>
            <w:r>
              <w:rPr>
                <w:sz w:val="20"/>
              </w:rPr>
              <w:t>First business day of each quarter</w:t>
            </w:r>
          </w:p>
        </w:tc>
      </w:tr>
    </w:tbl>
    <w:p/>
    <w:p>
      <w:pPr>
        <w:keepNext/>
        <w:spacing w:before="280" w:after="120"/>
      </w:pPr>
      <w:r/>
      <w:r>
        <w:rPr>
          <w:b/>
          <w:color w:val="1F3763"/>
          <w:sz w:val="28"/>
        </w:rPr>
        <w:t>7. Training</w:t>
      </w:r>
    </w:p>
    <w:p>
      <w:pPr>
        <w:spacing w:after="40"/>
        <w:ind w:left="720" w:hanging="288"/>
      </w:pPr>
      <w:r>
        <w:t xml:space="preserve">•  </w:t>
      </w:r>
      <w:r>
        <w:t>Ensure all employees involved in the NCR process receive appropriate training on this SOP.</w:t>
      </w:r>
    </w:p>
    <w:p>
      <w:pPr>
        <w:spacing w:after="40"/>
        <w:ind w:left="720" w:hanging="288"/>
      </w:pPr>
      <w:r>
        <w:t xml:space="preserve">•  </w:t>
      </w:r>
      <w:r>
        <w:t>Document all training records.</w:t>
      </w:r>
    </w:p>
    <w:p>
      <w:pPr>
        <w:keepNext/>
        <w:spacing w:before="280" w:after="120"/>
      </w:pPr>
      <w:r/>
      <w:r>
        <w:rPr>
          <w:b/>
          <w:color w:val="1F3763"/>
          <w:sz w:val="28"/>
        </w:rPr>
        <w:t>8. Review and Approval</w:t>
      </w:r>
    </w:p>
    <w:p>
      <w:pPr>
        <w:spacing w:after="40"/>
        <w:ind w:left="720" w:hanging="288"/>
      </w:pPr>
      <w:r>
        <w:t xml:space="preserve">•  </w:t>
      </w:r>
      <w:r>
        <w:t>This SOP should be reviewed annually and updated as necessary.</w:t>
      </w:r>
    </w:p>
    <w:p>
      <w:pPr>
        <w:spacing w:after="40"/>
        <w:ind w:left="720" w:hanging="288"/>
      </w:pPr>
      <w:r>
        <w:t xml:space="preserve">•  </w:t>
      </w:r>
      <w:r>
        <w:t>All revisions must be approved by the QA Manager.</w:t>
      </w:r>
    </w:p>
    <w:p>
      <w:pPr>
        <w:keepNext/>
        <w:spacing w:before="280" w:after="120"/>
      </w:pPr>
      <w:r/>
      <w:r>
        <w:rPr>
          <w:b/>
          <w:color w:val="1F3763"/>
          <w:sz w:val="28"/>
        </w:rPr>
        <w:t>9. Appendices</w:t>
      </w:r>
    </w:p>
    <w:p>
      <w:pPr>
        <w:keepNext/>
        <w:spacing w:before="200" w:after="80"/>
        <w:ind w:left="360"/>
      </w:pPr>
      <w:r/>
      <w:r>
        <w:rPr>
          <w:b/>
          <w:sz w:val="24"/>
        </w:rPr>
        <w:t>Appendix A — NCR Intake Form Field Set</w:t>
      </w:r>
    </w:p>
    <w:p>
      <w:pPr>
        <w:spacing w:after="120"/>
        <w:ind w:left="0"/>
      </w:pPr>
      <w:r>
        <w:t>Every NCR must capture the following at intake. See §5.1 for context.</w:t>
      </w:r>
    </w:p>
    <w:tbl>
      <w:tblPr>
        <w:tblW w:type="auto" w:w="0"/>
        <w:tblLayout w:type="fixed"/>
        <w:tblLook w:firstColumn="1" w:firstRow="1" w:lastColumn="0" w:lastRow="0" w:noHBand="0" w:noVBand="1" w:val="04A0"/>
      </w:tblPr>
      <w:tblGrid>
        <w:gridCol w:w="4680"/>
        <w:gridCol w:w="4680"/>
      </w:tblGrid>
      <w:tr>
        <w:tc>
          <w:tcPr>
            <w:tcW w:type="dxa" w:w="2880"/>
            <w:shd w:val="clear" w:color="auto" w:fill="1F3763"/>
            <w:tcBorders>
              <w:top w:val="single" w:sz="4" w:color="BFBFBF"/>
              <w:left w:val="single" w:sz="4" w:color="BFBFBF"/>
              <w:bottom w:val="single" w:sz="4" w:color="BFBFBF"/>
              <w:right w:val="single" w:sz="4" w:color="BFBFBF"/>
            </w:tcBorders>
            <w:vAlign w:val="center"/>
          </w:tcPr>
          <w:p>
            <w:r/>
            <w:r>
              <w:rPr>
                <w:b/>
                <w:color w:val="FFFFFF"/>
                <w:sz w:val="20"/>
              </w:rPr>
              <w:t>Field</w:t>
            </w:r>
          </w:p>
        </w:tc>
        <w:tc>
          <w:tcPr>
            <w:tcW w:type="dxa" w:w="6480"/>
            <w:shd w:val="clear" w:color="auto" w:fill="1F3763"/>
            <w:tcBorders>
              <w:top w:val="single" w:sz="4" w:color="BFBFBF"/>
              <w:left w:val="single" w:sz="4" w:color="BFBFBF"/>
              <w:bottom w:val="single" w:sz="4" w:color="BFBFBF"/>
              <w:right w:val="single" w:sz="4" w:color="BFBFBF"/>
            </w:tcBorders>
            <w:vAlign w:val="center"/>
          </w:tcPr>
          <w:p>
            <w:r/>
            <w:r>
              <w:rPr>
                <w:b/>
                <w:color w:val="FFFFFF"/>
                <w:sz w:val="20"/>
              </w:rPr>
              <w:t>Value</w:t>
            </w:r>
          </w:p>
        </w:tc>
      </w:tr>
      <w:tr>
        <w:tc>
          <w:tcPr>
            <w:tcW w:type="dxa" w:w="2880"/>
            <w:tcBorders>
              <w:top w:val="single" w:sz="4" w:color="BFBFBF"/>
              <w:left w:val="single" w:sz="4" w:color="BFBFBF"/>
              <w:bottom w:val="single" w:sz="4" w:color="BFBFBF"/>
              <w:right w:val="single" w:sz="4" w:color="BFBFBF"/>
            </w:tcBorders>
            <w:vAlign w:val="top"/>
          </w:tcPr>
          <w:p>
            <w:r/>
            <w:r>
              <w:rPr>
                <w:sz w:val="20"/>
              </w:rPr>
              <w:t>NCR Number</w:t>
            </w:r>
          </w:p>
        </w:tc>
        <w:tc>
          <w:tcPr>
            <w:tcW w:type="dxa" w:w="6480"/>
            <w:tcBorders>
              <w:top w:val="single" w:sz="4" w:color="BFBFBF"/>
              <w:left w:val="single" w:sz="4" w:color="BFBFBF"/>
              <w:bottom w:val="single" w:sz="4" w:color="BFBFBF"/>
              <w:right w:val="single" w:sz="4" w:color="BFBFBF"/>
            </w:tcBorders>
            <w:vAlign w:val="top"/>
          </w:tcPr>
          <w:p>
            <w:r/>
            <w:r>
              <w:rPr>
                <w:sz w:val="20"/>
              </w:rPr>
              <w:t>NCR-YYYY-NNN</w:t>
            </w:r>
          </w:p>
        </w:tc>
      </w:tr>
      <w:tr>
        <w:tc>
          <w:tcPr>
            <w:tcW w:type="dxa" w:w="2880"/>
            <w:tcBorders>
              <w:top w:val="single" w:sz="4" w:color="BFBFBF"/>
              <w:left w:val="single" w:sz="4" w:color="BFBFBF"/>
              <w:bottom w:val="single" w:sz="4" w:color="BFBFBF"/>
              <w:right w:val="single" w:sz="4" w:color="BFBFBF"/>
            </w:tcBorders>
            <w:vAlign w:val="top"/>
          </w:tcPr>
          <w:p>
            <w:r/>
            <w:r>
              <w:rPr>
                <w:sz w:val="20"/>
              </w:rPr>
              <w:t>Date opened</w:t>
            </w:r>
          </w:p>
        </w:tc>
        <w:tc>
          <w:tcPr>
            <w:tcW w:type="dxa" w:w="6480"/>
            <w:tcBorders>
              <w:top w:val="single" w:sz="4" w:color="BFBFBF"/>
              <w:left w:val="single" w:sz="4" w:color="BFBFBF"/>
              <w:bottom w:val="single" w:sz="4" w:color="BFBFBF"/>
              <w:right w:val="single" w:sz="4" w:color="BFBFBF"/>
            </w:tcBorders>
            <w:vAlign w:val="top"/>
          </w:tcPr>
          <w:p>
            <w:r/>
            <w:r>
              <w:rPr>
                <w:sz w:val="20"/>
              </w:rPr>
              <w:t>YYYY-MM-DD</w:t>
            </w:r>
          </w:p>
        </w:tc>
      </w:tr>
      <w:tr>
        <w:tc>
          <w:tcPr>
            <w:tcW w:type="dxa" w:w="2880"/>
            <w:tcBorders>
              <w:top w:val="single" w:sz="4" w:color="BFBFBF"/>
              <w:left w:val="single" w:sz="4" w:color="BFBFBF"/>
              <w:bottom w:val="single" w:sz="4" w:color="BFBFBF"/>
              <w:right w:val="single" w:sz="4" w:color="BFBFBF"/>
            </w:tcBorders>
            <w:vAlign w:val="top"/>
          </w:tcPr>
          <w:p>
            <w:r/>
            <w:r>
              <w:rPr>
                <w:sz w:val="20"/>
              </w:rPr>
              <w:t>Reporter</w:t>
            </w:r>
          </w:p>
        </w:tc>
        <w:tc>
          <w:tcPr>
            <w:tcW w:type="dxa" w:w="6480"/>
            <w:tcBorders>
              <w:top w:val="single" w:sz="4" w:color="BFBFBF"/>
              <w:left w:val="single" w:sz="4" w:color="BFBFBF"/>
              <w:bottom w:val="single" w:sz="4" w:color="BFBFBF"/>
              <w:right w:val="single" w:sz="4" w:color="BFBFBF"/>
            </w:tcBorders>
            <w:vAlign w:val="top"/>
          </w:tcPr>
          <w:p>
            <w:r/>
            <w:r>
              <w:rPr>
                <w:sz w:val="20"/>
              </w:rPr>
              <w:t>Name + role</w:t>
            </w:r>
          </w:p>
        </w:tc>
      </w:tr>
      <w:tr>
        <w:tc>
          <w:tcPr>
            <w:tcW w:type="dxa" w:w="2880"/>
            <w:tcBorders>
              <w:top w:val="single" w:sz="4" w:color="BFBFBF"/>
              <w:left w:val="single" w:sz="4" w:color="BFBFBF"/>
              <w:bottom w:val="single" w:sz="4" w:color="BFBFBF"/>
              <w:right w:val="single" w:sz="4" w:color="BFBFBF"/>
            </w:tcBorders>
            <w:vAlign w:val="top"/>
          </w:tcPr>
          <w:p>
            <w:r/>
            <w:r>
              <w:rPr>
                <w:sz w:val="20"/>
              </w:rPr>
              <w:t>Source</w:t>
            </w:r>
          </w:p>
        </w:tc>
        <w:tc>
          <w:tcPr>
            <w:tcW w:type="dxa" w:w="6480"/>
            <w:tcBorders>
              <w:top w:val="single" w:sz="4" w:color="BFBFBF"/>
              <w:left w:val="single" w:sz="4" w:color="BFBFBF"/>
              <w:bottom w:val="single" w:sz="4" w:color="BFBFBF"/>
              <w:right w:val="single" w:sz="4" w:color="BFBFBF"/>
            </w:tcBorders>
            <w:vAlign w:val="top"/>
          </w:tcPr>
          <w:p>
            <w:r/>
            <w:r>
              <w:rPr>
                <w:sz w:val="20"/>
              </w:rPr>
              <w:t>complaint-trend | lab-OOS | lab-OOT | vendor-receipt | process-deviation | audit-finding | regulatory-observation | internal-flag | direct-open</w:t>
            </w:r>
          </w:p>
        </w:tc>
      </w:tr>
      <w:tr>
        <w:tc>
          <w:tcPr>
            <w:tcW w:type="dxa" w:w="2880"/>
            <w:tcBorders>
              <w:top w:val="single" w:sz="4" w:color="BFBFBF"/>
              <w:left w:val="single" w:sz="4" w:color="BFBFBF"/>
              <w:bottom w:val="single" w:sz="4" w:color="BFBFBF"/>
              <w:right w:val="single" w:sz="4" w:color="BFBFBF"/>
            </w:tcBorders>
            <w:vAlign w:val="top"/>
          </w:tcPr>
          <w:p>
            <w:r/>
            <w:r>
              <w:rPr>
                <w:sz w:val="20"/>
              </w:rPr>
              <w:t>Category</w:t>
            </w:r>
          </w:p>
        </w:tc>
        <w:tc>
          <w:tcPr>
            <w:tcW w:type="dxa" w:w="6480"/>
            <w:tcBorders>
              <w:top w:val="single" w:sz="4" w:color="BFBFBF"/>
              <w:left w:val="single" w:sz="4" w:color="BFBFBF"/>
              <w:bottom w:val="single" w:sz="4" w:color="BFBFBF"/>
              <w:right w:val="single" w:sz="4" w:color="BFBFBF"/>
            </w:tcBorders>
            <w:vAlign w:val="top"/>
          </w:tcPr>
          <w:p>
            <w:r/>
            <w:r>
              <w:rPr>
                <w:sz w:val="20"/>
              </w:rPr>
              <w:t>Product | Process | Vendor | Regulatory | Lab | Fulfillment</w:t>
            </w:r>
          </w:p>
        </w:tc>
      </w:tr>
      <w:tr>
        <w:tc>
          <w:tcPr>
            <w:tcW w:type="dxa" w:w="2880"/>
            <w:tcBorders>
              <w:top w:val="single" w:sz="4" w:color="BFBFBF"/>
              <w:left w:val="single" w:sz="4" w:color="BFBFBF"/>
              <w:bottom w:val="single" w:sz="4" w:color="BFBFBF"/>
              <w:right w:val="single" w:sz="4" w:color="BFBFBF"/>
            </w:tcBorders>
            <w:vAlign w:val="top"/>
          </w:tcPr>
          <w:p>
            <w:r/>
            <w:r>
              <w:rPr>
                <w:sz w:val="20"/>
              </w:rPr>
              <w:t>SKU(s) affected</w:t>
            </w:r>
          </w:p>
        </w:tc>
        <w:tc>
          <w:tcPr>
            <w:tcW w:type="dxa" w:w="6480"/>
            <w:tcBorders>
              <w:top w:val="single" w:sz="4" w:color="BFBFBF"/>
              <w:left w:val="single" w:sz="4" w:color="BFBFBF"/>
              <w:bottom w:val="single" w:sz="4" w:color="BFBFBF"/>
              <w:right w:val="single" w:sz="4" w:color="BFBFBF"/>
            </w:tcBorders>
            <w:vAlign w:val="top"/>
          </w:tcPr>
          <w:p>
            <w:r/>
            <w:r>
              <w:rPr>
                <w:sz w:val="20"/>
              </w:rPr>
              <w:t>List</w:t>
            </w:r>
          </w:p>
        </w:tc>
      </w:tr>
      <w:tr>
        <w:tc>
          <w:tcPr>
            <w:tcW w:type="dxa" w:w="2880"/>
            <w:tcBorders>
              <w:top w:val="single" w:sz="4" w:color="BFBFBF"/>
              <w:left w:val="single" w:sz="4" w:color="BFBFBF"/>
              <w:bottom w:val="single" w:sz="4" w:color="BFBFBF"/>
              <w:right w:val="single" w:sz="4" w:color="BFBFBF"/>
            </w:tcBorders>
            <w:vAlign w:val="top"/>
          </w:tcPr>
          <w:p>
            <w:r/>
            <w:r>
              <w:rPr>
                <w:sz w:val="20"/>
              </w:rPr>
              <w:t>Batch / lot code(s)</w:t>
            </w:r>
          </w:p>
        </w:tc>
        <w:tc>
          <w:tcPr>
            <w:tcW w:type="dxa" w:w="6480"/>
            <w:tcBorders>
              <w:top w:val="single" w:sz="4" w:color="BFBFBF"/>
              <w:left w:val="single" w:sz="4" w:color="BFBFBF"/>
              <w:bottom w:val="single" w:sz="4" w:color="BFBFBF"/>
              <w:right w:val="single" w:sz="4" w:color="BFBFBF"/>
            </w:tcBorders>
            <w:vAlign w:val="top"/>
          </w:tcPr>
          <w:p>
            <w:r/>
            <w:r>
              <w:rPr>
                <w:sz w:val="20"/>
              </w:rPr>
              <w:t>PLM batch_code list</w:t>
            </w:r>
          </w:p>
        </w:tc>
      </w:tr>
      <w:tr>
        <w:tc>
          <w:tcPr>
            <w:tcW w:type="dxa" w:w="2880"/>
            <w:tcBorders>
              <w:top w:val="single" w:sz="4" w:color="BFBFBF"/>
              <w:left w:val="single" w:sz="4" w:color="BFBFBF"/>
              <w:bottom w:val="single" w:sz="4" w:color="BFBFBF"/>
              <w:right w:val="single" w:sz="4" w:color="BFBFBF"/>
            </w:tcBorders>
            <w:vAlign w:val="top"/>
          </w:tcPr>
          <w:p>
            <w:r/>
            <w:r>
              <w:rPr>
                <w:sz w:val="20"/>
              </w:rPr>
              <w:t>Vendor</w:t>
            </w:r>
          </w:p>
        </w:tc>
        <w:tc>
          <w:tcPr>
            <w:tcW w:type="dxa" w:w="6480"/>
            <w:tcBorders>
              <w:top w:val="single" w:sz="4" w:color="BFBFBF"/>
              <w:left w:val="single" w:sz="4" w:color="BFBFBF"/>
              <w:bottom w:val="single" w:sz="4" w:color="BFBFBF"/>
              <w:right w:val="single" w:sz="4" w:color="BFBFBF"/>
            </w:tcBorders>
            <w:vAlign w:val="top"/>
          </w:tcPr>
          <w:p>
            <w:r/>
            <w:r>
              <w:rPr>
                <w:sz w:val="20"/>
              </w:rPr>
              <w:t>Name</w:t>
            </w:r>
          </w:p>
        </w:tc>
      </w:tr>
      <w:tr>
        <w:tc>
          <w:tcPr>
            <w:tcW w:type="dxa" w:w="2880"/>
            <w:tcBorders>
              <w:top w:val="single" w:sz="4" w:color="BFBFBF"/>
              <w:left w:val="single" w:sz="4" w:color="BFBFBF"/>
              <w:bottom w:val="single" w:sz="4" w:color="BFBFBF"/>
              <w:right w:val="single" w:sz="4" w:color="BFBFBF"/>
            </w:tcBorders>
            <w:vAlign w:val="top"/>
          </w:tcPr>
          <w:p>
            <w:r/>
            <w:r>
              <w:rPr>
                <w:sz w:val="20"/>
              </w:rPr>
              <w:t>Description</w:t>
            </w:r>
          </w:p>
        </w:tc>
        <w:tc>
          <w:tcPr>
            <w:tcW w:type="dxa" w:w="6480"/>
            <w:tcBorders>
              <w:top w:val="single" w:sz="4" w:color="BFBFBF"/>
              <w:left w:val="single" w:sz="4" w:color="BFBFBF"/>
              <w:bottom w:val="single" w:sz="4" w:color="BFBFBF"/>
              <w:right w:val="single" w:sz="4" w:color="BFBFBF"/>
            </w:tcBorders>
            <w:vAlign w:val="top"/>
          </w:tcPr>
          <w:p>
            <w:r/>
            <w:r>
              <w:rPr>
                <w:sz w:val="20"/>
              </w:rPr>
              <w:t>Plain-language statement</w:t>
            </w:r>
          </w:p>
        </w:tc>
      </w:tr>
      <w:tr>
        <w:tc>
          <w:tcPr>
            <w:tcW w:type="dxa" w:w="2880"/>
            <w:tcBorders>
              <w:top w:val="single" w:sz="4" w:color="BFBFBF"/>
              <w:left w:val="single" w:sz="4" w:color="BFBFBF"/>
              <w:bottom w:val="single" w:sz="4" w:color="BFBFBF"/>
              <w:right w:val="single" w:sz="4" w:color="BFBFBF"/>
            </w:tcBorders>
            <w:vAlign w:val="top"/>
          </w:tcPr>
          <w:p>
            <w:r/>
            <w:r>
              <w:rPr>
                <w:sz w:val="20"/>
              </w:rPr>
              <w:t>Evidence</w:t>
            </w:r>
          </w:p>
        </w:tc>
        <w:tc>
          <w:tcPr>
            <w:tcW w:type="dxa" w:w="6480"/>
            <w:tcBorders>
              <w:top w:val="single" w:sz="4" w:color="BFBFBF"/>
              <w:left w:val="single" w:sz="4" w:color="BFBFBF"/>
              <w:bottom w:val="single" w:sz="4" w:color="BFBFBF"/>
              <w:right w:val="single" w:sz="4" w:color="BFBFBF"/>
            </w:tcBorders>
            <w:vAlign w:val="top"/>
          </w:tcPr>
          <w:p>
            <w:r/>
            <w:r>
              <w:rPr>
                <w:sz w:val="20"/>
              </w:rPr>
              <w:t>Links and attachments</w:t>
            </w:r>
          </w:p>
        </w:tc>
      </w:tr>
      <w:tr>
        <w:tc>
          <w:tcPr>
            <w:tcW w:type="dxa" w:w="2880"/>
            <w:tcBorders>
              <w:top w:val="single" w:sz="4" w:color="BFBFBF"/>
              <w:left w:val="single" w:sz="4" w:color="BFBFBF"/>
              <w:bottom w:val="single" w:sz="4" w:color="BFBFBF"/>
              <w:right w:val="single" w:sz="4" w:color="BFBFBF"/>
            </w:tcBorders>
            <w:vAlign w:val="top"/>
          </w:tcPr>
          <w:p>
            <w:r/>
            <w:r>
              <w:rPr>
                <w:sz w:val="20"/>
              </w:rPr>
              <w:t>Suspected severity</w:t>
            </w:r>
          </w:p>
        </w:tc>
        <w:tc>
          <w:tcPr>
            <w:tcW w:type="dxa" w:w="6480"/>
            <w:tcBorders>
              <w:top w:val="single" w:sz="4" w:color="BFBFBF"/>
              <w:left w:val="single" w:sz="4" w:color="BFBFBF"/>
              <w:bottom w:val="single" w:sz="4" w:color="BFBFBF"/>
              <w:right w:val="single" w:sz="4" w:color="BFBFBF"/>
            </w:tcBorders>
            <w:vAlign w:val="top"/>
          </w:tcPr>
          <w:p>
            <w:r/>
            <w:r>
              <w:rPr>
                <w:sz w:val="20"/>
              </w:rPr>
              <w:t>Critical | Major | Minor</w:t>
            </w:r>
          </w:p>
        </w:tc>
      </w:tr>
      <w:tr>
        <w:tc>
          <w:tcPr>
            <w:tcW w:type="dxa" w:w="2880"/>
            <w:tcBorders>
              <w:top w:val="single" w:sz="4" w:color="BFBFBF"/>
              <w:left w:val="single" w:sz="4" w:color="BFBFBF"/>
              <w:bottom w:val="single" w:sz="4" w:color="BFBFBF"/>
              <w:right w:val="single" w:sz="4" w:color="BFBFBF"/>
            </w:tcBorders>
            <w:vAlign w:val="top"/>
          </w:tcPr>
          <w:p>
            <w:r/>
            <w:r>
              <w:rPr>
                <w:sz w:val="20"/>
              </w:rPr>
              <w:t>Containment action taken</w:t>
            </w:r>
          </w:p>
        </w:tc>
        <w:tc>
          <w:tcPr>
            <w:tcW w:type="dxa" w:w="6480"/>
            <w:tcBorders>
              <w:top w:val="single" w:sz="4" w:color="BFBFBF"/>
              <w:left w:val="single" w:sz="4" w:color="BFBFBF"/>
              <w:bottom w:val="single" w:sz="4" w:color="BFBFBF"/>
              <w:right w:val="single" w:sz="4" w:color="BFBFBF"/>
            </w:tcBorders>
            <w:vAlign w:val="top"/>
          </w:tcPr>
          <w:p>
            <w:r/>
            <w:r>
              <w:rPr>
                <w:sz w:val="20"/>
              </w:rPr>
              <w:t>Required even if 'none yet — pending review'</w:t>
            </w:r>
          </w:p>
        </w:tc>
      </w:tr>
    </w:tbl>
    <w:p/>
    <w:p>
      <w:pPr>
        <w:keepNext/>
        <w:spacing w:before="200" w:after="80"/>
        <w:ind w:left="360"/>
      </w:pPr>
      <w:r/>
      <w:r>
        <w:rPr>
          <w:b/>
          <w:sz w:val="24"/>
        </w:rPr>
        <w:t>Appendix B — Severity Bands at a Glance</w:t>
      </w:r>
    </w:p>
    <w:tbl>
      <w:tblPr>
        <w:tblW w:type="auto" w:w="0"/>
        <w:tblLayout w:type="fixed"/>
        <w:tblLook w:firstColumn="1" w:firstRow="1" w:lastColumn="0" w:lastRow="0" w:noHBand="0" w:noVBand="1" w:val="04A0"/>
      </w:tblPr>
      <w:tblGrid>
        <w:gridCol w:w="3120"/>
        <w:gridCol w:w="3120"/>
        <w:gridCol w:w="3120"/>
      </w:tblGrid>
      <w:tr>
        <w:tc>
          <w:tcPr>
            <w:tcW w:type="dxa" w:w="1440"/>
            <w:shd w:val="clear" w:color="auto" w:fill="1F3763"/>
            <w:tcBorders>
              <w:top w:val="single" w:sz="4" w:color="BFBFBF"/>
              <w:left w:val="single" w:sz="4" w:color="BFBFBF"/>
              <w:bottom w:val="single" w:sz="4" w:color="BFBFBF"/>
              <w:right w:val="single" w:sz="4" w:color="BFBFBF"/>
            </w:tcBorders>
            <w:vAlign w:val="center"/>
          </w:tcPr>
          <w:p>
            <w:r/>
            <w:r>
              <w:rPr>
                <w:b/>
                <w:color w:val="FFFFFF"/>
                <w:sz w:val="20"/>
              </w:rPr>
              <w:t>Severity</w:t>
            </w:r>
          </w:p>
        </w:tc>
        <w:tc>
          <w:tcPr>
            <w:tcW w:type="dxa" w:w="5040"/>
            <w:shd w:val="clear" w:color="auto" w:fill="1F3763"/>
            <w:tcBorders>
              <w:top w:val="single" w:sz="4" w:color="BFBFBF"/>
              <w:left w:val="single" w:sz="4" w:color="BFBFBF"/>
              <w:bottom w:val="single" w:sz="4" w:color="BFBFBF"/>
              <w:right w:val="single" w:sz="4" w:color="BFBFBF"/>
            </w:tcBorders>
            <w:vAlign w:val="center"/>
          </w:tcPr>
          <w:p>
            <w:r/>
            <w:r>
              <w:rPr>
                <w:b/>
                <w:color w:val="FFFFFF"/>
                <w:sz w:val="20"/>
              </w:rPr>
              <w:t>Definition</w:t>
            </w:r>
          </w:p>
        </w:tc>
        <w:tc>
          <w:tcPr>
            <w:tcW w:type="dxa" w:w="2880"/>
            <w:shd w:val="clear" w:color="auto" w:fill="1F3763"/>
            <w:tcBorders>
              <w:top w:val="single" w:sz="4" w:color="BFBFBF"/>
              <w:left w:val="single" w:sz="4" w:color="BFBFBF"/>
              <w:bottom w:val="single" w:sz="4" w:color="BFBFBF"/>
              <w:right w:val="single" w:sz="4" w:color="BFBFBF"/>
            </w:tcBorders>
            <w:vAlign w:val="center"/>
          </w:tcPr>
          <w:p>
            <w:r/>
            <w:r>
              <w:rPr>
                <w:b/>
                <w:color w:val="FFFFFF"/>
                <w:sz w:val="20"/>
              </w:rPr>
              <w:t>CAPA Conversion</w:t>
            </w:r>
          </w:p>
        </w:tc>
      </w:tr>
      <w:tr>
        <w:tc>
          <w:tcPr>
            <w:tcW w:type="dxa" w:w="1440"/>
            <w:tcBorders>
              <w:top w:val="single" w:sz="4" w:color="BFBFBF"/>
              <w:left w:val="single" w:sz="4" w:color="BFBFBF"/>
              <w:bottom w:val="single" w:sz="4" w:color="BFBFBF"/>
              <w:right w:val="single" w:sz="4" w:color="BFBFBF"/>
            </w:tcBorders>
            <w:vAlign w:val="top"/>
          </w:tcPr>
          <w:p>
            <w:r/>
            <w:r>
              <w:rPr>
                <w:sz w:val="20"/>
              </w:rPr>
              <w:t>Critical</w:t>
            </w:r>
          </w:p>
        </w:tc>
        <w:tc>
          <w:tcPr>
            <w:tcW w:type="dxa" w:w="5040"/>
            <w:tcBorders>
              <w:top w:val="single" w:sz="4" w:color="BFBFBF"/>
              <w:left w:val="single" w:sz="4" w:color="BFBFBF"/>
              <w:bottom w:val="single" w:sz="4" w:color="BFBFBF"/>
              <w:right w:val="single" w:sz="4" w:color="BFBFBF"/>
            </w:tcBorders>
            <w:vAlign w:val="top"/>
          </w:tcPr>
          <w:p>
            <w:r/>
            <w:r>
              <w:rPr>
                <w:sz w:val="20"/>
              </w:rPr>
              <w:t>Direct safety, recall risk, regulatory exposure, repeat root cause</w:t>
            </w:r>
          </w:p>
        </w:tc>
        <w:tc>
          <w:tcPr>
            <w:tcW w:type="dxa" w:w="2880"/>
            <w:tcBorders>
              <w:top w:val="single" w:sz="4" w:color="BFBFBF"/>
              <w:left w:val="single" w:sz="4" w:color="BFBFBF"/>
              <w:bottom w:val="single" w:sz="4" w:color="BFBFBF"/>
              <w:right w:val="single" w:sz="4" w:color="BFBFBF"/>
            </w:tcBorders>
            <w:vAlign w:val="top"/>
          </w:tcPr>
          <w:p>
            <w:r/>
            <w:r>
              <w:rPr>
                <w:sz w:val="20"/>
              </w:rPr>
              <w:t>Required within 5 business days</w:t>
            </w:r>
          </w:p>
        </w:tc>
      </w:tr>
      <w:tr>
        <w:tc>
          <w:tcPr>
            <w:tcW w:type="dxa" w:w="1440"/>
            <w:tcBorders>
              <w:top w:val="single" w:sz="4" w:color="BFBFBF"/>
              <w:left w:val="single" w:sz="4" w:color="BFBFBF"/>
              <w:bottom w:val="single" w:sz="4" w:color="BFBFBF"/>
              <w:right w:val="single" w:sz="4" w:color="BFBFBF"/>
            </w:tcBorders>
            <w:vAlign w:val="top"/>
          </w:tcPr>
          <w:p>
            <w:r/>
            <w:r>
              <w:rPr>
                <w:sz w:val="20"/>
              </w:rPr>
              <w:t>Major</w:t>
            </w:r>
          </w:p>
        </w:tc>
        <w:tc>
          <w:tcPr>
            <w:tcW w:type="dxa" w:w="5040"/>
            <w:tcBorders>
              <w:top w:val="single" w:sz="4" w:color="BFBFBF"/>
              <w:left w:val="single" w:sz="4" w:color="BFBFBF"/>
              <w:bottom w:val="single" w:sz="4" w:color="BFBFBF"/>
              <w:right w:val="single" w:sz="4" w:color="BFBFBF"/>
            </w:tcBorders>
            <w:vAlign w:val="top"/>
          </w:tcPr>
          <w:p>
            <w:r/>
            <w:r>
              <w:rPr>
                <w:sz w:val="20"/>
              </w:rPr>
              <w:t>Quality or compliance impact, cannot be absorbed without action</w:t>
            </w:r>
          </w:p>
        </w:tc>
        <w:tc>
          <w:tcPr>
            <w:tcW w:type="dxa" w:w="2880"/>
            <w:tcBorders>
              <w:top w:val="single" w:sz="4" w:color="BFBFBF"/>
              <w:left w:val="single" w:sz="4" w:color="BFBFBF"/>
              <w:bottom w:val="single" w:sz="4" w:color="BFBFBF"/>
              <w:right w:val="single" w:sz="4" w:color="BFBFBF"/>
            </w:tcBorders>
            <w:vAlign w:val="top"/>
          </w:tcPr>
          <w:p>
            <w:r/>
            <w:r>
              <w:rPr>
                <w:sz w:val="20"/>
              </w:rPr>
              <w:t>Required within 10 business days</w:t>
            </w:r>
          </w:p>
        </w:tc>
      </w:tr>
      <w:tr>
        <w:tc>
          <w:tcPr>
            <w:tcW w:type="dxa" w:w="1440"/>
            <w:tcBorders>
              <w:top w:val="single" w:sz="4" w:color="BFBFBF"/>
              <w:left w:val="single" w:sz="4" w:color="BFBFBF"/>
              <w:bottom w:val="single" w:sz="4" w:color="BFBFBF"/>
              <w:right w:val="single" w:sz="4" w:color="BFBFBF"/>
            </w:tcBorders>
            <w:vAlign w:val="top"/>
          </w:tcPr>
          <w:p>
            <w:r/>
            <w:r>
              <w:rPr>
                <w:sz w:val="20"/>
              </w:rPr>
              <w:t>Minor</w:t>
            </w:r>
          </w:p>
        </w:tc>
        <w:tc>
          <w:tcPr>
            <w:tcW w:type="dxa" w:w="5040"/>
            <w:tcBorders>
              <w:top w:val="single" w:sz="4" w:color="BFBFBF"/>
              <w:left w:val="single" w:sz="4" w:color="BFBFBF"/>
              <w:bottom w:val="single" w:sz="4" w:color="BFBFBF"/>
              <w:right w:val="single" w:sz="4" w:color="BFBFBF"/>
            </w:tcBorders>
            <w:vAlign w:val="top"/>
          </w:tcPr>
          <w:p>
            <w:r/>
            <w:r>
              <w:rPr>
                <w:sz w:val="20"/>
              </w:rPr>
              <w:t>Isolated, contained, no recurrence pattern, no compliance exposure</w:t>
            </w:r>
          </w:p>
        </w:tc>
        <w:tc>
          <w:tcPr>
            <w:tcW w:type="dxa" w:w="2880"/>
            <w:tcBorders>
              <w:top w:val="single" w:sz="4" w:color="BFBFBF"/>
              <w:left w:val="single" w:sz="4" w:color="BFBFBF"/>
              <w:bottom w:val="single" w:sz="4" w:color="BFBFBF"/>
              <w:right w:val="single" w:sz="4" w:color="BFBFBF"/>
            </w:tcBorders>
            <w:vAlign w:val="top"/>
          </w:tcPr>
          <w:p>
            <w:r/>
            <w:r>
              <w:rPr>
                <w:sz w:val="20"/>
              </w:rPr>
              <w:t>Optional</w:t>
            </w:r>
          </w:p>
        </w:tc>
      </w:tr>
    </w:tbl>
    <w:p/>
    <w:p>
      <w:pPr>
        <w:keepNext/>
        <w:spacing w:before="200" w:after="80"/>
        <w:ind w:left="360"/>
      </w:pPr>
      <w:r/>
      <w:r>
        <w:rPr>
          <w:b/>
          <w:sz w:val="24"/>
        </w:rPr>
        <w:t>Appendix C — Decision Branch Outcomes</w:t>
      </w:r>
    </w:p>
    <w:tbl>
      <w:tblPr>
        <w:tblW w:type="auto" w:w="0"/>
        <w:tblLayout w:type="fixed"/>
        <w:tblLook w:firstColumn="1" w:firstRow="1" w:lastColumn="0" w:lastRow="0" w:noHBand="0" w:noVBand="1" w:val="04A0"/>
      </w:tblPr>
      <w:tblGrid>
        <w:gridCol w:w="3120"/>
        <w:gridCol w:w="3120"/>
        <w:gridCol w:w="3120"/>
      </w:tblGrid>
      <w:tr>
        <w:tc>
          <w:tcPr>
            <w:tcW w:type="dxa" w:w="2448"/>
            <w:shd w:val="clear" w:color="auto" w:fill="1F3763"/>
            <w:tcBorders>
              <w:top w:val="single" w:sz="4" w:color="BFBFBF"/>
              <w:left w:val="single" w:sz="4" w:color="BFBFBF"/>
              <w:bottom w:val="single" w:sz="4" w:color="BFBFBF"/>
              <w:right w:val="single" w:sz="4" w:color="BFBFBF"/>
            </w:tcBorders>
            <w:vAlign w:val="center"/>
          </w:tcPr>
          <w:p>
            <w:r/>
            <w:r>
              <w:rPr>
                <w:b/>
                <w:color w:val="FFFFFF"/>
                <w:sz w:val="20"/>
              </w:rPr>
              <w:t>Endpoint</w:t>
            </w:r>
          </w:p>
        </w:tc>
        <w:tc>
          <w:tcPr>
            <w:tcW w:type="dxa" w:w="2880"/>
            <w:shd w:val="clear" w:color="auto" w:fill="1F3763"/>
            <w:tcBorders>
              <w:top w:val="single" w:sz="4" w:color="BFBFBF"/>
              <w:left w:val="single" w:sz="4" w:color="BFBFBF"/>
              <w:bottom w:val="single" w:sz="4" w:color="BFBFBF"/>
              <w:right w:val="single" w:sz="4" w:color="BFBFBF"/>
            </w:tcBorders>
            <w:vAlign w:val="center"/>
          </w:tcPr>
          <w:p>
            <w:r/>
            <w:r>
              <w:rPr>
                <w:b/>
                <w:color w:val="FFFFFF"/>
                <w:sz w:val="20"/>
              </w:rPr>
              <w:t>When permitted</w:t>
            </w:r>
          </w:p>
        </w:tc>
        <w:tc>
          <w:tcPr>
            <w:tcW w:type="dxa" w:w="4032"/>
            <w:shd w:val="clear" w:color="auto" w:fill="1F3763"/>
            <w:tcBorders>
              <w:top w:val="single" w:sz="4" w:color="BFBFBF"/>
              <w:left w:val="single" w:sz="4" w:color="BFBFBF"/>
              <w:bottom w:val="single" w:sz="4" w:color="BFBFBF"/>
              <w:right w:val="single" w:sz="4" w:color="BFBFBF"/>
            </w:tcBorders>
            <w:vAlign w:val="center"/>
          </w:tcPr>
          <w:p>
            <w:r/>
            <w:r>
              <w:rPr>
                <w:b/>
                <w:color w:val="FFFFFF"/>
                <w:sz w:val="20"/>
              </w:rPr>
              <w:t>Action</w:t>
            </w:r>
          </w:p>
        </w:tc>
      </w:tr>
      <w:tr>
        <w:tc>
          <w:tcPr>
            <w:tcW w:type="dxa" w:w="2448"/>
            <w:tcBorders>
              <w:top w:val="single" w:sz="4" w:color="BFBFBF"/>
              <w:left w:val="single" w:sz="4" w:color="BFBFBF"/>
              <w:bottom w:val="single" w:sz="4" w:color="BFBFBF"/>
              <w:right w:val="single" w:sz="4" w:color="BFBFBF"/>
            </w:tcBorders>
            <w:vAlign w:val="top"/>
          </w:tcPr>
          <w:p>
            <w:r/>
            <w:r>
              <w:rPr>
                <w:sz w:val="20"/>
              </w:rPr>
              <w:t>Convert to CAPA</w:t>
            </w:r>
          </w:p>
        </w:tc>
        <w:tc>
          <w:tcPr>
            <w:tcW w:type="dxa" w:w="2880"/>
            <w:tcBorders>
              <w:top w:val="single" w:sz="4" w:color="BFBFBF"/>
              <w:left w:val="single" w:sz="4" w:color="BFBFBF"/>
              <w:bottom w:val="single" w:sz="4" w:color="BFBFBF"/>
              <w:right w:val="single" w:sz="4" w:color="BFBFBF"/>
            </w:tcBorders>
            <w:vAlign w:val="top"/>
          </w:tcPr>
          <w:p>
            <w:r/>
            <w:r>
              <w:rPr>
                <w:sz w:val="20"/>
              </w:rPr>
              <w:t>Critical and Major (required); Minor (permitted)</w:t>
            </w:r>
          </w:p>
        </w:tc>
        <w:tc>
          <w:tcPr>
            <w:tcW w:type="dxa" w:w="4032"/>
            <w:tcBorders>
              <w:top w:val="single" w:sz="4" w:color="BFBFBF"/>
              <w:left w:val="single" w:sz="4" w:color="BFBFBF"/>
              <w:bottom w:val="single" w:sz="4" w:color="BFBFBF"/>
              <w:right w:val="single" w:sz="4" w:color="BFBFBF"/>
            </w:tcBorders>
            <w:vAlign w:val="top"/>
          </w:tcPr>
          <w:p>
            <w:r/>
            <w:r>
              <w:rPr>
                <w:sz w:val="20"/>
              </w:rPr>
              <w:t>Assigns CAPA-YYYY-NNN; walks SKN-OPS-001 §5.2–§5.6</w:t>
            </w:r>
          </w:p>
        </w:tc>
      </w:tr>
      <w:tr>
        <w:tc>
          <w:tcPr>
            <w:tcW w:type="dxa" w:w="2448"/>
            <w:tcBorders>
              <w:top w:val="single" w:sz="4" w:color="BFBFBF"/>
              <w:left w:val="single" w:sz="4" w:color="BFBFBF"/>
              <w:bottom w:val="single" w:sz="4" w:color="BFBFBF"/>
              <w:right w:val="single" w:sz="4" w:color="BFBFBF"/>
            </w:tcBorders>
            <w:vAlign w:val="top"/>
          </w:tcPr>
          <w:p>
            <w:r/>
            <w:r>
              <w:rPr>
                <w:sz w:val="20"/>
              </w:rPr>
              <w:t>Close — No CAPA</w:t>
            </w:r>
          </w:p>
        </w:tc>
        <w:tc>
          <w:tcPr>
            <w:tcW w:type="dxa" w:w="2880"/>
            <w:tcBorders>
              <w:top w:val="single" w:sz="4" w:color="BFBFBF"/>
              <w:left w:val="single" w:sz="4" w:color="BFBFBF"/>
              <w:bottom w:val="single" w:sz="4" w:color="BFBFBF"/>
              <w:right w:val="single" w:sz="4" w:color="BFBFBF"/>
            </w:tcBorders>
            <w:vAlign w:val="top"/>
          </w:tcPr>
          <w:p>
            <w:r/>
            <w:r>
              <w:rPr>
                <w:sz w:val="20"/>
              </w:rPr>
              <w:t>Minor only</w:t>
            </w:r>
          </w:p>
        </w:tc>
        <w:tc>
          <w:tcPr>
            <w:tcW w:type="dxa" w:w="4032"/>
            <w:tcBorders>
              <w:top w:val="single" w:sz="4" w:color="BFBFBF"/>
              <w:left w:val="single" w:sz="4" w:color="BFBFBF"/>
              <w:bottom w:val="single" w:sz="4" w:color="BFBFBF"/>
              <w:right w:val="single" w:sz="4" w:color="BFBFBF"/>
            </w:tcBorders>
            <w:vAlign w:val="top"/>
          </w:tcPr>
          <w:p>
            <w:r/>
            <w:r>
              <w:rPr>
                <w:sz w:val="20"/>
              </w:rPr>
              <w:t>Captures justification fields per §5.4; subject to monthly + quarterly review</w:t>
            </w:r>
          </w:p>
        </w:tc>
      </w:tr>
      <w:tr>
        <w:tc>
          <w:tcPr>
            <w:tcW w:type="dxa" w:w="2448"/>
            <w:tcBorders>
              <w:top w:val="single" w:sz="4" w:color="BFBFBF"/>
              <w:left w:val="single" w:sz="4" w:color="BFBFBF"/>
              <w:bottom w:val="single" w:sz="4" w:color="BFBFBF"/>
              <w:right w:val="single" w:sz="4" w:color="BFBFBF"/>
            </w:tcBorders>
            <w:vAlign w:val="top"/>
          </w:tcPr>
          <w:p>
            <w:r/>
            <w:r>
              <w:rPr>
                <w:sz w:val="20"/>
              </w:rPr>
              <w:t>Hold for More Information</w:t>
            </w:r>
          </w:p>
        </w:tc>
        <w:tc>
          <w:tcPr>
            <w:tcW w:type="dxa" w:w="2880"/>
            <w:tcBorders>
              <w:top w:val="single" w:sz="4" w:color="BFBFBF"/>
              <w:left w:val="single" w:sz="4" w:color="BFBFBF"/>
              <w:bottom w:val="single" w:sz="4" w:color="BFBFBF"/>
              <w:right w:val="single" w:sz="4" w:color="BFBFBF"/>
            </w:tcBorders>
            <w:vAlign w:val="top"/>
          </w:tcPr>
          <w:p>
            <w:r/>
            <w:r>
              <w:rPr>
                <w:sz w:val="20"/>
              </w:rPr>
              <w:t>Any severity, temporary</w:t>
            </w:r>
          </w:p>
        </w:tc>
        <w:tc>
          <w:tcPr>
            <w:tcW w:type="dxa" w:w="4032"/>
            <w:tcBorders>
              <w:top w:val="single" w:sz="4" w:color="BFBFBF"/>
              <w:left w:val="single" w:sz="4" w:color="BFBFBF"/>
              <w:bottom w:val="single" w:sz="4" w:color="BFBFBF"/>
              <w:right w:val="single" w:sz="4" w:color="BFBFBF"/>
            </w:tcBorders>
            <w:vAlign w:val="top"/>
          </w:tcPr>
          <w:p>
            <w:r/>
            <w:r>
              <w:rPr>
                <w:sz w:val="20"/>
              </w:rPr>
              <w:t>Date-bounded ask; auto-flags after 10 business days uninterrupted</w:t>
            </w:r>
          </w:p>
        </w:tc>
      </w:tr>
    </w:tbl>
    <w:p/>
    <w:p>
      <w:pPr>
        <w:keepNext/>
        <w:spacing w:before="280" w:after="120"/>
      </w:pPr>
      <w:r/>
      <w:r>
        <w:rPr>
          <w:b/>
          <w:color w:val="1F3763"/>
          <w:sz w:val="28"/>
        </w:rPr>
        <w:t>10. Revision History</w:t>
      </w:r>
    </w:p>
    <w:tbl>
      <w:tblPr>
        <w:tblW w:type="auto" w:w="0"/>
        <w:tblLayout w:type="fixed"/>
        <w:tblLook w:firstColumn="1" w:firstRow="1" w:lastColumn="0" w:lastRow="0" w:noHBand="0" w:noVBand="1" w:val="04A0"/>
      </w:tblPr>
      <w:tblGrid>
        <w:gridCol w:w="3120"/>
        <w:gridCol w:w="3120"/>
        <w:gridCol w:w="3120"/>
      </w:tblGrid>
      <w:tr>
        <w:tc>
          <w:tcPr>
            <w:tcW w:type="dxa" w:w="1440"/>
            <w:shd w:val="clear" w:color="auto" w:fill="1F3763"/>
            <w:tcBorders>
              <w:top w:val="single" w:sz="4" w:color="BFBFBF"/>
              <w:left w:val="single" w:sz="4" w:color="BFBFBF"/>
              <w:bottom w:val="single" w:sz="4" w:color="BFBFBF"/>
              <w:right w:val="single" w:sz="4" w:color="BFBFBF"/>
            </w:tcBorders>
            <w:vAlign w:val="center"/>
          </w:tcPr>
          <w:p>
            <w:r/>
            <w:r>
              <w:rPr>
                <w:b/>
                <w:color w:val="FFFFFF"/>
                <w:sz w:val="20"/>
              </w:rPr>
              <w:t>Revision</w:t>
            </w:r>
          </w:p>
        </w:tc>
        <w:tc>
          <w:tcPr>
            <w:tcW w:type="dxa" w:w="2160"/>
            <w:shd w:val="clear" w:color="auto" w:fill="1F3763"/>
            <w:tcBorders>
              <w:top w:val="single" w:sz="4" w:color="BFBFBF"/>
              <w:left w:val="single" w:sz="4" w:color="BFBFBF"/>
              <w:bottom w:val="single" w:sz="4" w:color="BFBFBF"/>
              <w:right w:val="single" w:sz="4" w:color="BFBFBF"/>
            </w:tcBorders>
            <w:vAlign w:val="center"/>
          </w:tcPr>
          <w:p>
            <w:r/>
            <w:r>
              <w:rPr>
                <w:b/>
                <w:color w:val="FFFFFF"/>
                <w:sz w:val="20"/>
              </w:rPr>
              <w:t>Effective Date</w:t>
            </w:r>
          </w:p>
        </w:tc>
        <w:tc>
          <w:tcPr>
            <w:tcW w:type="dxa" w:w="5760"/>
            <w:shd w:val="clear" w:color="auto" w:fill="1F3763"/>
            <w:tcBorders>
              <w:top w:val="single" w:sz="4" w:color="BFBFBF"/>
              <w:left w:val="single" w:sz="4" w:color="BFBFBF"/>
              <w:bottom w:val="single" w:sz="4" w:color="BFBFBF"/>
              <w:right w:val="single" w:sz="4" w:color="BFBFBF"/>
            </w:tcBorders>
            <w:vAlign w:val="center"/>
          </w:tcPr>
          <w:p>
            <w:r/>
            <w:r>
              <w:rPr>
                <w:b/>
                <w:color w:val="FFFFFF"/>
                <w:sz w:val="20"/>
              </w:rPr>
              <w:t>Notes</w:t>
            </w:r>
          </w:p>
        </w:tc>
      </w:tr>
      <w:tr>
        <w:tc>
          <w:tcPr>
            <w:tcW w:type="dxa" w:w="1440"/>
            <w:tcBorders>
              <w:top w:val="single" w:sz="4" w:color="BFBFBF"/>
              <w:left w:val="single" w:sz="4" w:color="BFBFBF"/>
              <w:bottom w:val="single" w:sz="4" w:color="BFBFBF"/>
              <w:right w:val="single" w:sz="4" w:color="BFBFBF"/>
            </w:tcBorders>
            <w:vAlign w:val="top"/>
          </w:tcPr>
          <w:p>
            <w:r/>
            <w:r>
              <w:rPr>
                <w:sz w:val="20"/>
              </w:rPr>
              <w:t>1.0</w:t>
            </w:r>
          </w:p>
        </w:tc>
        <w:tc>
          <w:tcPr>
            <w:tcW w:type="dxa" w:w="2160"/>
            <w:tcBorders>
              <w:top w:val="single" w:sz="4" w:color="BFBFBF"/>
              <w:left w:val="single" w:sz="4" w:color="BFBFBF"/>
              <w:bottom w:val="single" w:sz="4" w:color="BFBFBF"/>
              <w:right w:val="single" w:sz="4" w:color="BFBFBF"/>
            </w:tcBorders>
            <w:vAlign w:val="top"/>
          </w:tcPr>
          <w:p>
            <w:r/>
            <w:r>
              <w:rPr>
                <w:sz w:val="20"/>
              </w:rPr>
              <w:t>2026-05-09</w:t>
            </w:r>
          </w:p>
        </w:tc>
        <w:tc>
          <w:tcPr>
            <w:tcW w:type="dxa" w:w="5760"/>
            <w:tcBorders>
              <w:top w:val="single" w:sz="4" w:color="BFBFBF"/>
              <w:left w:val="single" w:sz="4" w:color="BFBFBF"/>
              <w:bottom w:val="single" w:sz="4" w:color="BFBFBF"/>
              <w:right w:val="single" w:sz="4" w:color="BFBFBF"/>
            </w:tcBorders>
            <w:vAlign w:val="top"/>
          </w:tcPr>
          <w:p>
            <w:r/>
            <w:r>
              <w:rPr>
                <w:sz w:val="20"/>
              </w:rPr>
              <w:t>Initial ratification. Drafted 2026-04-29 to fill the SKN-OPS-001 §5.1–§5.2 gap; ratified in-place after System B post-build review. Closes the NCR-procedure-undefined SOP gap.</w:t>
            </w:r>
          </w:p>
        </w:tc>
      </w:tr>
    </w:tbl>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color w:val="555555"/>
        <w:sz w:val="18"/>
      </w:rPr>
      <w:t xml:space="preserve">NCR Procedure  |  Standard Operating Procedure (SOP)  |  NCR_SKN-OPS-005 Rev.1     </w:t>
    </w: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