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763"/>
          <w:sz w:val="40"/>
        </w:rPr>
        <w:t>Lab Quality Procedure</w:t>
      </w:r>
    </w:p>
    <w:p>
      <w:pPr>
        <w:spacing w:after="280"/>
      </w:pPr>
      <w:r>
        <w:rPr>
          <w:color w:val="555555"/>
          <w:sz w:val="24"/>
        </w:rPr>
        <w:t>Standard Operating Procedure (SOP)</w:t>
      </w:r>
    </w:p>
    <w:tbl>
      <w:tblPr>
        <w:tblW w:type="auto" w:w="0"/>
        <w:tblLayout w:type="fixed"/>
        <w:tblLook w:firstColumn="1" w:firstRow="1" w:lastColumn="0" w:lastRow="0" w:noHBand="0" w:noVBand="1" w:val="04A0"/>
      </w:tblPr>
      <w:tblGrid>
        <w:gridCol w:w="4680"/>
        <w:gridCol w:w="4680"/>
      </w:tblGrid>
      <w:tr>
        <w:tc>
          <w:tcPr>
            <w:tcW w:type="dxa" w:w="2592"/>
            <w:shd w:val="clear" w:color="auto" w:fill="F2F2F2"/>
            <w:tcBorders>
              <w:top w:val="single" w:sz="4" w:color="BFBFBF"/>
              <w:left w:val="single" w:sz="4" w:color="BFBFBF"/>
              <w:bottom w:val="single" w:sz="4" w:color="BFBFBF"/>
              <w:right w:val="single" w:sz="4" w:color="BFBFBF"/>
            </w:tcBorders>
          </w:tcPr>
          <w:p>
            <w:r/>
            <w:r>
              <w:rPr>
                <w:b/>
                <w:sz w:val="20"/>
              </w:rPr>
              <w:t>Title</w:t>
            </w:r>
          </w:p>
        </w:tc>
        <w:tc>
          <w:tcPr>
            <w:tcW w:type="dxa" w:w="6768"/>
            <w:tcBorders>
              <w:top w:val="single" w:sz="4" w:color="BFBFBF"/>
              <w:left w:val="single" w:sz="4" w:color="BFBFBF"/>
              <w:bottom w:val="single" w:sz="4" w:color="BFBFBF"/>
              <w:right w:val="single" w:sz="4" w:color="BFBFBF"/>
            </w:tcBorders>
          </w:tcPr>
          <w:p>
            <w:r/>
            <w:r>
              <w:rPr>
                <w:sz w:val="20"/>
              </w:rPr>
              <w:t>Lab Quality Procedure</w:t>
            </w:r>
          </w:p>
        </w:tc>
      </w:tr>
      <w:tr>
        <w:tc>
          <w:tcPr>
            <w:tcW w:type="dxa" w:w="2592"/>
            <w:shd w:val="clear" w:color="auto" w:fill="F2F2F2"/>
            <w:tcBorders>
              <w:top w:val="single" w:sz="4" w:color="BFBFBF"/>
              <w:left w:val="single" w:sz="4" w:color="BFBFBF"/>
              <w:bottom w:val="single" w:sz="4" w:color="BFBFBF"/>
              <w:right w:val="single" w:sz="4" w:color="BFBFBF"/>
            </w:tcBorders>
          </w:tcPr>
          <w:p>
            <w:r/>
            <w:r>
              <w:rPr>
                <w:b/>
                <w:sz w:val="20"/>
              </w:rPr>
              <w:t>SOP Number</w:t>
            </w:r>
          </w:p>
        </w:tc>
        <w:tc>
          <w:tcPr>
            <w:tcW w:type="dxa" w:w="6768"/>
            <w:tcBorders>
              <w:top w:val="single" w:sz="4" w:color="BFBFBF"/>
              <w:left w:val="single" w:sz="4" w:color="BFBFBF"/>
              <w:bottom w:val="single" w:sz="4" w:color="BFBFBF"/>
              <w:right w:val="single" w:sz="4" w:color="BFBFBF"/>
            </w:tcBorders>
          </w:tcPr>
          <w:p>
            <w:r/>
            <w:r>
              <w:rPr>
                <w:sz w:val="20"/>
              </w:rPr>
              <w:t>SKN-OPS-006</w:t>
            </w:r>
          </w:p>
        </w:tc>
      </w:tr>
      <w:tr>
        <w:tc>
          <w:tcPr>
            <w:tcW w:type="dxa" w:w="2592"/>
            <w:shd w:val="clear" w:color="auto" w:fill="F2F2F2"/>
            <w:tcBorders>
              <w:top w:val="single" w:sz="4" w:color="BFBFBF"/>
              <w:left w:val="single" w:sz="4" w:color="BFBFBF"/>
              <w:bottom w:val="single" w:sz="4" w:color="BFBFBF"/>
              <w:right w:val="single" w:sz="4" w:color="BFBFBF"/>
            </w:tcBorders>
          </w:tcPr>
          <w:p>
            <w:r/>
            <w:r>
              <w:rPr>
                <w:b/>
                <w:sz w:val="20"/>
              </w:rPr>
              <w:t>Effective Date</w:t>
            </w:r>
          </w:p>
        </w:tc>
        <w:tc>
          <w:tcPr>
            <w:tcW w:type="dxa" w:w="6768"/>
            <w:tcBorders>
              <w:top w:val="single" w:sz="4" w:color="BFBFBF"/>
              <w:left w:val="single" w:sz="4" w:color="BFBFBF"/>
              <w:bottom w:val="single" w:sz="4" w:color="BFBFBF"/>
              <w:right w:val="single" w:sz="4" w:color="BFBFBF"/>
            </w:tcBorders>
          </w:tcPr>
          <w:p>
            <w:r/>
            <w:r>
              <w:rPr>
                <w:sz w:val="20"/>
              </w:rPr>
              <w:t>May 8, 2026</w:t>
            </w:r>
          </w:p>
        </w:tc>
      </w:tr>
      <w:tr>
        <w:tc>
          <w:tcPr>
            <w:tcW w:type="dxa" w:w="2592"/>
            <w:shd w:val="clear" w:color="auto" w:fill="F2F2F2"/>
            <w:tcBorders>
              <w:top w:val="single" w:sz="4" w:color="BFBFBF"/>
              <w:left w:val="single" w:sz="4" w:color="BFBFBF"/>
              <w:bottom w:val="single" w:sz="4" w:color="BFBFBF"/>
              <w:right w:val="single" w:sz="4" w:color="BFBFBF"/>
            </w:tcBorders>
          </w:tcPr>
          <w:p>
            <w:r/>
            <w:r>
              <w:rPr>
                <w:b/>
                <w:sz w:val="20"/>
              </w:rPr>
              <w:t>Revision Number</w:t>
            </w:r>
          </w:p>
        </w:tc>
        <w:tc>
          <w:tcPr>
            <w:tcW w:type="dxa" w:w="6768"/>
            <w:tcBorders>
              <w:top w:val="single" w:sz="4" w:color="BFBFBF"/>
              <w:left w:val="single" w:sz="4" w:color="BFBFBF"/>
              <w:bottom w:val="single" w:sz="4" w:color="BFBFBF"/>
              <w:right w:val="single" w:sz="4" w:color="BFBFBF"/>
            </w:tcBorders>
          </w:tcPr>
          <w:p>
            <w:r/>
            <w:r>
              <w:rPr>
                <w:sz w:val="20"/>
              </w:rPr>
              <w:t>1.0</w:t>
            </w:r>
          </w:p>
        </w:tc>
      </w:tr>
      <w:tr>
        <w:tc>
          <w:tcPr>
            <w:tcW w:type="dxa" w:w="2592"/>
            <w:shd w:val="clear" w:color="auto" w:fill="F2F2F2"/>
            <w:tcBorders>
              <w:top w:val="single" w:sz="4" w:color="BFBFBF"/>
              <w:left w:val="single" w:sz="4" w:color="BFBFBF"/>
              <w:bottom w:val="single" w:sz="4" w:color="BFBFBF"/>
              <w:right w:val="single" w:sz="4" w:color="BFBFBF"/>
            </w:tcBorders>
          </w:tcPr>
          <w:p>
            <w:r/>
            <w:r>
              <w:rPr>
                <w:b/>
                <w:sz w:val="20"/>
              </w:rPr>
              <w:t>Prepared by</w:t>
            </w:r>
          </w:p>
        </w:tc>
        <w:tc>
          <w:tcPr>
            <w:tcW w:type="dxa" w:w="6768"/>
            <w:tcBorders>
              <w:top w:val="single" w:sz="4" w:color="BFBFBF"/>
              <w:left w:val="single" w:sz="4" w:color="BFBFBF"/>
              <w:bottom w:val="single" w:sz="4" w:color="BFBFBF"/>
              <w:right w:val="single" w:sz="4" w:color="BFBFBF"/>
            </w:tcBorders>
          </w:tcPr>
          <w:p>
            <w:r/>
            <w:r>
              <w:rPr>
                <w:sz w:val="20"/>
              </w:rPr>
              <w:t>Alvin Belt</w:t>
            </w:r>
          </w:p>
        </w:tc>
      </w:tr>
      <w:tr>
        <w:tc>
          <w:tcPr>
            <w:tcW w:type="dxa" w:w="2592"/>
            <w:shd w:val="clear" w:color="auto" w:fill="F2F2F2"/>
            <w:tcBorders>
              <w:top w:val="single" w:sz="4" w:color="BFBFBF"/>
              <w:left w:val="single" w:sz="4" w:color="BFBFBF"/>
              <w:bottom w:val="single" w:sz="4" w:color="BFBFBF"/>
              <w:right w:val="single" w:sz="4" w:color="BFBFBF"/>
            </w:tcBorders>
          </w:tcPr>
          <w:p>
            <w:r/>
            <w:r>
              <w:rPr>
                <w:b/>
                <w:sz w:val="20"/>
              </w:rPr>
              <w:t>Approved by</w:t>
            </w:r>
          </w:p>
        </w:tc>
        <w:tc>
          <w:tcPr>
            <w:tcW w:type="dxa" w:w="6768"/>
            <w:tcBorders>
              <w:top w:val="single" w:sz="4" w:color="BFBFBF"/>
              <w:left w:val="single" w:sz="4" w:color="BFBFBF"/>
              <w:bottom w:val="single" w:sz="4" w:color="BFBFBF"/>
              <w:right w:val="single" w:sz="4" w:color="BFBFBF"/>
            </w:tcBorders>
          </w:tcPr>
          <w:p>
            <w:r/>
            <w:r>
              <w:rPr>
                <w:sz w:val="20"/>
              </w:rPr>
              <w:t>Alvin Belt</w:t>
            </w:r>
          </w:p>
        </w:tc>
      </w:tr>
    </w:tbl>
    <w:p/>
    <w:p>
      <w:pPr>
        <w:keepNext/>
        <w:spacing w:before="280" w:after="120"/>
      </w:pPr>
      <w:r/>
      <w:r>
        <w:rPr>
          <w:b/>
          <w:color w:val="1F3763"/>
          <w:sz w:val="28"/>
        </w:rPr>
        <w:t>1. Purpose</w:t>
      </w:r>
    </w:p>
    <w:p>
      <w:pPr>
        <w:spacing w:after="40"/>
        <w:ind w:left="720" w:hanging="288"/>
      </w:pPr>
      <w:r>
        <w:t xml:space="preserve">•  </w:t>
      </w:r>
      <w:r>
        <w:t>Establish a consistent approach for receiving, classifying, escalating, and resolving lab and supplier quality signals at Sweet July Beauty, LLC, including OOS and OOT results, incoming material defects, and vendor patterns.</w:t>
      </w:r>
    </w:p>
    <w:p>
      <w:pPr>
        <w:spacing w:after="40"/>
        <w:ind w:left="720" w:hanging="288"/>
      </w:pPr>
      <w:r>
        <w:t xml:space="preserve">•  </w:t>
      </w:r>
      <w:r>
        <w:t>Ensure every lab finding generates a defensible audit trail from intake through closeout, and that vendor performance signals reach Purchasing on a single, predictable channel.</w:t>
      </w:r>
    </w:p>
    <w:p>
      <w:pPr>
        <w:keepNext/>
        <w:spacing w:before="280" w:after="120"/>
      </w:pPr>
      <w:r/>
      <w:r>
        <w:rPr>
          <w:b/>
          <w:color w:val="1F3763"/>
          <w:sz w:val="28"/>
        </w:rPr>
        <w:t>2. Scope</w:t>
      </w:r>
    </w:p>
    <w:p>
      <w:pPr>
        <w:spacing w:after="40"/>
        <w:ind w:left="720" w:hanging="288"/>
      </w:pPr>
      <w:r>
        <w:t xml:space="preserve">•  </w:t>
      </w:r>
      <w:r>
        <w:t>Applies to all lab-driven, supplier-driven, and material-driven quality signals at Sweet July Beauty, LLC affecting:</w:t>
      </w:r>
    </w:p>
    <w:p>
      <w:pPr>
        <w:spacing w:after="40"/>
        <w:ind w:left="1080" w:hanging="288"/>
      </w:pPr>
      <w:r>
        <w:t xml:space="preserve">o  </w:t>
      </w:r>
      <w:r>
        <w:t>Finished good lab results (PET, accelerated stability, real-time stability, microbial, chemistry retest)</w:t>
      </w:r>
    </w:p>
    <w:p>
      <w:pPr>
        <w:spacing w:after="40"/>
        <w:ind w:left="1080" w:hanging="288"/>
      </w:pPr>
      <w:r>
        <w:t xml:space="preserve">o  </w:t>
      </w:r>
      <w:r>
        <w:t>Component or raw material incoming inspection results (COA review, visual, functional)</w:t>
      </w:r>
    </w:p>
    <w:p>
      <w:pPr>
        <w:spacing w:after="40"/>
        <w:ind w:left="1080" w:hanging="288"/>
      </w:pPr>
      <w:r>
        <w:t xml:space="preserve">o  </w:t>
      </w:r>
      <w:r>
        <w:t>Vendor systemic quality patterns across batches, time, or SKUs</w:t>
      </w:r>
    </w:p>
    <w:p>
      <w:pPr>
        <w:spacing w:after="40"/>
        <w:ind w:left="720" w:hanging="288"/>
      </w:pPr>
      <w:r>
        <w:t xml:space="preserve">•  </w:t>
      </w:r>
      <w:r>
        <w:t>Does not apply to: customer complaints (Customer Complaint Handling SOP, SKN-OPS-004), pre-launch stability before in-market transition, batch hold and release decisions, or the CAPA itself once a lab finding escalates (SKN-OPS-001).</w:t>
      </w:r>
    </w:p>
    <w:p>
      <w:pPr>
        <w:keepNext/>
        <w:spacing w:before="280" w:after="120"/>
      </w:pPr>
      <w:r/>
      <w:r>
        <w:rPr>
          <w:b/>
          <w:color w:val="1F3763"/>
          <w:sz w:val="28"/>
        </w:rPr>
        <w:t>3. Definitions</w:t>
      </w:r>
    </w:p>
    <w:p>
      <w:pPr>
        <w:spacing w:after="80"/>
        <w:ind w:left="720" w:hanging="288"/>
      </w:pPr>
      <w:r>
        <w:t xml:space="preserve">•  </w:t>
      </w:r>
      <w:r>
        <w:rPr>
          <w:b/>
        </w:rPr>
        <w:t xml:space="preserve">Lab Finding (LF): </w:t>
      </w:r>
      <w:r>
        <w:t>A documented record of a lab-driven, supplier-driven, or material-driven quality signal opened under this procedure. Numbered LF-YYYY-NNN.</w:t>
      </w:r>
    </w:p>
    <w:p>
      <w:pPr>
        <w:spacing w:after="80"/>
        <w:ind w:left="720" w:hanging="288"/>
      </w:pPr>
      <w:r>
        <w:t xml:space="preserve">•  </w:t>
      </w:r>
      <w:r>
        <w:rPr>
          <w:b/>
        </w:rPr>
        <w:t xml:space="preserve">Out of Spec (OOS): </w:t>
      </w:r>
      <w:r>
        <w:t>A lab result outside the documented spec range for the batch's tested attribute.</w:t>
      </w:r>
    </w:p>
    <w:p>
      <w:pPr>
        <w:spacing w:after="80"/>
        <w:ind w:left="720" w:hanging="288"/>
      </w:pPr>
      <w:r>
        <w:t xml:space="preserve">•  </w:t>
      </w:r>
      <w:r>
        <w:rPr>
          <w:b/>
        </w:rPr>
        <w:t xml:space="preserve">Out of Trend (OOT): </w:t>
      </w:r>
      <w:r>
        <w:t>A lab result within spec but materially different from prior batches or trending toward a limit.</w:t>
      </w:r>
    </w:p>
    <w:p>
      <w:pPr>
        <w:spacing w:after="80"/>
        <w:ind w:left="720" w:hanging="288"/>
      </w:pPr>
      <w:r>
        <w:t xml:space="preserve">•  </w:t>
      </w:r>
      <w:r>
        <w:rPr>
          <w:b/>
        </w:rPr>
        <w:t xml:space="preserve">Incoming Defect: </w:t>
      </w:r>
      <w:r>
        <w:t>A vendor receipt failing inspection — wrong material, missing or expired COA, COA values outside spec, or packaging damage that affects the material.</w:t>
      </w:r>
    </w:p>
    <w:p>
      <w:pPr>
        <w:spacing w:after="80"/>
        <w:ind w:left="720" w:hanging="288"/>
      </w:pPr>
      <w:r>
        <w:t xml:space="preserve">•  </w:t>
      </w:r>
      <w:r>
        <w:rPr>
          <w:b/>
        </w:rPr>
        <w:t xml:space="preserve">Pattern: </w:t>
      </w:r>
      <w:r>
        <w:t>A multi-event finding identified across recent LFs by vendor, SKU, spec, or time window.</w:t>
      </w:r>
    </w:p>
    <w:p>
      <w:pPr>
        <w:spacing w:after="80"/>
        <w:ind w:left="720" w:hanging="288"/>
      </w:pPr>
      <w:r>
        <w:t xml:space="preserve">•  </w:t>
      </w:r>
      <w:r>
        <w:rPr>
          <w:b/>
        </w:rPr>
        <w:t xml:space="preserve">Vendor Flag: </w:t>
      </w:r>
      <w:r>
        <w:t>A QA-Lead-approved escalation that a vendor pattern warrants a scorecard signal or CAPA opening.</w:t>
      </w:r>
    </w:p>
    <w:p>
      <w:pPr>
        <w:spacing w:after="80"/>
        <w:ind w:left="720" w:hanging="288"/>
      </w:pPr>
      <w:r>
        <w:t xml:space="preserve">•  </w:t>
      </w:r>
      <w:r>
        <w:rPr>
          <w:b/>
        </w:rPr>
        <w:t xml:space="preserve">Watch List: </w:t>
      </w:r>
      <w:r>
        <w:t>A pattern identified but not yet meeting flag threshold; tracked for additional cycles before re-review.</w:t>
      </w:r>
    </w:p>
    <w:p>
      <w:pPr>
        <w:spacing w:after="80"/>
        <w:ind w:left="720" w:hanging="288"/>
      </w:pPr>
      <w:r>
        <w:t xml:space="preserve">•  </w:t>
      </w:r>
      <w:r>
        <w:rPr>
          <w:b/>
        </w:rPr>
        <w:t xml:space="preserve">Containment: </w:t>
      </w:r>
      <w:r>
        <w:t>Action taken at intake to prevent further impact — hold, quarantine, retest only, or no action.</w:t>
      </w:r>
    </w:p>
    <w:p>
      <w:pPr>
        <w:spacing w:after="80"/>
        <w:ind w:left="720" w:hanging="288"/>
      </w:pPr>
      <w:r>
        <w:t xml:space="preserve">•  </w:t>
      </w:r>
      <w:r>
        <w:rPr>
          <w:b/>
        </w:rPr>
        <w:t xml:space="preserve">Retest: </w:t>
      </w:r>
      <w:r>
        <w:t>A repeat of a failed or trending lab test on a fresh sample, conducted under the conditions in §5.3.</w:t>
      </w:r>
    </w:p>
    <w:p>
      <w:pPr>
        <w:keepNext/>
        <w:spacing w:before="280" w:after="120"/>
      </w:pPr>
      <w:r/>
      <w:r>
        <w:rPr>
          <w:b/>
          <w:color w:val="1F3763"/>
          <w:sz w:val="28"/>
        </w:rPr>
        <w:t>4. Responsibilities</w:t>
      </w:r>
    </w:p>
    <w:p>
      <w:pPr>
        <w:spacing w:after="80"/>
        <w:ind w:left="720" w:hanging="288"/>
      </w:pPr>
      <w:r>
        <w:t xml:space="preserve">•  </w:t>
      </w:r>
      <w:r>
        <w:rPr>
          <w:b/>
        </w:rPr>
        <w:t xml:space="preserve">Reporter: </w:t>
      </w:r>
      <w:r>
        <w:t>Any employee, contract lab, or vendor who surfaces a lab finding.</w:t>
      </w:r>
    </w:p>
    <w:p>
      <w:pPr>
        <w:spacing w:after="80"/>
        <w:ind w:left="720" w:hanging="288"/>
      </w:pPr>
      <w:r>
        <w:t xml:space="preserve">•  </w:t>
      </w:r>
      <w:r>
        <w:rPr>
          <w:b/>
        </w:rPr>
        <w:t xml:space="preserve">Operator: </w:t>
      </w:r>
      <w:r>
        <w:t>Reviews intake, classifies the finding, decides between retest, watch, vendor flag, or CAPA handoff.</w:t>
      </w:r>
    </w:p>
    <w:p>
      <w:pPr>
        <w:spacing w:after="80"/>
        <w:ind w:left="720" w:hanging="288"/>
      </w:pPr>
      <w:r>
        <w:t xml:space="preserve">•  </w:t>
      </w:r>
      <w:r>
        <w:rPr>
          <w:b/>
        </w:rPr>
        <w:t xml:space="preserve">QA Lead: </w:t>
      </w:r>
      <w:r>
        <w:t>Technical QA/QC lead. Approves any vendor flag, any scorecard signal write, any retest authority decision, and lab-finding severity overrides.</w:t>
      </w:r>
    </w:p>
    <w:p>
      <w:pPr>
        <w:spacing w:after="80"/>
        <w:ind w:left="720" w:hanging="288"/>
      </w:pPr>
      <w:r>
        <w:t xml:space="preserve">•  </w:t>
      </w:r>
      <w:r>
        <w:rPr>
          <w:b/>
        </w:rPr>
        <w:t xml:space="preserve">Voice of Customer: </w:t>
      </w:r>
      <w:r>
        <w:t>Manages quality intake from the customer perspective. Advisor on lab findings tied to customer-driven signal.</w:t>
      </w:r>
    </w:p>
    <w:p>
      <w:pPr>
        <w:spacing w:after="80"/>
        <w:ind w:left="720" w:hanging="288"/>
      </w:pPr>
      <w:r>
        <w:t xml:space="preserve">•  </w:t>
      </w:r>
      <w:r>
        <w:rPr>
          <w:b/>
        </w:rPr>
        <w:t xml:space="preserve">QA Manager: </w:t>
      </w:r>
      <w:r>
        <w:t>Owns this SOP. Approves all revisions. Reviews annually.</w:t>
      </w:r>
    </w:p>
    <w:p>
      <w:pPr>
        <w:spacing w:after="80"/>
        <w:ind w:left="720" w:hanging="288"/>
      </w:pPr>
      <w:r>
        <w:t xml:space="preserve">•  </w:t>
      </w:r>
      <w:r>
        <w:rPr>
          <w:b/>
        </w:rPr>
        <w:t xml:space="preserve">Department Managers: </w:t>
      </w:r>
      <w:r>
        <w:t>Ensure lab findings within their area are reported, investigated, and resolved.</w:t>
      </w:r>
    </w:p>
    <w:p>
      <w:pPr>
        <w:spacing w:after="80"/>
        <w:ind w:left="720" w:hanging="288"/>
      </w:pPr>
      <w:r>
        <w:t xml:space="preserve">•  </w:t>
      </w:r>
      <w:r>
        <w:rPr>
          <w:b/>
        </w:rPr>
        <w:t xml:space="preserve">All Employees: </w:t>
      </w:r>
      <w:r>
        <w:t>Report lab findings and potential lab findings to their supervisor or QA.</w:t>
      </w:r>
    </w:p>
    <w:p>
      <w:pPr>
        <w:keepNext/>
        <w:spacing w:before="280" w:after="120"/>
      </w:pPr>
      <w:r/>
      <w:r>
        <w:rPr>
          <w:b/>
          <w:color w:val="1F3763"/>
          <w:sz w:val="28"/>
        </w:rPr>
        <w:t>5. Procedure</w:t>
      </w:r>
    </w:p>
    <w:p>
      <w:pPr>
        <w:keepNext/>
        <w:spacing w:before="200" w:after="80"/>
        <w:ind w:left="360"/>
      </w:pPr>
      <w:r/>
      <w:r>
        <w:rPr>
          <w:b/>
          <w:sz w:val="24"/>
        </w:rPr>
        <w:t>5.1  Intake</w:t>
      </w:r>
    </w:p>
    <w:p>
      <w:pPr>
        <w:spacing w:after="40"/>
        <w:ind w:left="720" w:hanging="288"/>
      </w:pPr>
      <w:r>
        <w:t xml:space="preserve">•  </w:t>
      </w:r>
      <w:r>
        <w:t>Opening a Lab Finding:</w:t>
      </w:r>
    </w:p>
    <w:p>
      <w:pPr>
        <w:spacing w:after="40"/>
        <w:ind w:left="1080" w:hanging="288"/>
      </w:pPr>
      <w:r>
        <w:t xml:space="preserve">o  </w:t>
      </w:r>
      <w:r>
        <w:t>A lab result returns OOS on any spec listed in the batch's PLM record.</w:t>
      </w:r>
    </w:p>
    <w:p>
      <w:pPr>
        <w:spacing w:after="40"/>
        <w:ind w:left="1080" w:hanging="288"/>
      </w:pPr>
      <w:r>
        <w:t xml:space="preserve">o  </w:t>
      </w:r>
      <w:r>
        <w:t>A lab result returns OOT — within spec but trending toward a limit, or shifting from prior batches.</w:t>
      </w:r>
    </w:p>
    <w:p>
      <w:pPr>
        <w:spacing w:after="40"/>
        <w:ind w:left="1080" w:hanging="288"/>
      </w:pPr>
      <w:r>
        <w:t xml:space="preserve">o  </w:t>
      </w:r>
      <w:r>
        <w:t>An incoming material inspection fails (wrong material, wrong qty, COA missing or expired, COA values outside spec, packaging damage that affects the material).</w:t>
      </w:r>
    </w:p>
    <w:p>
      <w:pPr>
        <w:spacing w:after="40"/>
        <w:ind w:left="1080" w:hanging="288"/>
      </w:pPr>
      <w:r>
        <w:t xml:space="preserve">o  </w:t>
      </w:r>
      <w:r>
        <w:t>A retest is requested on a previously OOS or OOT result.</w:t>
      </w:r>
    </w:p>
    <w:p>
      <w:pPr>
        <w:spacing w:after="40"/>
        <w:ind w:left="1080" w:hanging="288"/>
      </w:pPr>
      <w:r>
        <w:t xml:space="preserve">o  </w:t>
      </w:r>
      <w:r>
        <w:t>A pattern across recent lab findings crosses §5.2 thresholds.</w:t>
      </w:r>
    </w:p>
    <w:p>
      <w:pPr>
        <w:spacing w:after="40"/>
        <w:ind w:left="1080" w:hanging="288"/>
      </w:pPr>
      <w:r>
        <w:t xml:space="preserve">o  </w:t>
      </w:r>
      <w:r>
        <w:t>The Operator or QA Lead requests one explicitly.</w:t>
      </w:r>
    </w:p>
    <w:p>
      <w:pPr>
        <w:spacing w:after="40"/>
        <w:ind w:left="720" w:hanging="288"/>
      </w:pPr>
      <w:r>
        <w:t xml:space="preserve">•  </w:t>
      </w:r>
      <w:r>
        <w:t>Required intake fields — every LF must capture the following before commit:</w:t>
      </w:r>
    </w:p>
    <w:tbl>
      <w:tblPr>
        <w:tblW w:type="auto" w:w="0"/>
        <w:tblLayout w:type="fixed"/>
        <w:tblLook w:firstColumn="1" w:firstRow="1" w:lastColumn="0" w:lastRow="0" w:noHBand="0" w:noVBand="1" w:val="04A0"/>
      </w:tblPr>
      <w:tblGrid>
        <w:gridCol w:w="4680"/>
        <w:gridCol w:w="4680"/>
      </w:tblGrid>
      <w:tr>
        <w:tc>
          <w:tcPr>
            <w:tcW w:type="dxa" w:w="288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Field</w:t>
            </w:r>
          </w:p>
        </w:tc>
        <w:tc>
          <w:tcPr>
            <w:tcW w:type="dxa" w:w="648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Notes</w:t>
            </w:r>
          </w:p>
        </w:tc>
      </w:tr>
      <w:tr>
        <w:tc>
          <w:tcPr>
            <w:tcW w:type="dxa" w:w="2880"/>
            <w:tcBorders>
              <w:top w:val="single" w:sz="4" w:color="BFBFBF"/>
              <w:left w:val="single" w:sz="4" w:color="BFBFBF"/>
              <w:bottom w:val="single" w:sz="4" w:color="BFBFBF"/>
              <w:right w:val="single" w:sz="4" w:color="BFBFBF"/>
            </w:tcBorders>
            <w:vAlign w:val="top"/>
          </w:tcPr>
          <w:p>
            <w:r/>
            <w:r>
              <w:rPr>
                <w:sz w:val="20"/>
              </w:rPr>
              <w:t>LF Number</w:t>
            </w:r>
          </w:p>
        </w:tc>
        <w:tc>
          <w:tcPr>
            <w:tcW w:type="dxa" w:w="6480"/>
            <w:tcBorders>
              <w:top w:val="single" w:sz="4" w:color="BFBFBF"/>
              <w:left w:val="single" w:sz="4" w:color="BFBFBF"/>
              <w:bottom w:val="single" w:sz="4" w:color="BFBFBF"/>
              <w:right w:val="single" w:sz="4" w:color="BFBFBF"/>
            </w:tcBorders>
            <w:vAlign w:val="top"/>
          </w:tcPr>
          <w:p>
            <w:r/>
            <w:r>
              <w:rPr>
                <w:sz w:val="20"/>
              </w:rPr>
              <w:t>LF-YYYY-NNN, zero-padded sequential by year</w:t>
            </w:r>
          </w:p>
        </w:tc>
      </w:tr>
      <w:tr>
        <w:tc>
          <w:tcPr>
            <w:tcW w:type="dxa" w:w="2880"/>
            <w:tcBorders>
              <w:top w:val="single" w:sz="4" w:color="BFBFBF"/>
              <w:left w:val="single" w:sz="4" w:color="BFBFBF"/>
              <w:bottom w:val="single" w:sz="4" w:color="BFBFBF"/>
              <w:right w:val="single" w:sz="4" w:color="BFBFBF"/>
            </w:tcBorders>
            <w:vAlign w:val="top"/>
          </w:tcPr>
          <w:p>
            <w:r/>
            <w:r>
              <w:rPr>
                <w:sz w:val="20"/>
              </w:rPr>
              <w:t>Date opened</w:t>
            </w:r>
          </w:p>
        </w:tc>
        <w:tc>
          <w:tcPr>
            <w:tcW w:type="dxa" w:w="6480"/>
            <w:tcBorders>
              <w:top w:val="single" w:sz="4" w:color="BFBFBF"/>
              <w:left w:val="single" w:sz="4" w:color="BFBFBF"/>
              <w:bottom w:val="single" w:sz="4" w:color="BFBFBF"/>
              <w:right w:val="single" w:sz="4" w:color="BFBFBF"/>
            </w:tcBorders>
            <w:vAlign w:val="top"/>
          </w:tcPr>
          <w:p>
            <w:r/>
            <w:r>
              <w:rPr>
                <w:sz w:val="20"/>
              </w:rPr>
              <w:t>ISO date</w:t>
            </w:r>
          </w:p>
        </w:tc>
      </w:tr>
      <w:tr>
        <w:tc>
          <w:tcPr>
            <w:tcW w:type="dxa" w:w="2880"/>
            <w:tcBorders>
              <w:top w:val="single" w:sz="4" w:color="BFBFBF"/>
              <w:left w:val="single" w:sz="4" w:color="BFBFBF"/>
              <w:bottom w:val="single" w:sz="4" w:color="BFBFBF"/>
              <w:right w:val="single" w:sz="4" w:color="BFBFBF"/>
            </w:tcBorders>
            <w:vAlign w:val="top"/>
          </w:tcPr>
          <w:p>
            <w:r/>
            <w:r>
              <w:rPr>
                <w:sz w:val="20"/>
              </w:rPr>
              <w:t>Reporter</w:t>
            </w:r>
          </w:p>
        </w:tc>
        <w:tc>
          <w:tcPr>
            <w:tcW w:type="dxa" w:w="6480"/>
            <w:tcBorders>
              <w:top w:val="single" w:sz="4" w:color="BFBFBF"/>
              <w:left w:val="single" w:sz="4" w:color="BFBFBF"/>
              <w:bottom w:val="single" w:sz="4" w:color="BFBFBF"/>
              <w:right w:val="single" w:sz="4" w:color="BFBFBF"/>
            </w:tcBorders>
            <w:vAlign w:val="top"/>
          </w:tcPr>
          <w:p>
            <w:r/>
            <w:r>
              <w:rPr>
                <w:sz w:val="20"/>
              </w:rPr>
              <w:t>Name and role (or contract lab name)</w:t>
            </w:r>
          </w:p>
        </w:tc>
      </w:tr>
      <w:tr>
        <w:tc>
          <w:tcPr>
            <w:tcW w:type="dxa" w:w="2880"/>
            <w:tcBorders>
              <w:top w:val="single" w:sz="4" w:color="BFBFBF"/>
              <w:left w:val="single" w:sz="4" w:color="BFBFBF"/>
              <w:bottom w:val="single" w:sz="4" w:color="BFBFBF"/>
              <w:right w:val="single" w:sz="4" w:color="BFBFBF"/>
            </w:tcBorders>
            <w:vAlign w:val="top"/>
          </w:tcPr>
          <w:p>
            <w:r/>
            <w:r>
              <w:rPr>
                <w:sz w:val="20"/>
              </w:rPr>
              <w:t>Source</w:t>
            </w:r>
          </w:p>
        </w:tc>
        <w:tc>
          <w:tcPr>
            <w:tcW w:type="dxa" w:w="6480"/>
            <w:tcBorders>
              <w:top w:val="single" w:sz="4" w:color="BFBFBF"/>
              <w:left w:val="single" w:sz="4" w:color="BFBFBF"/>
              <w:bottom w:val="single" w:sz="4" w:color="BFBFBF"/>
              <w:right w:val="single" w:sz="4" w:color="BFBFBF"/>
            </w:tcBorders>
            <w:vAlign w:val="top"/>
          </w:tcPr>
          <w:p>
            <w:r/>
            <w:r>
              <w:rPr>
                <w:sz w:val="20"/>
              </w:rPr>
              <w:t>lab-OOS, lab-OOT, vendor-receipt, vendor-systemic, batch-pattern, COA-mismatch, internal-flag, direct-open</w:t>
            </w:r>
          </w:p>
        </w:tc>
      </w:tr>
      <w:tr>
        <w:tc>
          <w:tcPr>
            <w:tcW w:type="dxa" w:w="2880"/>
            <w:tcBorders>
              <w:top w:val="single" w:sz="4" w:color="BFBFBF"/>
              <w:left w:val="single" w:sz="4" w:color="BFBFBF"/>
              <w:bottom w:val="single" w:sz="4" w:color="BFBFBF"/>
              <w:right w:val="single" w:sz="4" w:color="BFBFBF"/>
            </w:tcBorders>
            <w:vAlign w:val="top"/>
          </w:tcPr>
          <w:p>
            <w:r/>
            <w:r>
              <w:rPr>
                <w:sz w:val="20"/>
              </w:rPr>
              <w:t>Classification</w:t>
            </w:r>
          </w:p>
        </w:tc>
        <w:tc>
          <w:tcPr>
            <w:tcW w:type="dxa" w:w="6480"/>
            <w:tcBorders>
              <w:top w:val="single" w:sz="4" w:color="BFBFBF"/>
              <w:left w:val="single" w:sz="4" w:color="BFBFBF"/>
              <w:bottom w:val="single" w:sz="4" w:color="BFBFBF"/>
              <w:right w:val="single" w:sz="4" w:color="BFBFBF"/>
            </w:tcBorders>
            <w:vAlign w:val="top"/>
          </w:tcPr>
          <w:p>
            <w:r/>
            <w:r>
              <w:rPr>
                <w:sz w:val="20"/>
              </w:rPr>
              <w:t>OOS, OOT, Incoming Defect, Pattern, In-Spec Flag</w:t>
            </w:r>
          </w:p>
        </w:tc>
      </w:tr>
      <w:tr>
        <w:tc>
          <w:tcPr>
            <w:tcW w:type="dxa" w:w="2880"/>
            <w:tcBorders>
              <w:top w:val="single" w:sz="4" w:color="BFBFBF"/>
              <w:left w:val="single" w:sz="4" w:color="BFBFBF"/>
              <w:bottom w:val="single" w:sz="4" w:color="BFBFBF"/>
              <w:right w:val="single" w:sz="4" w:color="BFBFBF"/>
            </w:tcBorders>
            <w:vAlign w:val="top"/>
          </w:tcPr>
          <w:p>
            <w:r/>
            <w:r>
              <w:rPr>
                <w:sz w:val="20"/>
              </w:rPr>
              <w:t>SKU(s) affected</w:t>
            </w:r>
          </w:p>
        </w:tc>
        <w:tc>
          <w:tcPr>
            <w:tcW w:type="dxa" w:w="6480"/>
            <w:tcBorders>
              <w:top w:val="single" w:sz="4" w:color="BFBFBF"/>
              <w:left w:val="single" w:sz="4" w:color="BFBFBF"/>
              <w:bottom w:val="single" w:sz="4" w:color="BFBFBF"/>
              <w:right w:val="single" w:sz="4" w:color="BFBFBF"/>
            </w:tcBorders>
            <w:vAlign w:val="top"/>
          </w:tcPr>
          <w:p>
            <w:r/>
            <w:r>
              <w:rPr>
                <w:sz w:val="20"/>
              </w:rPr>
              <w:t>If applicable</w:t>
            </w:r>
          </w:p>
        </w:tc>
      </w:tr>
      <w:tr>
        <w:tc>
          <w:tcPr>
            <w:tcW w:type="dxa" w:w="2880"/>
            <w:tcBorders>
              <w:top w:val="single" w:sz="4" w:color="BFBFBF"/>
              <w:left w:val="single" w:sz="4" w:color="BFBFBF"/>
              <w:bottom w:val="single" w:sz="4" w:color="BFBFBF"/>
              <w:right w:val="single" w:sz="4" w:color="BFBFBF"/>
            </w:tcBorders>
            <w:vAlign w:val="top"/>
          </w:tcPr>
          <w:p>
            <w:r/>
            <w:r>
              <w:rPr>
                <w:sz w:val="20"/>
              </w:rPr>
              <w:t>Batch / lot code(s)</w:t>
            </w:r>
          </w:p>
        </w:tc>
        <w:tc>
          <w:tcPr>
            <w:tcW w:type="dxa" w:w="6480"/>
            <w:tcBorders>
              <w:top w:val="single" w:sz="4" w:color="BFBFBF"/>
              <w:left w:val="single" w:sz="4" w:color="BFBFBF"/>
              <w:bottom w:val="single" w:sz="4" w:color="BFBFBF"/>
              <w:right w:val="single" w:sz="4" w:color="BFBFBF"/>
            </w:tcBorders>
            <w:vAlign w:val="top"/>
          </w:tcPr>
          <w:p>
            <w:r/>
            <w:r>
              <w:rPr>
                <w:sz w:val="20"/>
              </w:rPr>
              <w:t>Required for finished-good results; required for component receipts</w:t>
            </w:r>
          </w:p>
        </w:tc>
      </w:tr>
      <w:tr>
        <w:tc>
          <w:tcPr>
            <w:tcW w:type="dxa" w:w="2880"/>
            <w:tcBorders>
              <w:top w:val="single" w:sz="4" w:color="BFBFBF"/>
              <w:left w:val="single" w:sz="4" w:color="BFBFBF"/>
              <w:bottom w:val="single" w:sz="4" w:color="BFBFBF"/>
              <w:right w:val="single" w:sz="4" w:color="BFBFBF"/>
            </w:tcBorders>
            <w:vAlign w:val="top"/>
          </w:tcPr>
          <w:p>
            <w:r/>
            <w:r>
              <w:rPr>
                <w:sz w:val="20"/>
              </w:rPr>
              <w:t>Vendor</w:t>
            </w:r>
          </w:p>
        </w:tc>
        <w:tc>
          <w:tcPr>
            <w:tcW w:type="dxa" w:w="6480"/>
            <w:tcBorders>
              <w:top w:val="single" w:sz="4" w:color="BFBFBF"/>
              <w:left w:val="single" w:sz="4" w:color="BFBFBF"/>
              <w:bottom w:val="single" w:sz="4" w:color="BFBFBF"/>
              <w:right w:val="single" w:sz="4" w:color="BFBFBF"/>
            </w:tcBorders>
            <w:vAlign w:val="top"/>
          </w:tcPr>
          <w:p>
            <w:r/>
            <w:r>
              <w:rPr>
                <w:sz w:val="20"/>
              </w:rPr>
              <w:t>Required for component / vendor-driven findings</w:t>
            </w:r>
          </w:p>
        </w:tc>
      </w:tr>
      <w:tr>
        <w:tc>
          <w:tcPr>
            <w:tcW w:type="dxa" w:w="2880"/>
            <w:tcBorders>
              <w:top w:val="single" w:sz="4" w:color="BFBFBF"/>
              <w:left w:val="single" w:sz="4" w:color="BFBFBF"/>
              <w:bottom w:val="single" w:sz="4" w:color="BFBFBF"/>
              <w:right w:val="single" w:sz="4" w:color="BFBFBF"/>
            </w:tcBorders>
            <w:vAlign w:val="top"/>
          </w:tcPr>
          <w:p>
            <w:r/>
            <w:r>
              <w:rPr>
                <w:sz w:val="20"/>
              </w:rPr>
              <w:t>Spec(s) affected</w:t>
            </w:r>
          </w:p>
        </w:tc>
        <w:tc>
          <w:tcPr>
            <w:tcW w:type="dxa" w:w="6480"/>
            <w:tcBorders>
              <w:top w:val="single" w:sz="4" w:color="BFBFBF"/>
              <w:left w:val="single" w:sz="4" w:color="BFBFBF"/>
              <w:bottom w:val="single" w:sz="4" w:color="BFBFBF"/>
              <w:right w:val="single" w:sz="4" w:color="BFBFBF"/>
            </w:tcBorders>
            <w:vAlign w:val="top"/>
          </w:tcPr>
          <w:p>
            <w:r/>
            <w:r>
              <w:rPr>
                <w:sz w:val="20"/>
              </w:rPr>
              <w:t>The internal spec(s) the finding is measured against</w:t>
            </w:r>
          </w:p>
        </w:tc>
      </w:tr>
      <w:tr>
        <w:tc>
          <w:tcPr>
            <w:tcW w:type="dxa" w:w="2880"/>
            <w:tcBorders>
              <w:top w:val="single" w:sz="4" w:color="BFBFBF"/>
              <w:left w:val="single" w:sz="4" w:color="BFBFBF"/>
              <w:bottom w:val="single" w:sz="4" w:color="BFBFBF"/>
              <w:right w:val="single" w:sz="4" w:color="BFBFBF"/>
            </w:tcBorders>
            <w:vAlign w:val="top"/>
          </w:tcPr>
          <w:p>
            <w:r/>
            <w:r>
              <w:rPr>
                <w:sz w:val="20"/>
              </w:rPr>
              <w:t>Result</w:t>
            </w:r>
          </w:p>
        </w:tc>
        <w:tc>
          <w:tcPr>
            <w:tcW w:type="dxa" w:w="6480"/>
            <w:tcBorders>
              <w:top w:val="single" w:sz="4" w:color="BFBFBF"/>
              <w:left w:val="single" w:sz="4" w:color="BFBFBF"/>
              <w:bottom w:val="single" w:sz="4" w:color="BFBFBF"/>
              <w:right w:val="single" w:sz="4" w:color="BFBFBF"/>
            </w:tcBorders>
            <w:vAlign w:val="top"/>
          </w:tcPr>
          <w:p>
            <w:r/>
            <w:r>
              <w:rPr>
                <w:sz w:val="20"/>
              </w:rPr>
              <w:t>Measured value(s) and the spec value(s)</w:t>
            </w:r>
          </w:p>
        </w:tc>
      </w:tr>
      <w:tr>
        <w:tc>
          <w:tcPr>
            <w:tcW w:type="dxa" w:w="2880"/>
            <w:tcBorders>
              <w:top w:val="single" w:sz="4" w:color="BFBFBF"/>
              <w:left w:val="single" w:sz="4" w:color="BFBFBF"/>
              <w:bottom w:val="single" w:sz="4" w:color="BFBFBF"/>
              <w:right w:val="single" w:sz="4" w:color="BFBFBF"/>
            </w:tcBorders>
            <w:vAlign w:val="top"/>
          </w:tcPr>
          <w:p>
            <w:r/>
            <w:r>
              <w:rPr>
                <w:sz w:val="20"/>
              </w:rPr>
              <w:t>Description</w:t>
            </w:r>
          </w:p>
        </w:tc>
        <w:tc>
          <w:tcPr>
            <w:tcW w:type="dxa" w:w="6480"/>
            <w:tcBorders>
              <w:top w:val="single" w:sz="4" w:color="BFBFBF"/>
              <w:left w:val="single" w:sz="4" w:color="BFBFBF"/>
              <w:bottom w:val="single" w:sz="4" w:color="BFBFBF"/>
              <w:right w:val="single" w:sz="4" w:color="BFBFBF"/>
            </w:tcBorders>
            <w:vAlign w:val="top"/>
          </w:tcPr>
          <w:p>
            <w:r/>
            <w:r>
              <w:rPr>
                <w:sz w:val="20"/>
              </w:rPr>
              <w:t>Plain-language description of what was observed</w:t>
            </w:r>
          </w:p>
        </w:tc>
      </w:tr>
      <w:tr>
        <w:tc>
          <w:tcPr>
            <w:tcW w:type="dxa" w:w="2880"/>
            <w:tcBorders>
              <w:top w:val="single" w:sz="4" w:color="BFBFBF"/>
              <w:left w:val="single" w:sz="4" w:color="BFBFBF"/>
              <w:bottom w:val="single" w:sz="4" w:color="BFBFBF"/>
              <w:right w:val="single" w:sz="4" w:color="BFBFBF"/>
            </w:tcBorders>
            <w:vAlign w:val="top"/>
          </w:tcPr>
          <w:p>
            <w:r/>
            <w:r>
              <w:rPr>
                <w:sz w:val="20"/>
              </w:rPr>
              <w:t>Evidence</w:t>
            </w:r>
          </w:p>
        </w:tc>
        <w:tc>
          <w:tcPr>
            <w:tcW w:type="dxa" w:w="6480"/>
            <w:tcBorders>
              <w:top w:val="single" w:sz="4" w:color="BFBFBF"/>
              <w:left w:val="single" w:sz="4" w:color="BFBFBF"/>
              <w:bottom w:val="single" w:sz="4" w:color="BFBFBF"/>
              <w:right w:val="single" w:sz="4" w:color="BFBFBF"/>
            </w:tcBorders>
            <w:vAlign w:val="top"/>
          </w:tcPr>
          <w:p>
            <w:r/>
            <w:r>
              <w:rPr>
                <w:sz w:val="20"/>
              </w:rPr>
              <w:t>Links to test reports, COAs, photos, PLM lab record</w:t>
            </w:r>
          </w:p>
        </w:tc>
      </w:tr>
      <w:tr>
        <w:tc>
          <w:tcPr>
            <w:tcW w:type="dxa" w:w="2880"/>
            <w:tcBorders>
              <w:top w:val="single" w:sz="4" w:color="BFBFBF"/>
              <w:left w:val="single" w:sz="4" w:color="BFBFBF"/>
              <w:bottom w:val="single" w:sz="4" w:color="BFBFBF"/>
              <w:right w:val="single" w:sz="4" w:color="BFBFBF"/>
            </w:tcBorders>
            <w:vAlign w:val="top"/>
          </w:tcPr>
          <w:p>
            <w:r/>
            <w:r>
              <w:rPr>
                <w:sz w:val="20"/>
              </w:rPr>
              <w:t>Suspected severity</w:t>
            </w:r>
          </w:p>
        </w:tc>
        <w:tc>
          <w:tcPr>
            <w:tcW w:type="dxa" w:w="6480"/>
            <w:tcBorders>
              <w:top w:val="single" w:sz="4" w:color="BFBFBF"/>
              <w:left w:val="single" w:sz="4" w:color="BFBFBF"/>
              <w:bottom w:val="single" w:sz="4" w:color="BFBFBF"/>
              <w:right w:val="single" w:sz="4" w:color="BFBFBF"/>
            </w:tcBorders>
            <w:vAlign w:val="top"/>
          </w:tcPr>
          <w:p>
            <w:r/>
            <w:r>
              <w:rPr>
                <w:sz w:val="20"/>
              </w:rPr>
              <w:t>Operator's first read; QA Lead can override</w:t>
            </w:r>
          </w:p>
        </w:tc>
      </w:tr>
      <w:tr>
        <w:tc>
          <w:tcPr>
            <w:tcW w:type="dxa" w:w="2880"/>
            <w:tcBorders>
              <w:top w:val="single" w:sz="4" w:color="BFBFBF"/>
              <w:left w:val="single" w:sz="4" w:color="BFBFBF"/>
              <w:bottom w:val="single" w:sz="4" w:color="BFBFBF"/>
              <w:right w:val="single" w:sz="4" w:color="BFBFBF"/>
            </w:tcBorders>
            <w:vAlign w:val="top"/>
          </w:tcPr>
          <w:p>
            <w:r/>
            <w:r>
              <w:rPr>
                <w:sz w:val="20"/>
              </w:rPr>
              <w:t>Containment recommendation</w:t>
            </w:r>
          </w:p>
        </w:tc>
        <w:tc>
          <w:tcPr>
            <w:tcW w:type="dxa" w:w="6480"/>
            <w:tcBorders>
              <w:top w:val="single" w:sz="4" w:color="BFBFBF"/>
              <w:left w:val="single" w:sz="4" w:color="BFBFBF"/>
              <w:bottom w:val="single" w:sz="4" w:color="BFBFBF"/>
              <w:right w:val="single" w:sz="4" w:color="BFBFBF"/>
            </w:tcBorders>
            <w:vAlign w:val="top"/>
          </w:tcPr>
          <w:p>
            <w:r/>
            <w:r>
              <w:rPr>
                <w:sz w:val="20"/>
              </w:rPr>
              <w:t>Hold, quarantine, retest, or no action — drafted at intake</w:t>
            </w:r>
          </w:p>
        </w:tc>
      </w:tr>
    </w:tbl>
    <w:p/>
    <w:p>
      <w:pPr>
        <w:spacing w:after="40"/>
        <w:ind w:left="720" w:hanging="288"/>
      </w:pPr>
      <w:r>
        <w:t xml:space="preserve">•  </w:t>
      </w:r>
      <w:r>
        <w:t>Classification — five categories:</w:t>
      </w:r>
    </w:p>
    <w:p>
      <w:pPr>
        <w:spacing w:after="40"/>
        <w:ind w:left="1080" w:hanging="288"/>
      </w:pPr>
      <w:r>
        <w:t xml:space="preserve">o  </w:t>
      </w:r>
      <w:r>
        <w:t>OOS — outside spec range. Major or Critical severity by default. Always retests or hands off as NCR per SKN-OPS-001.</w:t>
      </w:r>
    </w:p>
    <w:p>
      <w:pPr>
        <w:spacing w:after="40"/>
        <w:ind w:left="1080" w:hanging="288"/>
      </w:pPr>
      <w:r>
        <w:t xml:space="preserve">o  </w:t>
      </w:r>
      <w:r>
        <w:t>OOT — within spec but trending. Minor by default; can shift to Major if trend points toward near-term spec failure.</w:t>
      </w:r>
    </w:p>
    <w:p>
      <w:pPr>
        <w:spacing w:after="40"/>
        <w:ind w:left="1080" w:hanging="288"/>
      </w:pPr>
      <w:r>
        <w:t xml:space="preserve">o  </w:t>
      </w:r>
      <w:r>
        <w:t>Incoming Defect — vendor receipt failed inspection. Routes to single-shipment handling or vendor flag depending on pattern.</w:t>
      </w:r>
    </w:p>
    <w:p>
      <w:pPr>
        <w:spacing w:after="40"/>
        <w:ind w:left="1080" w:hanging="288"/>
      </w:pPr>
      <w:r>
        <w:t xml:space="preserve">o  </w:t>
      </w:r>
      <w:r>
        <w:t>Pattern — multi-event finding from §5.2. Severity reflects worst single event. Routes to vendor flag by default.</w:t>
      </w:r>
    </w:p>
    <w:p>
      <w:pPr>
        <w:spacing w:after="40"/>
        <w:ind w:left="1080" w:hanging="288"/>
      </w:pPr>
      <w:r>
        <w:t xml:space="preserve">o  </w:t>
      </w:r>
      <w:r>
        <w:t>In-Spec Flag — result is in spec but something else was off (lab process deviation, sample integrity question, late test).</w:t>
      </w:r>
    </w:p>
    <w:p>
      <w:pPr>
        <w:spacing w:after="40"/>
        <w:ind w:left="720" w:hanging="288"/>
      </w:pPr>
      <w:r>
        <w:t xml:space="preserve">•  </w:t>
      </w:r>
      <w:r>
        <w:t>Severity bands — three bands, aligned with the NCR Procedure for downstream handoff:</w:t>
      </w:r>
    </w:p>
    <w:p>
      <w:pPr>
        <w:spacing w:after="40"/>
        <w:ind w:left="1080" w:hanging="288"/>
      </w:pPr>
      <w:r>
        <w:t xml:space="preserve">o  </w:t>
      </w:r>
      <w:r>
        <w:t>Critical — direct safety, recall risk, regulatory exposure, or repeat root cause. Hand off to capa-coordinator within 5 business days. Containment: hold immediately.</w:t>
      </w:r>
    </w:p>
    <w:p>
      <w:pPr>
        <w:spacing w:after="40"/>
        <w:ind w:left="1080" w:hanging="288"/>
      </w:pPr>
      <w:r>
        <w:t xml:space="preserve">o  </w:t>
      </w:r>
      <w:r>
        <w:t>Major — quality or compliance impact that cannot be absorbed without action. Hand off to capa-coordinator within 10 business days. Containment: hold or quarantine.</w:t>
      </w:r>
    </w:p>
    <w:p>
      <w:pPr>
        <w:spacing w:after="40"/>
        <w:ind w:left="1080" w:hanging="288"/>
      </w:pPr>
      <w:r>
        <w:t xml:space="preserve">o  </w:t>
      </w:r>
      <w:r>
        <w:t>Minor — isolated, contained, no recurrence pattern, no compliance exposure. Retest, watch list, or close after Operator approval.</w:t>
      </w:r>
    </w:p>
    <w:p>
      <w:pPr>
        <w:spacing w:after="40"/>
        <w:ind w:left="1080" w:hanging="288"/>
      </w:pPr>
      <w:r>
        <w:t xml:space="preserve">o  </w:t>
      </w:r>
      <w:r>
        <w:t>Severity reads should err high. The cost of an unnecessary CAPA is lower than the cost of a missed one.</w:t>
      </w:r>
    </w:p>
    <w:p>
      <w:pPr>
        <w:keepNext/>
        <w:spacing w:before="200" w:after="80"/>
        <w:ind w:left="360"/>
      </w:pPr>
      <w:r/>
      <w:r>
        <w:rPr>
          <w:b/>
          <w:sz w:val="24"/>
        </w:rPr>
        <w:t>5.2  Pattern Analysis and Vendor Flag Thresholds</w:t>
      </w:r>
    </w:p>
    <w:p>
      <w:pPr>
        <w:spacing w:after="40"/>
        <w:ind w:left="720" w:hanging="288"/>
      </w:pPr>
      <w:r>
        <w:t xml:space="preserve">•  </w:t>
      </w:r>
      <w:r>
        <w:t>Cadence:</w:t>
      </w:r>
    </w:p>
    <w:p>
      <w:pPr>
        <w:spacing w:after="40"/>
        <w:ind w:left="1080" w:hanging="288"/>
      </w:pPr>
      <w:r>
        <w:t xml:space="preserve">o  </w:t>
      </w:r>
      <w:r>
        <w:t>Monthly sweep — first business day of each month, pull prior 12 months of LFs and run the threshold check below.</w:t>
      </w:r>
    </w:p>
    <w:p>
      <w:pPr>
        <w:spacing w:after="40"/>
        <w:ind w:left="1080" w:hanging="288"/>
      </w:pPr>
      <w:r>
        <w:t xml:space="preserve">o  </w:t>
      </w:r>
      <w:r>
        <w:t>On-demand — any operator query for pattern read fires the analysis.</w:t>
      </w:r>
    </w:p>
    <w:p>
      <w:pPr>
        <w:spacing w:after="40"/>
        <w:ind w:left="1080" w:hanging="288"/>
      </w:pPr>
      <w:r>
        <w:t xml:space="preserve">o  </w:t>
      </w:r>
      <w:r>
        <w:t>Auto-fire on intake — every new LF triggers a quick pattern read against the same vendor / SKU / spec.</w:t>
      </w:r>
    </w:p>
    <w:p>
      <w:pPr>
        <w:spacing w:after="40"/>
        <w:ind w:left="720" w:hanging="288"/>
      </w:pPr>
      <w:r>
        <w:t xml:space="preserve">•  </w:t>
      </w:r>
      <w:r>
        <w:t>Threshold check — a pattern crosses the vendor-flag threshold when any of the following is true:</w:t>
      </w:r>
    </w:p>
    <w:p>
      <w:pPr>
        <w:spacing w:after="40"/>
        <w:ind w:left="1080" w:hanging="288"/>
      </w:pPr>
      <w:r>
        <w:t xml:space="preserve">o  </w:t>
      </w:r>
      <w:r>
        <w:t>Vendor cluster: 3+ LFs on the same vendor within 90 days, regardless of SKU.</w:t>
      </w:r>
    </w:p>
    <w:p>
      <w:pPr>
        <w:spacing w:after="40"/>
        <w:ind w:left="1080" w:hanging="288"/>
      </w:pPr>
      <w:r>
        <w:t xml:space="preserve">o  </w:t>
      </w:r>
      <w:r>
        <w:t>SKU cluster on a single vendor: 2+ LFs on the same SKU + same vendor within 90 days.</w:t>
      </w:r>
    </w:p>
    <w:p>
      <w:pPr>
        <w:spacing w:after="40"/>
        <w:ind w:left="1080" w:hanging="288"/>
      </w:pPr>
      <w:r>
        <w:t xml:space="preserve">o  </w:t>
      </w:r>
      <w:r>
        <w:t>Spec cluster: 3+ LFs on the same spec across any vendor or SKU within 60 days.</w:t>
      </w:r>
    </w:p>
    <w:p>
      <w:pPr>
        <w:spacing w:after="40"/>
        <w:ind w:left="1080" w:hanging="288"/>
      </w:pPr>
      <w:r>
        <w:t xml:space="preserve">o  </w:t>
      </w:r>
      <w:r>
        <w:t>Severity weighted: any 1 Critical or 2 Major LFs on the same vendor in 12 months.</w:t>
      </w:r>
    </w:p>
    <w:p>
      <w:pPr>
        <w:spacing w:after="40"/>
        <w:ind w:left="720" w:hanging="288"/>
      </w:pPr>
      <w:r>
        <w:t xml:space="preserve">•  </w:t>
      </w:r>
      <w:r>
        <w:t>Vendor flag review checklist — before drafting any flag decision, the Operator confirms:</w:t>
      </w:r>
    </w:p>
    <w:p>
      <w:pPr>
        <w:spacing w:after="40"/>
        <w:ind w:left="1080" w:hanging="288"/>
      </w:pPr>
      <w:r>
        <w:t xml:space="preserve">o  </w:t>
      </w:r>
      <w:r>
        <w:t>Is the cluster real, or is it one root cause showing up multiple times in records?</w:t>
      </w:r>
    </w:p>
    <w:p>
      <w:pPr>
        <w:spacing w:after="40"/>
        <w:ind w:left="1080" w:hanging="288"/>
      </w:pPr>
      <w:r>
        <w:t xml:space="preserve">o  </w:t>
      </w:r>
      <w:r>
        <w:t>Is the issue vendor-attributable, or could it be Sweet July's spec, sampling, or process?</w:t>
      </w:r>
    </w:p>
    <w:p>
      <w:pPr>
        <w:spacing w:after="40"/>
        <w:ind w:left="1080" w:hanging="288"/>
      </w:pPr>
      <w:r>
        <w:t xml:space="preserve">o  </w:t>
      </w:r>
      <w:r>
        <w:t>Has containment been confirmed for each LF in the cluster?</w:t>
      </w:r>
    </w:p>
    <w:p>
      <w:pPr>
        <w:spacing w:after="40"/>
        <w:ind w:left="1080" w:hanging="288"/>
      </w:pPr>
      <w:r>
        <w:t xml:space="preserve">o  </w:t>
      </w:r>
      <w:r>
        <w:t>Is there an existing vendor flag or open CAPA already covering this pattern?</w:t>
      </w:r>
    </w:p>
    <w:p>
      <w:pPr>
        <w:spacing w:after="40"/>
        <w:ind w:left="1080" w:hanging="288"/>
      </w:pPr>
      <w:r>
        <w:t xml:space="preserve">o  </w:t>
      </w:r>
      <w:r>
        <w:t>Has Purchasing seen any related signal already (incoming inspection rejection, shipping issue)?</w:t>
      </w:r>
    </w:p>
    <w:p>
      <w:pPr>
        <w:spacing w:after="40"/>
        <w:ind w:left="720" w:hanging="288"/>
      </w:pPr>
      <w:r>
        <w:t xml:space="preserve">•  </w:t>
      </w:r>
      <w:r>
        <w:t>Flag decision branches — three valid endpoints:</w:t>
      </w:r>
    </w:p>
    <w:p>
      <w:pPr>
        <w:spacing w:after="40"/>
        <w:ind w:left="1080" w:hanging="288"/>
      </w:pPr>
      <w:r>
        <w:t xml:space="preserve">o  </w:t>
      </w:r>
      <w:r>
        <w:t>Flag for vendor scorecard signal — pattern is real, vendor-attributable, and material to the scorecard. Triggers Appendix B comment-back to Purchasing.</w:t>
      </w:r>
    </w:p>
    <w:p>
      <w:pPr>
        <w:spacing w:after="40"/>
        <w:ind w:left="1080" w:hanging="288"/>
      </w:pPr>
      <w:r>
        <w:t xml:space="preserve">o  </w:t>
      </w:r>
      <w:r>
        <w:t>Flag for CAPA — pattern needs root cause work. Hands off to capa-coordinator with source = vendor-systemic.</w:t>
      </w:r>
    </w:p>
    <w:p>
      <w:pPr>
        <w:spacing w:after="40"/>
        <w:ind w:left="1080" w:hanging="288"/>
      </w:pPr>
      <w:r>
        <w:t xml:space="preserve">o  </w:t>
      </w:r>
      <w:r>
        <w:t>Watch List — no flag yet. Tracked for 2 additional monthly cycles before re-review.</w:t>
      </w:r>
    </w:p>
    <w:p>
      <w:pPr>
        <w:spacing w:after="40"/>
        <w:ind w:left="720" w:hanging="288"/>
      </w:pPr>
      <w:r>
        <w:t xml:space="preserve">•  </w:t>
      </w:r>
      <w:r>
        <w:t>QA Lead approves any A or B at v5.3. Operator can stage; QA Lead sign-off is required before any signal goes to Purchasing.</w:t>
      </w:r>
    </w:p>
    <w:p>
      <w:pPr>
        <w:keepNext/>
        <w:spacing w:before="200" w:after="80"/>
        <w:ind w:left="360"/>
      </w:pPr>
      <w:r/>
      <w:r>
        <w:rPr>
          <w:b/>
          <w:sz w:val="24"/>
        </w:rPr>
        <w:t>5.3  Retest Path</w:t>
      </w:r>
    </w:p>
    <w:p>
      <w:pPr>
        <w:spacing w:after="40"/>
        <w:ind w:left="720" w:hanging="288"/>
      </w:pPr>
      <w:r>
        <w:t xml:space="preserve">•  </w:t>
      </w:r>
      <w:r>
        <w:t>When classification is OOS or OOT and the Operator decides retest is warranted:</w:t>
      </w:r>
    </w:p>
    <w:p>
      <w:pPr>
        <w:spacing w:after="40"/>
        <w:ind w:left="1080" w:hanging="288"/>
      </w:pPr>
      <w:r>
        <w:t xml:space="preserve">o  </w:t>
      </w:r>
      <w:r>
        <w:t>Document the retest reason on the LF (sample integrity, suspected lab error, expected drift, vendor request).</w:t>
      </w:r>
    </w:p>
    <w:p>
      <w:pPr>
        <w:spacing w:after="40"/>
        <w:ind w:left="1080" w:hanging="288"/>
      </w:pPr>
      <w:r>
        <w:t xml:space="preserve">o  </w:t>
      </w:r>
      <w:r>
        <w:t>Pull a fresh sample per the Lab Sample Pulling working note.</w:t>
      </w:r>
    </w:p>
    <w:p>
      <w:pPr>
        <w:spacing w:after="40"/>
        <w:ind w:left="1080" w:hanging="288"/>
      </w:pPr>
      <w:r>
        <w:t xml:space="preserve">o  </w:t>
      </w:r>
      <w:r>
        <w:t>Send to the same lab or a confirming lab. Capture the lab name and request ID on the LF.</w:t>
      </w:r>
    </w:p>
    <w:p>
      <w:pPr>
        <w:spacing w:after="40"/>
        <w:ind w:left="1080" w:hanging="288"/>
      </w:pPr>
      <w:r>
        <w:t xml:space="preserve">o  </w:t>
      </w:r>
      <w:r>
        <w:t>When the retest result returns:</w:t>
      </w:r>
    </w:p>
    <w:p>
      <w:pPr>
        <w:spacing w:after="40"/>
        <w:ind w:left="1440" w:hanging="288"/>
      </w:pPr>
      <w:r>
        <w:t xml:space="preserve">o  </w:t>
      </w:r>
      <w:r>
        <w:t>Retest passes — log result, classify as In-Spec Flag, Operator decides watch or close.</w:t>
      </w:r>
    </w:p>
    <w:p>
      <w:pPr>
        <w:spacing w:after="40"/>
        <w:ind w:left="1440" w:hanging="288"/>
      </w:pPr>
      <w:r>
        <w:t xml:space="preserve">o  </w:t>
      </w:r>
      <w:r>
        <w:t>Retest fails — original classification stands; severity may shift up; CAPA handoff path engages.</w:t>
      </w:r>
    </w:p>
    <w:p>
      <w:pPr>
        <w:spacing w:after="40"/>
        <w:ind w:left="720" w:hanging="288"/>
      </w:pPr>
      <w:r>
        <w:t xml:space="preserve">•  </w:t>
      </w:r>
      <w:r>
        <w:t>Retest is not a workaround. If a retest passes but the Operator suspects sampling or lab variability, the LF stays on the watch list — the pattern check is what converts watch into flag.</w:t>
      </w:r>
    </w:p>
    <w:p>
      <w:pPr>
        <w:keepNext/>
        <w:spacing w:before="200" w:after="80"/>
        <w:ind w:left="360"/>
      </w:pPr>
      <w:r/>
      <w:r>
        <w:rPr>
          <w:b/>
          <w:sz w:val="24"/>
        </w:rPr>
        <w:t>5.4  Documentation and Retention</w:t>
      </w:r>
    </w:p>
    <w:p>
      <w:pPr>
        <w:spacing w:after="40"/>
        <w:ind w:left="720" w:hanging="288"/>
      </w:pPr>
      <w:r>
        <w:t xml:space="preserve">•  </w:t>
      </w:r>
      <w:r>
        <w:t>Every LF — open, closed, watch-list, or handed off — generates a record retained per SKN-OPS-001 §5.6 retention floor: 3 years post-batch-expiration.</w:t>
      </w:r>
    </w:p>
    <w:p>
      <w:pPr>
        <w:spacing w:after="40"/>
        <w:ind w:left="720" w:hanging="288"/>
      </w:pPr>
      <w:r>
        <w:t xml:space="preserve">•  </w:t>
      </w:r>
      <w:r>
        <w:t>Records live in the SJS Quality Management Asana project. Custom fields capture structured intake, classification, severity, source, and decision. Comments capture working notes. Attachments hold evidence (test reports, COAs, photos, PLM lab record links).</w:t>
      </w:r>
    </w:p>
    <w:p>
      <w:pPr>
        <w:spacing w:after="40"/>
        <w:ind w:left="720" w:hanging="288"/>
      </w:pPr>
      <w:r>
        <w:t xml:space="preserve">•  </w:t>
      </w:r>
      <w:r>
        <w:t>PLM holds the source-of-truth lab record; the LF Asana task carries the workflow surface and links to the PLM record.</w:t>
      </w:r>
    </w:p>
    <w:p>
      <w:pPr>
        <w:keepNext/>
        <w:spacing w:before="200" w:after="80"/>
        <w:ind w:left="360"/>
      </w:pPr>
      <w:r/>
      <w:r>
        <w:rPr>
          <w:b/>
          <w:sz w:val="24"/>
        </w:rPr>
        <w:t>5.5  Service Level Agreements</w:t>
      </w:r>
    </w:p>
    <w:tbl>
      <w:tblPr>
        <w:tblW w:type="auto" w:w="0"/>
        <w:tblLayout w:type="fixed"/>
        <w:tblLook w:firstColumn="1" w:firstRow="1" w:lastColumn="0" w:lastRow="0" w:noHBand="0" w:noVBand="1" w:val="04A0"/>
      </w:tblPr>
      <w:tblGrid>
        <w:gridCol w:w="4680"/>
        <w:gridCol w:w="4680"/>
      </w:tblGrid>
      <w:tr>
        <w:tc>
          <w:tcPr>
            <w:tcW w:type="dxa" w:w="360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Action</w:t>
            </w:r>
          </w:p>
        </w:tc>
        <w:tc>
          <w:tcPr>
            <w:tcW w:type="dxa" w:w="576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SLA</w:t>
            </w:r>
          </w:p>
        </w:tc>
      </w:tr>
      <w:tr>
        <w:tc>
          <w:tcPr>
            <w:tcW w:type="dxa" w:w="3600"/>
            <w:tcBorders>
              <w:top w:val="single" w:sz="4" w:color="BFBFBF"/>
              <w:left w:val="single" w:sz="4" w:color="BFBFBF"/>
              <w:bottom w:val="single" w:sz="4" w:color="BFBFBF"/>
              <w:right w:val="single" w:sz="4" w:color="BFBFBF"/>
            </w:tcBorders>
            <w:vAlign w:val="top"/>
          </w:tcPr>
          <w:p>
            <w:r/>
            <w:r>
              <w:rPr>
                <w:sz w:val="20"/>
              </w:rPr>
              <w:t>LF intake review</w:t>
            </w:r>
          </w:p>
        </w:tc>
        <w:tc>
          <w:tcPr>
            <w:tcW w:type="dxa" w:w="5760"/>
            <w:tcBorders>
              <w:top w:val="single" w:sz="4" w:color="BFBFBF"/>
              <w:left w:val="single" w:sz="4" w:color="BFBFBF"/>
              <w:bottom w:val="single" w:sz="4" w:color="BFBFBF"/>
              <w:right w:val="single" w:sz="4" w:color="BFBFBF"/>
            </w:tcBorders>
            <w:vAlign w:val="top"/>
          </w:tcPr>
          <w:p>
            <w:r/>
            <w:r>
              <w:rPr>
                <w:sz w:val="20"/>
              </w:rPr>
              <w:t>2 business days for Critical, 5 for Major, 10 for Minor</w:t>
            </w:r>
          </w:p>
        </w:tc>
      </w:tr>
      <w:tr>
        <w:tc>
          <w:tcPr>
            <w:tcW w:type="dxa" w:w="3600"/>
            <w:tcBorders>
              <w:top w:val="single" w:sz="4" w:color="BFBFBF"/>
              <w:left w:val="single" w:sz="4" w:color="BFBFBF"/>
              <w:bottom w:val="single" w:sz="4" w:color="BFBFBF"/>
              <w:right w:val="single" w:sz="4" w:color="BFBFBF"/>
            </w:tcBorders>
            <w:vAlign w:val="top"/>
          </w:tcPr>
          <w:p>
            <w:r/>
            <w:r>
              <w:rPr>
                <w:sz w:val="20"/>
              </w:rPr>
              <w:t>Retest dispatch (when chosen)</w:t>
            </w:r>
          </w:p>
        </w:tc>
        <w:tc>
          <w:tcPr>
            <w:tcW w:type="dxa" w:w="5760"/>
            <w:tcBorders>
              <w:top w:val="single" w:sz="4" w:color="BFBFBF"/>
              <w:left w:val="single" w:sz="4" w:color="BFBFBF"/>
              <w:bottom w:val="single" w:sz="4" w:color="BFBFBF"/>
              <w:right w:val="single" w:sz="4" w:color="BFBFBF"/>
            </w:tcBorders>
            <w:vAlign w:val="top"/>
          </w:tcPr>
          <w:p>
            <w:r/>
            <w:r>
              <w:rPr>
                <w:sz w:val="20"/>
              </w:rPr>
              <w:t>3 business days for Critical, 7 for Major, 14 for Minor</w:t>
            </w:r>
          </w:p>
        </w:tc>
      </w:tr>
      <w:tr>
        <w:tc>
          <w:tcPr>
            <w:tcW w:type="dxa" w:w="3600"/>
            <w:tcBorders>
              <w:top w:val="single" w:sz="4" w:color="BFBFBF"/>
              <w:left w:val="single" w:sz="4" w:color="BFBFBF"/>
              <w:bottom w:val="single" w:sz="4" w:color="BFBFBF"/>
              <w:right w:val="single" w:sz="4" w:color="BFBFBF"/>
            </w:tcBorders>
            <w:vAlign w:val="top"/>
          </w:tcPr>
          <w:p>
            <w:r/>
            <w:r>
              <w:rPr>
                <w:sz w:val="20"/>
              </w:rPr>
              <w:t>Vendor flag review</w:t>
            </w:r>
          </w:p>
        </w:tc>
        <w:tc>
          <w:tcPr>
            <w:tcW w:type="dxa" w:w="5760"/>
            <w:tcBorders>
              <w:top w:val="single" w:sz="4" w:color="BFBFBF"/>
              <w:left w:val="single" w:sz="4" w:color="BFBFBF"/>
              <w:bottom w:val="single" w:sz="4" w:color="BFBFBF"/>
              <w:right w:val="single" w:sz="4" w:color="BFBFBF"/>
            </w:tcBorders>
            <w:vAlign w:val="top"/>
          </w:tcPr>
          <w:p>
            <w:r/>
            <w:r>
              <w:rPr>
                <w:sz w:val="20"/>
              </w:rPr>
              <w:t>5 business days from pattern surfacing</w:t>
            </w:r>
          </w:p>
        </w:tc>
      </w:tr>
      <w:tr>
        <w:tc>
          <w:tcPr>
            <w:tcW w:type="dxa" w:w="3600"/>
            <w:tcBorders>
              <w:top w:val="single" w:sz="4" w:color="BFBFBF"/>
              <w:left w:val="single" w:sz="4" w:color="BFBFBF"/>
              <w:bottom w:val="single" w:sz="4" w:color="BFBFBF"/>
              <w:right w:val="single" w:sz="4" w:color="BFBFBF"/>
            </w:tcBorders>
            <w:vAlign w:val="top"/>
          </w:tcPr>
          <w:p>
            <w:r/>
            <w:r>
              <w:rPr>
                <w:sz w:val="20"/>
              </w:rPr>
              <w:t>Scorecard signal post</w:t>
            </w:r>
          </w:p>
        </w:tc>
        <w:tc>
          <w:tcPr>
            <w:tcW w:type="dxa" w:w="5760"/>
            <w:tcBorders>
              <w:top w:val="single" w:sz="4" w:color="BFBFBF"/>
              <w:left w:val="single" w:sz="4" w:color="BFBFBF"/>
              <w:bottom w:val="single" w:sz="4" w:color="BFBFBF"/>
              <w:right w:val="single" w:sz="4" w:color="BFBFBF"/>
            </w:tcBorders>
            <w:vAlign w:val="top"/>
          </w:tcPr>
          <w:p>
            <w:r/>
            <w:r>
              <w:rPr>
                <w:sz w:val="20"/>
              </w:rPr>
              <w:t>1 business day from QA Lead approval</w:t>
            </w:r>
          </w:p>
        </w:tc>
      </w:tr>
      <w:tr>
        <w:tc>
          <w:tcPr>
            <w:tcW w:type="dxa" w:w="3600"/>
            <w:tcBorders>
              <w:top w:val="single" w:sz="4" w:color="BFBFBF"/>
              <w:left w:val="single" w:sz="4" w:color="BFBFBF"/>
              <w:bottom w:val="single" w:sz="4" w:color="BFBFBF"/>
              <w:right w:val="single" w:sz="4" w:color="BFBFBF"/>
            </w:tcBorders>
            <w:vAlign w:val="top"/>
          </w:tcPr>
          <w:p>
            <w:r/>
            <w:r>
              <w:rPr>
                <w:sz w:val="20"/>
              </w:rPr>
              <w:t>CAPA handoff</w:t>
            </w:r>
          </w:p>
        </w:tc>
        <w:tc>
          <w:tcPr>
            <w:tcW w:type="dxa" w:w="5760"/>
            <w:tcBorders>
              <w:top w:val="single" w:sz="4" w:color="BFBFBF"/>
              <w:left w:val="single" w:sz="4" w:color="BFBFBF"/>
              <w:bottom w:val="single" w:sz="4" w:color="BFBFBF"/>
              <w:right w:val="single" w:sz="4" w:color="BFBFBF"/>
            </w:tcBorders>
            <w:vAlign w:val="top"/>
          </w:tcPr>
          <w:p>
            <w:r/>
            <w:r>
              <w:rPr>
                <w:sz w:val="20"/>
              </w:rPr>
              <w:t>Critical within 5 business days, Major within 10, Minor within 15</w:t>
            </w:r>
          </w:p>
        </w:tc>
      </w:tr>
      <w:tr>
        <w:tc>
          <w:tcPr>
            <w:tcW w:type="dxa" w:w="3600"/>
            <w:tcBorders>
              <w:top w:val="single" w:sz="4" w:color="BFBFBF"/>
              <w:left w:val="single" w:sz="4" w:color="BFBFBF"/>
              <w:bottom w:val="single" w:sz="4" w:color="BFBFBF"/>
              <w:right w:val="single" w:sz="4" w:color="BFBFBF"/>
            </w:tcBorders>
            <w:vAlign w:val="top"/>
          </w:tcPr>
          <w:p>
            <w:r/>
            <w:r>
              <w:rPr>
                <w:sz w:val="20"/>
              </w:rPr>
              <w:t>Watch List re-review</w:t>
            </w:r>
          </w:p>
        </w:tc>
        <w:tc>
          <w:tcPr>
            <w:tcW w:type="dxa" w:w="5760"/>
            <w:tcBorders>
              <w:top w:val="single" w:sz="4" w:color="BFBFBF"/>
              <w:left w:val="single" w:sz="4" w:color="BFBFBF"/>
              <w:bottom w:val="single" w:sz="4" w:color="BFBFBF"/>
              <w:right w:val="single" w:sz="4" w:color="BFBFBF"/>
            </w:tcBorders>
            <w:vAlign w:val="top"/>
          </w:tcPr>
          <w:p>
            <w:r/>
            <w:r>
              <w:rPr>
                <w:sz w:val="20"/>
              </w:rPr>
              <w:t>Monthly sweep</w:t>
            </w:r>
          </w:p>
        </w:tc>
      </w:tr>
    </w:tbl>
    <w:p/>
    <w:p>
      <w:pPr>
        <w:keepNext/>
        <w:spacing w:before="280" w:after="120"/>
      </w:pPr>
      <w:r/>
      <w:r>
        <w:rPr>
          <w:b/>
          <w:color w:val="1F3763"/>
          <w:sz w:val="28"/>
        </w:rPr>
        <w:t>6. Training</w:t>
      </w:r>
    </w:p>
    <w:p>
      <w:pPr>
        <w:spacing w:after="40"/>
        <w:ind w:left="720" w:hanging="288"/>
      </w:pPr>
      <w:r>
        <w:t xml:space="preserve">•  </w:t>
      </w:r>
      <w:r>
        <w:t>Ensure all employees involved in the lab quality process receive appropriate training on this SOP.</w:t>
      </w:r>
    </w:p>
    <w:p>
      <w:pPr>
        <w:spacing w:after="40"/>
        <w:ind w:left="720" w:hanging="288"/>
      </w:pPr>
      <w:r>
        <w:t xml:space="preserve">•  </w:t>
      </w:r>
      <w:r>
        <w:t>Document all training records.</w:t>
      </w:r>
    </w:p>
    <w:p>
      <w:pPr>
        <w:keepNext/>
        <w:spacing w:before="280" w:after="120"/>
      </w:pPr>
      <w:r/>
      <w:r>
        <w:rPr>
          <w:b/>
          <w:color w:val="1F3763"/>
          <w:sz w:val="28"/>
        </w:rPr>
        <w:t>7. Review and Approval</w:t>
      </w:r>
    </w:p>
    <w:p>
      <w:pPr>
        <w:spacing w:after="40"/>
        <w:ind w:left="720" w:hanging="288"/>
      </w:pPr>
      <w:r>
        <w:t xml:space="preserve">•  </w:t>
      </w:r>
      <w:r>
        <w:t>This SOP should be reviewed annually and updated as necessary.</w:t>
      </w:r>
    </w:p>
    <w:p>
      <w:pPr>
        <w:spacing w:after="40"/>
        <w:ind w:left="720" w:hanging="288"/>
      </w:pPr>
      <w:r>
        <w:t xml:space="preserve">•  </w:t>
      </w:r>
      <w:r>
        <w:t>All revisions must be approved by the QA Manager.</w:t>
      </w:r>
    </w:p>
    <w:p>
      <w:pPr>
        <w:keepNext/>
        <w:spacing w:before="280" w:after="120"/>
      </w:pPr>
      <w:r/>
      <w:r>
        <w:rPr>
          <w:b/>
          <w:color w:val="1F3763"/>
          <w:sz w:val="28"/>
        </w:rPr>
        <w:t>8. Appendices</w:t>
      </w:r>
    </w:p>
    <w:p>
      <w:pPr>
        <w:keepNext/>
        <w:spacing w:before="200" w:after="80"/>
        <w:ind w:left="360"/>
      </w:pPr>
      <w:r/>
      <w:r>
        <w:rPr>
          <w:b/>
          <w:sz w:val="24"/>
        </w:rPr>
        <w:t>Appendix A — Lab Finding Intake Form</w:t>
      </w:r>
    </w:p>
    <w:p>
      <w:pPr>
        <w:spacing w:after="120"/>
        <w:ind w:left="0"/>
      </w:pPr>
      <w:r>
        <w:t>The Lab Finding cover block, captured in the SJS Quality Management Asana task description on every LF:</w:t>
      </w:r>
    </w:p>
    <w:tbl>
      <w:tblPr>
        <w:tblW w:type="auto" w:w="0"/>
        <w:tblLayout w:type="fixed"/>
        <w:tblLook w:firstColumn="1" w:firstRow="1" w:lastColumn="0" w:lastRow="0" w:noHBand="0" w:noVBand="1" w:val="04A0"/>
      </w:tblPr>
      <w:tblGrid>
        <w:gridCol w:w="4680"/>
        <w:gridCol w:w="4680"/>
      </w:tblGrid>
      <w:tr>
        <w:tc>
          <w:tcPr>
            <w:tcW w:type="dxa" w:w="288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Field</w:t>
            </w:r>
          </w:p>
        </w:tc>
        <w:tc>
          <w:tcPr>
            <w:tcW w:type="dxa" w:w="648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Value</w:t>
            </w:r>
          </w:p>
        </w:tc>
      </w:tr>
      <w:tr>
        <w:tc>
          <w:tcPr>
            <w:tcW w:type="dxa" w:w="2880"/>
            <w:tcBorders>
              <w:top w:val="single" w:sz="4" w:color="BFBFBF"/>
              <w:left w:val="single" w:sz="4" w:color="BFBFBF"/>
              <w:bottom w:val="single" w:sz="4" w:color="BFBFBF"/>
              <w:right w:val="single" w:sz="4" w:color="BFBFBF"/>
            </w:tcBorders>
            <w:vAlign w:val="top"/>
          </w:tcPr>
          <w:p>
            <w:r/>
            <w:r>
              <w:rPr>
                <w:sz w:val="20"/>
              </w:rPr>
              <w:t>LF Number</w:t>
            </w:r>
          </w:p>
        </w:tc>
        <w:tc>
          <w:tcPr>
            <w:tcW w:type="dxa" w:w="6480"/>
            <w:tcBorders>
              <w:top w:val="single" w:sz="4" w:color="BFBFBF"/>
              <w:left w:val="single" w:sz="4" w:color="BFBFBF"/>
              <w:bottom w:val="single" w:sz="4" w:color="BFBFBF"/>
              <w:right w:val="single" w:sz="4" w:color="BFBFBF"/>
            </w:tcBorders>
            <w:vAlign w:val="top"/>
          </w:tcPr>
          <w:p>
            <w:r/>
            <w:r>
              <w:rPr>
                <w:sz w:val="20"/>
              </w:rPr>
              <w:t>LF-YYYY-NNN</w:t>
            </w:r>
          </w:p>
        </w:tc>
      </w:tr>
      <w:tr>
        <w:tc>
          <w:tcPr>
            <w:tcW w:type="dxa" w:w="2880"/>
            <w:tcBorders>
              <w:top w:val="single" w:sz="4" w:color="BFBFBF"/>
              <w:left w:val="single" w:sz="4" w:color="BFBFBF"/>
              <w:bottom w:val="single" w:sz="4" w:color="BFBFBF"/>
              <w:right w:val="single" w:sz="4" w:color="BFBFBF"/>
            </w:tcBorders>
            <w:vAlign w:val="top"/>
          </w:tcPr>
          <w:p>
            <w:r/>
            <w:r>
              <w:rPr>
                <w:sz w:val="20"/>
              </w:rPr>
              <w:t>Date opened</w:t>
            </w:r>
          </w:p>
        </w:tc>
        <w:tc>
          <w:tcPr>
            <w:tcW w:type="dxa" w:w="6480"/>
            <w:tcBorders>
              <w:top w:val="single" w:sz="4" w:color="BFBFBF"/>
              <w:left w:val="single" w:sz="4" w:color="BFBFBF"/>
              <w:bottom w:val="single" w:sz="4" w:color="BFBFBF"/>
              <w:right w:val="single" w:sz="4" w:color="BFBFBF"/>
            </w:tcBorders>
            <w:vAlign w:val="top"/>
          </w:tcPr>
          <w:p>
            <w:r/>
            <w:r>
              <w:rPr>
                <w:sz w:val="20"/>
              </w:rPr>
              <w:t>YYYY-MM-DD</w:t>
            </w:r>
          </w:p>
        </w:tc>
      </w:tr>
      <w:tr>
        <w:tc>
          <w:tcPr>
            <w:tcW w:type="dxa" w:w="2880"/>
            <w:tcBorders>
              <w:top w:val="single" w:sz="4" w:color="BFBFBF"/>
              <w:left w:val="single" w:sz="4" w:color="BFBFBF"/>
              <w:bottom w:val="single" w:sz="4" w:color="BFBFBF"/>
              <w:right w:val="single" w:sz="4" w:color="BFBFBF"/>
            </w:tcBorders>
            <w:vAlign w:val="top"/>
          </w:tcPr>
          <w:p>
            <w:r/>
            <w:r>
              <w:rPr>
                <w:sz w:val="20"/>
              </w:rPr>
              <w:t>Reporter</w:t>
            </w:r>
          </w:p>
        </w:tc>
        <w:tc>
          <w:tcPr>
            <w:tcW w:type="dxa" w:w="6480"/>
            <w:tcBorders>
              <w:top w:val="single" w:sz="4" w:color="BFBFBF"/>
              <w:left w:val="single" w:sz="4" w:color="BFBFBF"/>
              <w:bottom w:val="single" w:sz="4" w:color="BFBFBF"/>
              <w:right w:val="single" w:sz="4" w:color="BFBFBF"/>
            </w:tcBorders>
            <w:vAlign w:val="top"/>
          </w:tcPr>
          <w:p>
            <w:r/>
            <w:r>
              <w:rPr>
                <w:sz w:val="20"/>
              </w:rPr>
              <w:t>Name + role  |  Contract lab name</w:t>
            </w:r>
          </w:p>
        </w:tc>
      </w:tr>
      <w:tr>
        <w:tc>
          <w:tcPr>
            <w:tcW w:type="dxa" w:w="2880"/>
            <w:tcBorders>
              <w:top w:val="single" w:sz="4" w:color="BFBFBF"/>
              <w:left w:val="single" w:sz="4" w:color="BFBFBF"/>
              <w:bottom w:val="single" w:sz="4" w:color="BFBFBF"/>
              <w:right w:val="single" w:sz="4" w:color="BFBFBF"/>
            </w:tcBorders>
            <w:vAlign w:val="top"/>
          </w:tcPr>
          <w:p>
            <w:r/>
            <w:r>
              <w:rPr>
                <w:sz w:val="20"/>
              </w:rPr>
              <w:t>Procedure version</w:t>
            </w:r>
          </w:p>
        </w:tc>
        <w:tc>
          <w:tcPr>
            <w:tcW w:type="dxa" w:w="6480"/>
            <w:tcBorders>
              <w:top w:val="single" w:sz="4" w:color="BFBFBF"/>
              <w:left w:val="single" w:sz="4" w:color="BFBFBF"/>
              <w:bottom w:val="single" w:sz="4" w:color="BFBFBF"/>
              <w:right w:val="single" w:sz="4" w:color="BFBFBF"/>
            </w:tcBorders>
            <w:vAlign w:val="top"/>
          </w:tcPr>
          <w:p>
            <w:r/>
            <w:r>
              <w:rPr>
                <w:sz w:val="20"/>
              </w:rPr>
              <w:t>SKN-OPS-006 Rev.1 (effective 2026-05-08)</w:t>
            </w:r>
          </w:p>
        </w:tc>
      </w:tr>
      <w:tr>
        <w:tc>
          <w:tcPr>
            <w:tcW w:type="dxa" w:w="2880"/>
            <w:tcBorders>
              <w:top w:val="single" w:sz="4" w:color="BFBFBF"/>
              <w:left w:val="single" w:sz="4" w:color="BFBFBF"/>
              <w:bottom w:val="single" w:sz="4" w:color="BFBFBF"/>
              <w:right w:val="single" w:sz="4" w:color="BFBFBF"/>
            </w:tcBorders>
            <w:vAlign w:val="top"/>
          </w:tcPr>
          <w:p>
            <w:r/>
            <w:r>
              <w:rPr>
                <w:sz w:val="20"/>
              </w:rPr>
              <w:t>Classification</w:t>
            </w:r>
          </w:p>
        </w:tc>
        <w:tc>
          <w:tcPr>
            <w:tcW w:type="dxa" w:w="6480"/>
            <w:tcBorders>
              <w:top w:val="single" w:sz="4" w:color="BFBFBF"/>
              <w:left w:val="single" w:sz="4" w:color="BFBFBF"/>
              <w:bottom w:val="single" w:sz="4" w:color="BFBFBF"/>
              <w:right w:val="single" w:sz="4" w:color="BFBFBF"/>
            </w:tcBorders>
            <w:vAlign w:val="top"/>
          </w:tcPr>
          <w:p>
            <w:r/>
            <w:r>
              <w:rPr>
                <w:sz w:val="20"/>
              </w:rPr>
              <w:t>OOS  |  OOT  |  Incoming Defect  |  Pattern  |  In-Spec Flag</w:t>
            </w:r>
          </w:p>
        </w:tc>
      </w:tr>
      <w:tr>
        <w:tc>
          <w:tcPr>
            <w:tcW w:type="dxa" w:w="2880"/>
            <w:tcBorders>
              <w:top w:val="single" w:sz="4" w:color="BFBFBF"/>
              <w:left w:val="single" w:sz="4" w:color="BFBFBF"/>
              <w:bottom w:val="single" w:sz="4" w:color="BFBFBF"/>
              <w:right w:val="single" w:sz="4" w:color="BFBFBF"/>
            </w:tcBorders>
            <w:vAlign w:val="top"/>
          </w:tcPr>
          <w:p>
            <w:r/>
            <w:r>
              <w:rPr>
                <w:sz w:val="20"/>
              </w:rPr>
              <w:t>Severity</w:t>
            </w:r>
          </w:p>
        </w:tc>
        <w:tc>
          <w:tcPr>
            <w:tcW w:type="dxa" w:w="6480"/>
            <w:tcBorders>
              <w:top w:val="single" w:sz="4" w:color="BFBFBF"/>
              <w:left w:val="single" w:sz="4" w:color="BFBFBF"/>
              <w:bottom w:val="single" w:sz="4" w:color="BFBFBF"/>
              <w:right w:val="single" w:sz="4" w:color="BFBFBF"/>
            </w:tcBorders>
            <w:vAlign w:val="top"/>
          </w:tcPr>
          <w:p>
            <w:r/>
            <w:r>
              <w:rPr>
                <w:sz w:val="20"/>
              </w:rPr>
              <w:t>Critical  |  Major  |  Minor</w:t>
            </w:r>
          </w:p>
        </w:tc>
      </w:tr>
      <w:tr>
        <w:tc>
          <w:tcPr>
            <w:tcW w:type="dxa" w:w="2880"/>
            <w:tcBorders>
              <w:top w:val="single" w:sz="4" w:color="BFBFBF"/>
              <w:left w:val="single" w:sz="4" w:color="BFBFBF"/>
              <w:bottom w:val="single" w:sz="4" w:color="BFBFBF"/>
              <w:right w:val="single" w:sz="4" w:color="BFBFBF"/>
            </w:tcBorders>
            <w:vAlign w:val="top"/>
          </w:tcPr>
          <w:p>
            <w:r/>
            <w:r>
              <w:rPr>
                <w:sz w:val="20"/>
              </w:rPr>
              <w:t>Source</w:t>
            </w:r>
          </w:p>
        </w:tc>
        <w:tc>
          <w:tcPr>
            <w:tcW w:type="dxa" w:w="6480"/>
            <w:tcBorders>
              <w:top w:val="single" w:sz="4" w:color="BFBFBF"/>
              <w:left w:val="single" w:sz="4" w:color="BFBFBF"/>
              <w:bottom w:val="single" w:sz="4" w:color="BFBFBF"/>
              <w:right w:val="single" w:sz="4" w:color="BFBFBF"/>
            </w:tcBorders>
            <w:vAlign w:val="top"/>
          </w:tcPr>
          <w:p>
            <w:r/>
            <w:r>
              <w:rPr>
                <w:sz w:val="20"/>
              </w:rPr>
              <w:t>lab-OOS  |  lab-OOT  |  vendor-receipt  |  vendor-systemic  |  batch-pattern  |  COA-mismatch  |  internal-flag  |  direct-open</w:t>
            </w:r>
          </w:p>
        </w:tc>
      </w:tr>
      <w:tr>
        <w:tc>
          <w:tcPr>
            <w:tcW w:type="dxa" w:w="2880"/>
            <w:tcBorders>
              <w:top w:val="single" w:sz="4" w:color="BFBFBF"/>
              <w:left w:val="single" w:sz="4" w:color="BFBFBF"/>
              <w:bottom w:val="single" w:sz="4" w:color="BFBFBF"/>
              <w:right w:val="single" w:sz="4" w:color="BFBFBF"/>
            </w:tcBorders>
            <w:vAlign w:val="top"/>
          </w:tcPr>
          <w:p>
            <w:r/>
            <w:r>
              <w:rPr>
                <w:sz w:val="20"/>
              </w:rPr>
              <w:t>Linked Batch</w:t>
            </w:r>
          </w:p>
        </w:tc>
        <w:tc>
          <w:tcPr>
            <w:tcW w:type="dxa" w:w="6480"/>
            <w:tcBorders>
              <w:top w:val="single" w:sz="4" w:color="BFBFBF"/>
              <w:left w:val="single" w:sz="4" w:color="BFBFBF"/>
              <w:bottom w:val="single" w:sz="4" w:color="BFBFBF"/>
              <w:right w:val="single" w:sz="4" w:color="BFBFBF"/>
            </w:tcBorders>
            <w:vAlign w:val="top"/>
          </w:tcPr>
          <w:p>
            <w:r/>
            <w:r>
              <w:rPr>
                <w:sz w:val="20"/>
              </w:rPr>
              <w:t>PLM batch ID + link</w:t>
            </w:r>
          </w:p>
        </w:tc>
      </w:tr>
      <w:tr>
        <w:tc>
          <w:tcPr>
            <w:tcW w:type="dxa" w:w="2880"/>
            <w:tcBorders>
              <w:top w:val="single" w:sz="4" w:color="BFBFBF"/>
              <w:left w:val="single" w:sz="4" w:color="BFBFBF"/>
              <w:bottom w:val="single" w:sz="4" w:color="BFBFBF"/>
              <w:right w:val="single" w:sz="4" w:color="BFBFBF"/>
            </w:tcBorders>
            <w:vAlign w:val="top"/>
          </w:tcPr>
          <w:p>
            <w:r/>
            <w:r>
              <w:rPr>
                <w:sz w:val="20"/>
              </w:rPr>
              <w:t>Linked Vendor</w:t>
            </w:r>
          </w:p>
        </w:tc>
        <w:tc>
          <w:tcPr>
            <w:tcW w:type="dxa" w:w="6480"/>
            <w:tcBorders>
              <w:top w:val="single" w:sz="4" w:color="BFBFBF"/>
              <w:left w:val="single" w:sz="4" w:color="BFBFBF"/>
              <w:bottom w:val="single" w:sz="4" w:color="BFBFBF"/>
              <w:right w:val="single" w:sz="4" w:color="BFBFBF"/>
            </w:tcBorders>
            <w:vAlign w:val="top"/>
          </w:tcPr>
          <w:p>
            <w:r/>
            <w:r>
              <w:rPr>
                <w:sz w:val="20"/>
              </w:rPr>
              <w:t>Vendor name + Purchasing record link</w:t>
            </w:r>
          </w:p>
        </w:tc>
      </w:tr>
      <w:tr>
        <w:tc>
          <w:tcPr>
            <w:tcW w:type="dxa" w:w="2880"/>
            <w:tcBorders>
              <w:top w:val="single" w:sz="4" w:color="BFBFBF"/>
              <w:left w:val="single" w:sz="4" w:color="BFBFBF"/>
              <w:bottom w:val="single" w:sz="4" w:color="BFBFBF"/>
              <w:right w:val="single" w:sz="4" w:color="BFBFBF"/>
            </w:tcBorders>
            <w:vAlign w:val="top"/>
          </w:tcPr>
          <w:p>
            <w:r/>
            <w:r>
              <w:rPr>
                <w:sz w:val="20"/>
              </w:rPr>
              <w:t>Linked SKU</w:t>
            </w:r>
          </w:p>
        </w:tc>
        <w:tc>
          <w:tcPr>
            <w:tcW w:type="dxa" w:w="6480"/>
            <w:tcBorders>
              <w:top w:val="single" w:sz="4" w:color="BFBFBF"/>
              <w:left w:val="single" w:sz="4" w:color="BFBFBF"/>
              <w:bottom w:val="single" w:sz="4" w:color="BFBFBF"/>
              <w:right w:val="single" w:sz="4" w:color="BFBFBF"/>
            </w:tcBorders>
            <w:vAlign w:val="top"/>
          </w:tcPr>
          <w:p>
            <w:r/>
            <w:r>
              <w:rPr>
                <w:sz w:val="20"/>
              </w:rPr>
              <w:t>SKU code + name</w:t>
            </w:r>
          </w:p>
        </w:tc>
      </w:tr>
      <w:tr>
        <w:tc>
          <w:tcPr>
            <w:tcW w:type="dxa" w:w="2880"/>
            <w:tcBorders>
              <w:top w:val="single" w:sz="4" w:color="BFBFBF"/>
              <w:left w:val="single" w:sz="4" w:color="BFBFBF"/>
              <w:bottom w:val="single" w:sz="4" w:color="BFBFBF"/>
              <w:right w:val="single" w:sz="4" w:color="BFBFBF"/>
            </w:tcBorders>
            <w:vAlign w:val="top"/>
          </w:tcPr>
          <w:p>
            <w:r/>
            <w:r>
              <w:rPr>
                <w:sz w:val="20"/>
              </w:rPr>
              <w:t>PLM lab record</w:t>
            </w:r>
          </w:p>
        </w:tc>
        <w:tc>
          <w:tcPr>
            <w:tcW w:type="dxa" w:w="6480"/>
            <w:tcBorders>
              <w:top w:val="single" w:sz="4" w:color="BFBFBF"/>
              <w:left w:val="single" w:sz="4" w:color="BFBFBF"/>
              <w:bottom w:val="single" w:sz="4" w:color="BFBFBF"/>
              <w:right w:val="single" w:sz="4" w:color="BFBFBF"/>
            </w:tcBorders>
            <w:vAlign w:val="top"/>
          </w:tcPr>
          <w:p>
            <w:r/>
            <w:r>
              <w:rPr>
                <w:sz w:val="20"/>
              </w:rPr>
              <w:t>Link</w:t>
            </w:r>
          </w:p>
        </w:tc>
      </w:tr>
      <w:tr>
        <w:tc>
          <w:tcPr>
            <w:tcW w:type="dxa" w:w="2880"/>
            <w:tcBorders>
              <w:top w:val="single" w:sz="4" w:color="BFBFBF"/>
              <w:left w:val="single" w:sz="4" w:color="BFBFBF"/>
              <w:bottom w:val="single" w:sz="4" w:color="BFBFBF"/>
              <w:right w:val="single" w:sz="4" w:color="BFBFBF"/>
            </w:tcBorders>
            <w:vAlign w:val="top"/>
          </w:tcPr>
          <w:p>
            <w:r/>
            <w:r>
              <w:rPr>
                <w:sz w:val="20"/>
              </w:rPr>
              <w:t>Spec(s) affected</w:t>
            </w:r>
          </w:p>
        </w:tc>
        <w:tc>
          <w:tcPr>
            <w:tcW w:type="dxa" w:w="6480"/>
            <w:tcBorders>
              <w:top w:val="single" w:sz="4" w:color="BFBFBF"/>
              <w:left w:val="single" w:sz="4" w:color="BFBFBF"/>
              <w:bottom w:val="single" w:sz="4" w:color="BFBFBF"/>
              <w:right w:val="single" w:sz="4" w:color="BFBFBF"/>
            </w:tcBorders>
            <w:vAlign w:val="top"/>
          </w:tcPr>
          <w:p>
            <w:r/>
            <w:r>
              <w:rPr>
                <w:sz w:val="20"/>
              </w:rPr>
              <w:t>List</w:t>
            </w:r>
          </w:p>
        </w:tc>
      </w:tr>
      <w:tr>
        <w:tc>
          <w:tcPr>
            <w:tcW w:type="dxa" w:w="2880"/>
            <w:tcBorders>
              <w:top w:val="single" w:sz="4" w:color="BFBFBF"/>
              <w:left w:val="single" w:sz="4" w:color="BFBFBF"/>
              <w:bottom w:val="single" w:sz="4" w:color="BFBFBF"/>
              <w:right w:val="single" w:sz="4" w:color="BFBFBF"/>
            </w:tcBorders>
            <w:vAlign w:val="top"/>
          </w:tcPr>
          <w:p>
            <w:r/>
            <w:r>
              <w:rPr>
                <w:sz w:val="20"/>
              </w:rPr>
              <w:t>Result vs spec</w:t>
            </w:r>
          </w:p>
        </w:tc>
        <w:tc>
          <w:tcPr>
            <w:tcW w:type="dxa" w:w="6480"/>
            <w:tcBorders>
              <w:top w:val="single" w:sz="4" w:color="BFBFBF"/>
              <w:left w:val="single" w:sz="4" w:color="BFBFBF"/>
              <w:bottom w:val="single" w:sz="4" w:color="BFBFBF"/>
              <w:right w:val="single" w:sz="4" w:color="BFBFBF"/>
            </w:tcBorders>
            <w:vAlign w:val="top"/>
          </w:tcPr>
          <w:p>
            <w:r/>
            <w:r>
              <w:rPr>
                <w:sz w:val="20"/>
              </w:rPr>
              <w:t>Measured value(s) vs spec value(s)</w:t>
            </w:r>
          </w:p>
        </w:tc>
      </w:tr>
      <w:tr>
        <w:tc>
          <w:tcPr>
            <w:tcW w:type="dxa" w:w="2880"/>
            <w:tcBorders>
              <w:top w:val="single" w:sz="4" w:color="BFBFBF"/>
              <w:left w:val="single" w:sz="4" w:color="BFBFBF"/>
              <w:bottom w:val="single" w:sz="4" w:color="BFBFBF"/>
              <w:right w:val="single" w:sz="4" w:color="BFBFBF"/>
            </w:tcBorders>
            <w:vAlign w:val="top"/>
          </w:tcPr>
          <w:p>
            <w:r/>
            <w:r>
              <w:rPr>
                <w:sz w:val="20"/>
              </w:rPr>
              <w:t>Statement of finding</w:t>
            </w:r>
          </w:p>
        </w:tc>
        <w:tc>
          <w:tcPr>
            <w:tcW w:type="dxa" w:w="6480"/>
            <w:tcBorders>
              <w:top w:val="single" w:sz="4" w:color="BFBFBF"/>
              <w:left w:val="single" w:sz="4" w:color="BFBFBF"/>
              <w:bottom w:val="single" w:sz="4" w:color="BFBFBF"/>
              <w:right w:val="single" w:sz="4" w:color="BFBFBF"/>
            </w:tcBorders>
            <w:vAlign w:val="top"/>
          </w:tcPr>
          <w:p>
            <w:r/>
            <w:r>
              <w:rPr>
                <w:sz w:val="20"/>
              </w:rPr>
              <w:t>1–2 sentences — what was observed, when, on what</w:t>
            </w:r>
          </w:p>
        </w:tc>
      </w:tr>
      <w:tr>
        <w:tc>
          <w:tcPr>
            <w:tcW w:type="dxa" w:w="2880"/>
            <w:tcBorders>
              <w:top w:val="single" w:sz="4" w:color="BFBFBF"/>
              <w:left w:val="single" w:sz="4" w:color="BFBFBF"/>
              <w:bottom w:val="single" w:sz="4" w:color="BFBFBF"/>
              <w:right w:val="single" w:sz="4" w:color="BFBFBF"/>
            </w:tcBorders>
            <w:vAlign w:val="top"/>
          </w:tcPr>
          <w:p>
            <w:r/>
            <w:r>
              <w:rPr>
                <w:sz w:val="20"/>
              </w:rPr>
              <w:t>Containment recommendation</w:t>
            </w:r>
          </w:p>
        </w:tc>
        <w:tc>
          <w:tcPr>
            <w:tcW w:type="dxa" w:w="6480"/>
            <w:tcBorders>
              <w:top w:val="single" w:sz="4" w:color="BFBFBF"/>
              <w:left w:val="single" w:sz="4" w:color="BFBFBF"/>
              <w:bottom w:val="single" w:sz="4" w:color="BFBFBF"/>
              <w:right w:val="single" w:sz="4" w:color="BFBFBF"/>
            </w:tcBorders>
            <w:vAlign w:val="top"/>
          </w:tcPr>
          <w:p>
            <w:r/>
            <w:r>
              <w:rPr>
                <w:sz w:val="20"/>
              </w:rPr>
              <w:t>Hold  |  Quarantine  |  Retest only  |  No action</w:t>
            </w:r>
          </w:p>
        </w:tc>
      </w:tr>
      <w:tr>
        <w:tc>
          <w:tcPr>
            <w:tcW w:type="dxa" w:w="2880"/>
            <w:tcBorders>
              <w:top w:val="single" w:sz="4" w:color="BFBFBF"/>
              <w:left w:val="single" w:sz="4" w:color="BFBFBF"/>
              <w:bottom w:val="single" w:sz="4" w:color="BFBFBF"/>
              <w:right w:val="single" w:sz="4" w:color="BFBFBF"/>
            </w:tcBorders>
            <w:vAlign w:val="top"/>
          </w:tcPr>
          <w:p>
            <w:r/>
            <w:r>
              <w:rPr>
                <w:sz w:val="20"/>
              </w:rPr>
              <w:t>Containment rationale</w:t>
            </w:r>
          </w:p>
        </w:tc>
        <w:tc>
          <w:tcPr>
            <w:tcW w:type="dxa" w:w="6480"/>
            <w:tcBorders>
              <w:top w:val="single" w:sz="4" w:color="BFBFBF"/>
              <w:left w:val="single" w:sz="4" w:color="BFBFBF"/>
              <w:bottom w:val="single" w:sz="4" w:color="BFBFBF"/>
              <w:right w:val="single" w:sz="4" w:color="BFBFBF"/>
            </w:tcBorders>
            <w:vAlign w:val="top"/>
          </w:tcPr>
          <w:p>
            <w:r/>
            <w:r>
              <w:rPr>
                <w:sz w:val="20"/>
              </w:rPr>
              <w:t>Tied to severity and classification</w:t>
            </w:r>
          </w:p>
        </w:tc>
      </w:tr>
      <w:tr>
        <w:tc>
          <w:tcPr>
            <w:tcW w:type="dxa" w:w="2880"/>
            <w:tcBorders>
              <w:top w:val="single" w:sz="4" w:color="BFBFBF"/>
              <w:left w:val="single" w:sz="4" w:color="BFBFBF"/>
              <w:bottom w:val="single" w:sz="4" w:color="BFBFBF"/>
              <w:right w:val="single" w:sz="4" w:color="BFBFBF"/>
            </w:tcBorders>
            <w:vAlign w:val="top"/>
          </w:tcPr>
          <w:p>
            <w:r/>
            <w:r>
              <w:rPr>
                <w:sz w:val="20"/>
              </w:rPr>
              <w:t>Containment owner</w:t>
            </w:r>
          </w:p>
        </w:tc>
        <w:tc>
          <w:tcPr>
            <w:tcW w:type="dxa" w:w="6480"/>
            <w:tcBorders>
              <w:top w:val="single" w:sz="4" w:color="BFBFBF"/>
              <w:left w:val="single" w:sz="4" w:color="BFBFBF"/>
              <w:bottom w:val="single" w:sz="4" w:color="BFBFBF"/>
              <w:right w:val="single" w:sz="4" w:color="BFBFBF"/>
            </w:tcBorders>
            <w:vAlign w:val="top"/>
          </w:tcPr>
          <w:p>
            <w:r/>
            <w:r>
              <w:rPr>
                <w:sz w:val="20"/>
              </w:rPr>
              <w:t>Role + name</w:t>
            </w:r>
          </w:p>
        </w:tc>
      </w:tr>
    </w:tbl>
    <w:p/>
    <w:p>
      <w:pPr>
        <w:keepNext/>
        <w:spacing w:before="200" w:after="80"/>
        <w:ind w:left="360"/>
      </w:pPr>
      <w:r/>
      <w:r>
        <w:rPr>
          <w:b/>
          <w:sz w:val="24"/>
        </w:rPr>
        <w:t>Appendix B — Vendor Scorecard Signal Template</w:t>
      </w:r>
    </w:p>
    <w:p>
      <w:pPr>
        <w:spacing w:after="120"/>
        <w:ind w:left="0"/>
      </w:pPr>
      <w:r>
        <w:t>Posted as a comment on the relevant Purchasing record once a vendor flag is QA-Lead-approved. Purchasing owns the scorecard write; this procedure governs the signal format only.</w:t>
      </w:r>
    </w:p>
    <w:p>
      <w:pPr>
        <w:spacing w:after="120"/>
        <w:ind w:left="0"/>
      </w:pPr>
      <w:r>
        <w:t>Signal format:</w:t>
      </w:r>
    </w:p>
    <w:p>
      <w:pPr>
        <w:spacing w:after="0"/>
        <w:ind w:left="576"/>
      </w:pPr>
      <w:r>
        <w:rPr>
          <w:rFonts w:ascii="Consolas" w:hAnsi="Consolas"/>
          <w:sz w:val="19"/>
        </w:rPr>
        <w:t>[Vendor Scorecard Signal] from quality-lab-coordinator</w:t>
      </w:r>
    </w:p>
    <w:p>
      <w:pPr>
        <w:spacing w:after="0"/>
        <w:ind w:left="576"/>
      </w:pPr>
    </w:p>
    <w:p>
      <w:pPr>
        <w:spacing w:after="0"/>
        <w:ind w:left="576"/>
      </w:pPr>
      <w:r>
        <w:rPr>
          <w:rFonts w:ascii="Consolas" w:hAnsi="Consolas"/>
          <w:sz w:val="19"/>
        </w:rPr>
        <w:t>LF reference(s): LF-YYYY-NNN, LF-YYYY-NNN, …</w:t>
      </w:r>
    </w:p>
    <w:p>
      <w:pPr>
        <w:spacing w:after="0"/>
        <w:ind w:left="576"/>
      </w:pPr>
      <w:r>
        <w:rPr>
          <w:rFonts w:ascii="Consolas" w:hAnsi="Consolas"/>
          <w:sz w:val="19"/>
        </w:rPr>
        <w:t>Pattern type: Vendor cluster | SKU cluster | Spec cluster | Severity-weighted</w:t>
      </w:r>
    </w:p>
    <w:p>
      <w:pPr>
        <w:spacing w:after="0"/>
        <w:ind w:left="576"/>
      </w:pPr>
      <w:r>
        <w:rPr>
          <w:rFonts w:ascii="Consolas" w:hAnsi="Consolas"/>
          <w:sz w:val="19"/>
        </w:rPr>
        <w:t>Window: 60 / 90 days, or 12 months for severity-weighted</w:t>
      </w:r>
    </w:p>
    <w:p>
      <w:pPr>
        <w:spacing w:after="0"/>
        <w:ind w:left="576"/>
      </w:pPr>
    </w:p>
    <w:p>
      <w:pPr>
        <w:spacing w:after="0"/>
        <w:ind w:left="576"/>
      </w:pPr>
      <w:r>
        <w:rPr>
          <w:rFonts w:ascii="Consolas" w:hAnsi="Consolas"/>
          <w:sz w:val="19"/>
        </w:rPr>
        <w:t>Findings summary:</w:t>
      </w:r>
    </w:p>
    <w:p>
      <w:pPr>
        <w:spacing w:after="0"/>
        <w:ind w:left="576"/>
      </w:pPr>
      <w:r>
        <w:rPr>
          <w:rFonts w:ascii="Consolas" w:hAnsi="Consolas"/>
          <w:sz w:val="19"/>
        </w:rPr>
        <w:t xml:space="preserve">  – LF-YYYY-NNN | YYYY-MM-DD | [SKU] | [batch] | [classification + severity] | [one-line statement]</w:t>
      </w:r>
    </w:p>
    <w:p>
      <w:pPr>
        <w:spacing w:after="0"/>
        <w:ind w:left="576"/>
      </w:pPr>
      <w:r>
        <w:rPr>
          <w:rFonts w:ascii="Consolas" w:hAnsi="Consolas"/>
          <w:sz w:val="19"/>
        </w:rPr>
        <w:t xml:space="preserve">  – LF-YYYY-NNN | …</w:t>
      </w:r>
    </w:p>
    <w:p>
      <w:pPr>
        <w:spacing w:after="0"/>
        <w:ind w:left="576"/>
      </w:pPr>
    </w:p>
    <w:p>
      <w:pPr>
        <w:spacing w:after="0"/>
        <w:ind w:left="576"/>
      </w:pPr>
      <w:r>
        <w:rPr>
          <w:rFonts w:ascii="Consolas" w:hAnsi="Consolas"/>
          <w:sz w:val="19"/>
        </w:rPr>
        <w:t>Proposed scorecard impact:</w:t>
      </w:r>
    </w:p>
    <w:p>
      <w:pPr>
        <w:spacing w:after="0"/>
        <w:ind w:left="576"/>
      </w:pPr>
      <w:r>
        <w:rPr>
          <w:rFonts w:ascii="Consolas" w:hAnsi="Consolas"/>
          <w:sz w:val="19"/>
        </w:rPr>
        <w:t xml:space="preserve">  – Category: Lead time | Fill rate | Defect rate | Documentation reliability | Multiple</w:t>
      </w:r>
    </w:p>
    <w:p>
      <w:pPr>
        <w:spacing w:after="0"/>
        <w:ind w:left="576"/>
      </w:pPr>
      <w:r>
        <w:rPr>
          <w:rFonts w:ascii="Consolas" w:hAnsi="Consolas"/>
          <w:sz w:val="19"/>
        </w:rPr>
        <w:t xml:space="preserve">  – Severity of impact: Note | Caution | Performance review trigger</w:t>
      </w:r>
    </w:p>
    <w:p>
      <w:pPr>
        <w:spacing w:after="0"/>
        <w:ind w:left="576"/>
      </w:pPr>
      <w:r>
        <w:rPr>
          <w:rFonts w:ascii="Consolas" w:hAnsi="Consolas"/>
          <w:sz w:val="19"/>
        </w:rPr>
        <w:t xml:space="preserve">  – Reasoning: 1–2 sentences tying the LFs to the proposed category</w:t>
      </w:r>
    </w:p>
    <w:p>
      <w:pPr>
        <w:spacing w:after="0"/>
        <w:ind w:left="576"/>
      </w:pPr>
    </w:p>
    <w:p>
      <w:pPr>
        <w:spacing w:after="0"/>
        <w:ind w:left="576"/>
      </w:pPr>
      <w:r>
        <w:rPr>
          <w:rFonts w:ascii="Consolas" w:hAnsi="Consolas"/>
          <w:sz w:val="19"/>
        </w:rPr>
        <w:t>Suggested next step for Purchasing: e.g., "Update [vendor] defect rate in Q[X] scorecard."</w:t>
      </w:r>
    </w:p>
    <w:p>
      <w:pPr>
        <w:spacing w:after="0"/>
        <w:ind w:left="576"/>
      </w:pPr>
    </w:p>
    <w:p>
      <w:pPr>
        <w:spacing w:after="0"/>
        <w:ind w:left="576"/>
      </w:pPr>
      <w:r>
        <w:rPr>
          <w:rFonts w:ascii="Consolas" w:hAnsi="Consolas"/>
          <w:sz w:val="19"/>
        </w:rPr>
        <w:t>Containment status: each LF's containment confirmed or closed</w:t>
      </w:r>
    </w:p>
    <w:p>
      <w:pPr>
        <w:spacing w:after="0"/>
        <w:ind w:left="576"/>
      </w:pPr>
      <w:r>
        <w:rPr>
          <w:rFonts w:ascii="Consolas" w:hAnsi="Consolas"/>
          <w:sz w:val="19"/>
        </w:rPr>
        <w:t>No CAPA opened OR CAPA-YYYY-NNN opened/closed</w:t>
      </w:r>
    </w:p>
    <w:p>
      <w:pPr>
        <w:spacing w:after="0"/>
        <w:ind w:left="576"/>
      </w:pPr>
    </w:p>
    <w:p>
      <w:pPr>
        <w:spacing w:after="0"/>
        <w:ind w:left="576"/>
      </w:pPr>
      <w:r>
        <w:rPr>
          <w:rFonts w:ascii="Consolas" w:hAnsi="Consolas"/>
          <w:sz w:val="19"/>
        </w:rPr>
        <w:t>QA Lead approval: role + name | YYYY-MM-DD HH:MM</w:t>
      </w:r>
    </w:p>
    <w:p>
      <w:pPr>
        <w:spacing w:after="0"/>
        <w:ind w:left="576"/>
      </w:pPr>
      <w:r>
        <w:rPr>
          <w:rFonts w:ascii="Consolas" w:hAnsi="Consolas"/>
          <w:sz w:val="19"/>
        </w:rPr>
        <w:t>Lab finding tasks: Asana links to each LF</w:t>
      </w:r>
    </w:p>
    <w:p/>
    <w:p>
      <w:pPr>
        <w:spacing w:after="120"/>
        <w:ind w:left="0"/>
      </w:pPr>
      <w:r>
        <w:t>Severity-of-impact bands — proposed by quality-lab-coordinator, calibrated by Purchasing:</w:t>
      </w:r>
    </w:p>
    <w:p>
      <w:pPr>
        <w:spacing w:after="40"/>
        <w:ind w:left="720" w:hanging="288"/>
      </w:pPr>
      <w:r>
        <w:t xml:space="preserve">•  </w:t>
      </w:r>
      <w:r>
        <w:t>Note — single LF or marginal pattern. Logged for next quarterly scorecard refresh.</w:t>
      </w:r>
    </w:p>
    <w:p>
      <w:pPr>
        <w:spacing w:after="40"/>
        <w:ind w:left="720" w:hanging="288"/>
      </w:pPr>
      <w:r>
        <w:t xml:space="preserve">•  </w:t>
      </w:r>
      <w:r>
        <w:t>Caution — pattern is real and needs visibility. Surfaces in next monthly scorecard view.</w:t>
      </w:r>
    </w:p>
    <w:p>
      <w:pPr>
        <w:spacing w:after="40"/>
        <w:ind w:left="720" w:hanging="288"/>
      </w:pPr>
      <w:r>
        <w:t xml:space="preserve">•  </w:t>
      </w:r>
      <w:r>
        <w:t>Performance review trigger — pattern crosses a scorecard threshold and warrants a vendor conversation per Purchasing's renewal/dispute logic.</w:t>
      </w:r>
    </w:p>
    <w:p>
      <w:pPr>
        <w:keepNext/>
        <w:spacing w:before="200" w:after="80"/>
        <w:ind w:left="360"/>
      </w:pPr>
      <w:r/>
      <w:r>
        <w:rPr>
          <w:b/>
          <w:sz w:val="24"/>
        </w:rPr>
        <w:t>Appendix C — Pattern Analysis Thresholds</w:t>
      </w:r>
    </w:p>
    <w:p>
      <w:pPr>
        <w:spacing w:after="120"/>
        <w:ind w:left="0"/>
      </w:pPr>
      <w:r>
        <w:t>Reproduces §5.2 thresholds for quick reference.</w:t>
      </w:r>
    </w:p>
    <w:tbl>
      <w:tblPr>
        <w:tblW w:type="auto" w:w="0"/>
        <w:tblLayout w:type="fixed"/>
        <w:tblLook w:firstColumn="1" w:firstRow="1" w:lastColumn="0" w:lastRow="0" w:noHBand="0" w:noVBand="1" w:val="04A0"/>
      </w:tblPr>
      <w:tblGrid>
        <w:gridCol w:w="4680"/>
        <w:gridCol w:w="4680"/>
      </w:tblGrid>
      <w:tr>
        <w:tc>
          <w:tcPr>
            <w:tcW w:type="dxa" w:w="360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Pattern type</w:t>
            </w:r>
          </w:p>
        </w:tc>
        <w:tc>
          <w:tcPr>
            <w:tcW w:type="dxa" w:w="576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Threshold</w:t>
            </w:r>
          </w:p>
        </w:tc>
      </w:tr>
      <w:tr>
        <w:tc>
          <w:tcPr>
            <w:tcW w:type="dxa" w:w="3600"/>
            <w:tcBorders>
              <w:top w:val="single" w:sz="4" w:color="BFBFBF"/>
              <w:left w:val="single" w:sz="4" w:color="BFBFBF"/>
              <w:bottom w:val="single" w:sz="4" w:color="BFBFBF"/>
              <w:right w:val="single" w:sz="4" w:color="BFBFBF"/>
            </w:tcBorders>
            <w:vAlign w:val="top"/>
          </w:tcPr>
          <w:p>
            <w:r/>
            <w:r>
              <w:rPr>
                <w:sz w:val="20"/>
              </w:rPr>
              <w:t>Vendor cluster</w:t>
            </w:r>
          </w:p>
        </w:tc>
        <w:tc>
          <w:tcPr>
            <w:tcW w:type="dxa" w:w="5760"/>
            <w:tcBorders>
              <w:top w:val="single" w:sz="4" w:color="BFBFBF"/>
              <w:left w:val="single" w:sz="4" w:color="BFBFBF"/>
              <w:bottom w:val="single" w:sz="4" w:color="BFBFBF"/>
              <w:right w:val="single" w:sz="4" w:color="BFBFBF"/>
            </w:tcBorders>
            <w:vAlign w:val="top"/>
          </w:tcPr>
          <w:p>
            <w:r/>
            <w:r>
              <w:rPr>
                <w:sz w:val="20"/>
              </w:rPr>
              <w:t>3+ LFs on the same vendor within 90 days, regardless of SKU</w:t>
            </w:r>
          </w:p>
        </w:tc>
      </w:tr>
      <w:tr>
        <w:tc>
          <w:tcPr>
            <w:tcW w:type="dxa" w:w="3600"/>
            <w:tcBorders>
              <w:top w:val="single" w:sz="4" w:color="BFBFBF"/>
              <w:left w:val="single" w:sz="4" w:color="BFBFBF"/>
              <w:bottom w:val="single" w:sz="4" w:color="BFBFBF"/>
              <w:right w:val="single" w:sz="4" w:color="BFBFBF"/>
            </w:tcBorders>
            <w:vAlign w:val="top"/>
          </w:tcPr>
          <w:p>
            <w:r/>
            <w:r>
              <w:rPr>
                <w:sz w:val="20"/>
              </w:rPr>
              <w:t>SKU cluster on single vendor</w:t>
            </w:r>
          </w:p>
        </w:tc>
        <w:tc>
          <w:tcPr>
            <w:tcW w:type="dxa" w:w="5760"/>
            <w:tcBorders>
              <w:top w:val="single" w:sz="4" w:color="BFBFBF"/>
              <w:left w:val="single" w:sz="4" w:color="BFBFBF"/>
              <w:bottom w:val="single" w:sz="4" w:color="BFBFBF"/>
              <w:right w:val="single" w:sz="4" w:color="BFBFBF"/>
            </w:tcBorders>
            <w:vAlign w:val="top"/>
          </w:tcPr>
          <w:p>
            <w:r/>
            <w:r>
              <w:rPr>
                <w:sz w:val="20"/>
              </w:rPr>
              <w:t>2+ LFs on the same SKU + same vendor within 90 days</w:t>
            </w:r>
          </w:p>
        </w:tc>
      </w:tr>
      <w:tr>
        <w:tc>
          <w:tcPr>
            <w:tcW w:type="dxa" w:w="3600"/>
            <w:tcBorders>
              <w:top w:val="single" w:sz="4" w:color="BFBFBF"/>
              <w:left w:val="single" w:sz="4" w:color="BFBFBF"/>
              <w:bottom w:val="single" w:sz="4" w:color="BFBFBF"/>
              <w:right w:val="single" w:sz="4" w:color="BFBFBF"/>
            </w:tcBorders>
            <w:vAlign w:val="top"/>
          </w:tcPr>
          <w:p>
            <w:r/>
            <w:r>
              <w:rPr>
                <w:sz w:val="20"/>
              </w:rPr>
              <w:t>Spec cluster</w:t>
            </w:r>
          </w:p>
        </w:tc>
        <w:tc>
          <w:tcPr>
            <w:tcW w:type="dxa" w:w="5760"/>
            <w:tcBorders>
              <w:top w:val="single" w:sz="4" w:color="BFBFBF"/>
              <w:left w:val="single" w:sz="4" w:color="BFBFBF"/>
              <w:bottom w:val="single" w:sz="4" w:color="BFBFBF"/>
              <w:right w:val="single" w:sz="4" w:color="BFBFBF"/>
            </w:tcBorders>
            <w:vAlign w:val="top"/>
          </w:tcPr>
          <w:p>
            <w:r/>
            <w:r>
              <w:rPr>
                <w:sz w:val="20"/>
              </w:rPr>
              <w:t>3+ LFs on the same spec across any vendor or SKU within 60 days</w:t>
            </w:r>
          </w:p>
        </w:tc>
      </w:tr>
      <w:tr>
        <w:tc>
          <w:tcPr>
            <w:tcW w:type="dxa" w:w="3600"/>
            <w:tcBorders>
              <w:top w:val="single" w:sz="4" w:color="BFBFBF"/>
              <w:left w:val="single" w:sz="4" w:color="BFBFBF"/>
              <w:bottom w:val="single" w:sz="4" w:color="BFBFBF"/>
              <w:right w:val="single" w:sz="4" w:color="BFBFBF"/>
            </w:tcBorders>
            <w:vAlign w:val="top"/>
          </w:tcPr>
          <w:p>
            <w:r/>
            <w:r>
              <w:rPr>
                <w:sz w:val="20"/>
              </w:rPr>
              <w:t>Severity weighted</w:t>
            </w:r>
          </w:p>
        </w:tc>
        <w:tc>
          <w:tcPr>
            <w:tcW w:type="dxa" w:w="5760"/>
            <w:tcBorders>
              <w:top w:val="single" w:sz="4" w:color="BFBFBF"/>
              <w:left w:val="single" w:sz="4" w:color="BFBFBF"/>
              <w:bottom w:val="single" w:sz="4" w:color="BFBFBF"/>
              <w:right w:val="single" w:sz="4" w:color="BFBFBF"/>
            </w:tcBorders>
            <w:vAlign w:val="top"/>
          </w:tcPr>
          <w:p>
            <w:r/>
            <w:r>
              <w:rPr>
                <w:sz w:val="20"/>
              </w:rPr>
              <w:t>Any 1 Critical or 2 Major LFs on the same vendor in 12 months</w:t>
            </w:r>
          </w:p>
        </w:tc>
      </w:tr>
    </w:tbl>
    <w:p/>
    <w:p>
      <w:pPr>
        <w:keepNext/>
        <w:spacing w:before="280" w:after="120"/>
      </w:pPr>
      <w:r/>
      <w:r>
        <w:rPr>
          <w:b/>
          <w:color w:val="1F3763"/>
          <w:sz w:val="28"/>
        </w:rPr>
        <w:t>9. Revision History</w:t>
      </w:r>
    </w:p>
    <w:tbl>
      <w:tblPr>
        <w:tblW w:type="auto" w:w="0"/>
        <w:tblLayout w:type="fixed"/>
        <w:tblLook w:firstColumn="1" w:firstRow="1" w:lastColumn="0" w:lastRow="0" w:noHBand="0" w:noVBand="1" w:val="04A0"/>
      </w:tblPr>
      <w:tblGrid>
        <w:gridCol w:w="3120"/>
        <w:gridCol w:w="3120"/>
        <w:gridCol w:w="3120"/>
      </w:tblGrid>
      <w:tr>
        <w:tc>
          <w:tcPr>
            <w:tcW w:type="dxa" w:w="144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Revision</w:t>
            </w:r>
          </w:p>
        </w:tc>
        <w:tc>
          <w:tcPr>
            <w:tcW w:type="dxa" w:w="216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Effective Date</w:t>
            </w:r>
          </w:p>
        </w:tc>
        <w:tc>
          <w:tcPr>
            <w:tcW w:type="dxa" w:w="5760"/>
            <w:shd w:val="clear" w:color="auto" w:fill="1F3763"/>
            <w:tcBorders>
              <w:top w:val="single" w:sz="4" w:color="BFBFBF"/>
              <w:left w:val="single" w:sz="4" w:color="BFBFBF"/>
              <w:bottom w:val="single" w:sz="4" w:color="BFBFBF"/>
              <w:right w:val="single" w:sz="4" w:color="BFBFBF"/>
            </w:tcBorders>
            <w:vAlign w:val="center"/>
          </w:tcPr>
          <w:p>
            <w:r/>
            <w:r>
              <w:rPr>
                <w:b/>
                <w:color w:val="FFFFFF"/>
                <w:sz w:val="20"/>
              </w:rPr>
              <w:t>Notes</w:t>
            </w:r>
          </w:p>
        </w:tc>
      </w:tr>
      <w:tr>
        <w:tc>
          <w:tcPr>
            <w:tcW w:type="dxa" w:w="1440"/>
            <w:tcBorders>
              <w:top w:val="single" w:sz="4" w:color="BFBFBF"/>
              <w:left w:val="single" w:sz="4" w:color="BFBFBF"/>
              <w:bottom w:val="single" w:sz="4" w:color="BFBFBF"/>
              <w:right w:val="single" w:sz="4" w:color="BFBFBF"/>
            </w:tcBorders>
            <w:vAlign w:val="top"/>
          </w:tcPr>
          <w:p>
            <w:r/>
            <w:r>
              <w:rPr>
                <w:sz w:val="20"/>
              </w:rPr>
              <w:t>1.0</w:t>
            </w:r>
          </w:p>
        </w:tc>
        <w:tc>
          <w:tcPr>
            <w:tcW w:type="dxa" w:w="2160"/>
            <w:tcBorders>
              <w:top w:val="single" w:sz="4" w:color="BFBFBF"/>
              <w:left w:val="single" w:sz="4" w:color="BFBFBF"/>
              <w:bottom w:val="single" w:sz="4" w:color="BFBFBF"/>
              <w:right w:val="single" w:sz="4" w:color="BFBFBF"/>
            </w:tcBorders>
            <w:vAlign w:val="top"/>
          </w:tcPr>
          <w:p>
            <w:r/>
            <w:r>
              <w:rPr>
                <w:sz w:val="20"/>
              </w:rPr>
              <w:t>2026-05-08</w:t>
            </w:r>
          </w:p>
        </w:tc>
        <w:tc>
          <w:tcPr>
            <w:tcW w:type="dxa" w:w="5760"/>
            <w:tcBorders>
              <w:top w:val="single" w:sz="4" w:color="BFBFBF"/>
              <w:left w:val="single" w:sz="4" w:color="BFBFBF"/>
              <w:bottom w:val="single" w:sz="4" w:color="BFBFBF"/>
              <w:right w:val="single" w:sz="4" w:color="BFBFBF"/>
            </w:tcBorders>
            <w:vAlign w:val="top"/>
          </w:tcPr>
          <w:p>
            <w:r/>
            <w:r>
              <w:rPr>
                <w:sz w:val="20"/>
              </w:rPr>
              <w:t>Initial ratification.</w:t>
            </w:r>
          </w:p>
        </w:tc>
      </w:tr>
    </w:tbl>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color w:val="555555"/>
        <w:sz w:val="18"/>
      </w:rPr>
      <w:t xml:space="preserve">Lab Quality Procedure  |  Standard Operating Procedure (SOP)  |  LAB_SKN-OPS-006 Rev.1     </w:t>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