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Full Translation Pipeline — Complete User Guide</w:t>
      </w:r>
    </w:p>
    <w:p>
      <w:r>
        <w:t>The Full Translation Pipeline is a real-time, low-latency speech-to-speech translation platform built using WebRTC and FastAPI. The application streams raw 16kHz audio from a browser microphone into a server-side Voice Activity Detection (VAD) engine. Once speech is detected, the audio window is processed sequentially through Automatic Speech Recognition (ASR), Machine Translation, and Text-to-Speech (TTS) synthesis, returning synchronized speech audio out loud back to the web application.</w:t>
      </w:r>
    </w:p>
    <w:p>
      <w:pPr>
        <w:pStyle w:val="Heading1"/>
      </w:pPr>
      <w:r>
        <w:t>1. System Architecture and Network Infrastructure</w:t>
      </w:r>
    </w:p>
    <w:p>
      <w:r>
        <w:t>The system architecture consists of a Python FastAPI application server communicating over WebRTC peer connections. The backend service is hosted on your company server at IP address 74.2.96.26 on port 30001, which handles WebRTC /offer negotiations, data channels, and pipeline execution. Cloud-based model inference is powered by ByteCompute AI-as-a-Service at https://us-01.bytecompute.ai/v1 using your dedicated API key. Additional dedicated neural models run directly on company server ports.</w:t>
      </w:r>
    </w:p>
    <w:p>
      <w:pPr>
        <w:pStyle w:val="Heading1"/>
      </w:pPr>
      <w:r>
        <w:t>2. Supported Models and Routing Configuration</w:t>
      </w:r>
    </w:p>
    <w:p>
      <w:r>
        <w:t>The pipeline enforces strict single-model routing without background fallbacks, ensuring that whichever model you select in the frontend user interface is the only model pinged for that processing stage. For Automatic Speech Recognition (ASR), the application supports Whisper Large V3 (openai/whisper-large-v3) via the ByteCompute API as the primary default, Gemma 4 E4B (gemma-4-E4B-it), and Cohere ASR on port 31234. Machine Translation is handled by Gemma 4 E4B on the ByteCompute API as default, Hy-MT2-1.8B on port 32232, CAT-Translate-3.3B, and Qwen3-8B.</w:t>
      </w:r>
    </w:p>
    <w:p>
      <w:r>
        <w:t>Text-to-Speech (TTS) synthesis features Kokoro-82M on port 31241 as the primary ultra-low latency default (~100 to 200 milliseconds CPU inference). Other available TTS models include Higgs Speech V3 (bytecompute/higgs-speech-v3) on the ByteCompute API, Higgs-TTS-v3 on port 31250 with zero-shot voice cloning using pre-cached reference audio (reference.wav), Moss-TTS-v1.5 on port 31240, and Higgs Audio V2.5.</w:t>
      </w:r>
    </w:p>
    <w:p>
      <w:pPr>
        <w:pStyle w:val="Heading1"/>
      </w:pPr>
      <w:r>
        <w:t>3. Launching and Deployment Options</w:t>
      </w:r>
    </w:p>
    <w:p>
      <w:r>
        <w:t>To deploy the application on your company server (74.2.96.26) on port 30001, navigate into the live_translator_starter directory and launch Uvicorn using: uvicorn server.app.main:app --host 0.0.0.0 --port 30001. For continuous background execution on the server, run: nohup uvicorn server.app.main:app --host 0.0.0.0 --port 30001 &gt; server.log 2&gt;&amp;1 &amp;. When Uvicorn starts, FastAPI mounts the static frontend files directly at the root route (/), making the entire platform accessible remotely at http://74.2.96.26:30001/.</w:t>
      </w:r>
    </w:p>
    <w:p>
      <w:pPr>
        <w:pStyle w:val="Heading1"/>
      </w:pPr>
      <w:r>
        <w:t>4. Step-by-Step User Workflow</w:t>
      </w:r>
    </w:p>
    <w:p>
      <w:r>
        <w:t>To start a live translation session, open http://74.2.96.26:30001/ in your web browser. Select your input Source Language (such as Spanish) and output Target Language (such as English). Next, select your preferred ASR model (Whisper Large V3), Translation model (Gemma 4 E4B), and TTS model (Kokoro-82M on port 31241). Uncheck the browser TTS offline fallback checkbox to ensure synthesized model audio plays directly from the backend. Click Start Session and grant microphone permission when prompted. Speak into your microphone, and translated speech will stream out loud automatically.</w:t>
      </w:r>
    </w:p>
    <w:p>
      <w:pPr>
        <w:pStyle w:val="Heading1"/>
      </w:pPr>
      <w:r>
        <w:t>5. Real-Time Performance Metrics and Log Inspection</w:t>
      </w:r>
    </w:p>
    <w:p>
      <w:r>
        <w:t>The event log window provides real-time diagnostic latency breakdowns for every sentence translated. You will see metrics formatted as [ASR: Xms | Trans: Yms | TTFT: Zms | TTS: Wms | TTFA: Vms]. ASR measures speech recognition time, Trans measures LLM translation time, TTFT (Time To First Text) represents total text availability time, TTS measures speech synthesis duration, and TTFA (Time To First Audio) represents the exact total elapsed time from when you finish speaking until speech audio begins playing out loud.</w:t>
      </w:r>
    </w:p>
    <w:p>
      <w:pPr>
        <w:pStyle w:val="Heading1"/>
      </w:pPr>
      <w:r>
        <w:t>6. Safeguards and Troubleshooting</w:t>
      </w:r>
    </w:p>
    <w:p>
      <w:r>
        <w:t>Modern web browsers disable microphone access on unencrypted HTTP remote IP addresses, which can cause a getUserMedia error. To enable microphone access for remote testing, open chrome://flags/#unsafely-treat-insecure-origin-as-secure in Google Chrome, enable the flag, add http://74.2.96.26:30001, and click Relaunch. Alternatively, launch Uvicorn with SSL (https://74.2.96.26:30001) to enable native browser microphone permissions. Additionally, the backend includes an automated hallucination filter in stable_buffer.py that strips out quiet or silent ASR artifacts (such as standalone gracias, suscríbete, or thanks for watching) before translation, ensuring clean, artifact-free speech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