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mo-06-dual-scene-fusion---用户手册"/>
    <w:p>
      <w:pPr>
        <w:pStyle w:val="Heading1"/>
      </w:pPr>
      <w:r>
        <w:t xml:space="preserve">Demo-06: Dual Scene Fusion - 用户手册</w:t>
      </w:r>
    </w:p>
    <w:bookmarkStart w:id="20" w:name="简介"/>
    <w:p>
      <w:pPr>
        <w:pStyle w:val="Heading2"/>
      </w:pPr>
      <w:r>
        <w:t xml:space="preserve">1. 简介</w:t>
      </w:r>
    </w:p>
    <w:p>
      <w:pPr>
        <w:pStyle w:val="FirstParagraph"/>
      </w:pPr>
      <w:r>
        <w:t xml:space="preserve">本 Demo 是整个系统的一个重要里程碑。它成功将传统的倾斜摄影模型（OSGB，基于 Qt3D 渲染）与最新的 3D Gaussian Splatting 模型（3DGS，基于原生 OpenGL 渲染）无缝融合在一个界面中，并接入了无人机真实 MAVLink 遥测数据。用户可以在双视口中同步观察无人机在宏观城市环境和微观高保真环境中的飞行状态。</w:t>
      </w:r>
    </w:p>
    <w:bookmarkEnd w:id="20"/>
    <w:bookmarkStart w:id="21" w:name="系统要求"/>
    <w:p>
      <w:pPr>
        <w:pStyle w:val="Heading2"/>
      </w:pPr>
      <w:r>
        <w:t xml:space="preserve">2. 系统要求</w:t>
      </w:r>
    </w:p>
    <w:p>
      <w:pPr>
        <w:numPr>
          <w:ilvl w:val="0"/>
          <w:numId w:val="1001"/>
        </w:numPr>
        <w:pStyle w:val="Compact"/>
      </w:pPr>
      <w:r>
        <w:t xml:space="preserve">操作系统：Ubuntu 20.04/22.04/24.04</w:t>
      </w:r>
    </w:p>
    <w:p>
      <w:pPr>
        <w:numPr>
          <w:ilvl w:val="0"/>
          <w:numId w:val="1001"/>
        </w:numPr>
        <w:pStyle w:val="Compact"/>
      </w:pPr>
      <w:r>
        <w:t xml:space="preserve">依赖环境：Qt 5.15+ (包含 Qt3D)、OpenGL 4.3+</w:t>
      </w:r>
    </w:p>
    <w:p>
      <w:pPr>
        <w:numPr>
          <w:ilvl w:val="0"/>
          <w:numId w:val="1001"/>
        </w:numPr>
        <w:pStyle w:val="Compact"/>
      </w:pPr>
      <w:r>
        <w:t xml:space="preserve">硬件要求：</w:t>
      </w:r>
      <w:r>
        <w:rPr>
          <w:bCs/>
          <w:b/>
        </w:rPr>
        <w:t xml:space="preserve">必须配备独立显卡</w:t>
      </w:r>
      <w:r>
        <w:t xml:space="preserve">（支持 Compute Shader），推荐显存 4GB 以上。</w:t>
      </w:r>
    </w:p>
    <w:bookmarkEnd w:id="21"/>
    <w:bookmarkStart w:id="24" w:name="安装与运行"/>
    <w:p>
      <w:pPr>
        <w:pStyle w:val="Heading2"/>
      </w:pPr>
      <w:r>
        <w:t xml:space="preserve">3. 安装与运行</w:t>
      </w:r>
    </w:p>
    <w:bookmarkStart w:id="22" w:name="一键安装"/>
    <w:p>
      <w:pPr>
        <w:pStyle w:val="Heading3"/>
      </w:pPr>
      <w:r>
        <w:t xml:space="preserve">3.1 一键安装</w:t>
      </w:r>
    </w:p>
    <w:p>
      <w:pPr>
        <w:pStyle w:val="FirstParagraph"/>
      </w:pPr>
      <w:r>
        <w:t xml:space="preserve">在项目根目录或本目录下执行安装脚本：</w:t>
      </w:r>
    </w:p>
    <w:p>
      <w:pPr>
        <w:pStyle w:val="SourceCode"/>
      </w:pPr>
      <w:r>
        <w:rPr>
          <w:rStyle w:val="ExtensionTok"/>
        </w:rPr>
        <w:t xml:space="preserve">./install.sh</w:t>
      </w:r>
    </w:p>
    <w:bookmarkEnd w:id="22"/>
    <w:bookmarkStart w:id="23" w:name="运行程序"/>
    <w:p>
      <w:pPr>
        <w:pStyle w:val="Heading3"/>
      </w:pPr>
      <w:r>
        <w:t xml:space="preserve">3.2 运行程序</w:t>
      </w:r>
    </w:p>
    <w:p>
      <w:pPr>
        <w:pStyle w:val="FirstParagraph"/>
      </w:pPr>
      <w:r>
        <w:t xml:space="preserve">安装完成后，在</w:t>
      </w:r>
      <w:r>
        <w:t xml:space="preserve"> </w:t>
      </w:r>
      <w:r>
        <w:rPr>
          <w:rStyle w:val="VerbatimChar"/>
        </w:rPr>
        <w:t xml:space="preserve">build</w:t>
      </w:r>
      <w:r>
        <w:t xml:space="preserve"> </w:t>
      </w:r>
      <w:r>
        <w:t xml:space="preserve">目录下运行可执行文件：</w:t>
      </w:r>
    </w:p>
    <w:p>
      <w:pPr>
        <w:pStyle w:val="SourceCode"/>
      </w:pPr>
      <w:r>
        <w:rPr>
          <w:rStyle w:val="BuiltInTok"/>
        </w:rPr>
        <w:t xml:space="preserve">cd</w:t>
      </w:r>
      <w:r>
        <w:rPr>
          <w:rStyle w:val="NormalTok"/>
        </w:rPr>
        <w:t xml:space="preserve"> build</w:t>
      </w:r>
      <w:r>
        <w:br/>
      </w:r>
      <w:r>
        <w:rPr>
          <w:rStyle w:val="ExtensionTok"/>
        </w:rPr>
        <w:t xml:space="preserve">./Demo06DualSceneFusion</w:t>
      </w:r>
    </w:p>
    <w:bookmarkEnd w:id="23"/>
    <w:bookmarkEnd w:id="24"/>
    <w:bookmarkStart w:id="28" w:name="操作说明"/>
    <w:p>
      <w:pPr>
        <w:pStyle w:val="Heading2"/>
      </w:pPr>
      <w:r>
        <w:t xml:space="preserve">4. 操作说明</w:t>
      </w:r>
    </w:p>
    <w:bookmarkStart w:id="25" w:name="界面布局"/>
    <w:p>
      <w:pPr>
        <w:pStyle w:val="Heading3"/>
      </w:pPr>
      <w:r>
        <w:t xml:space="preserve">4.1 界面布局</w:t>
      </w:r>
    </w:p>
    <w:p>
      <w:pPr>
        <w:pStyle w:val="FirstParagraph"/>
      </w:pPr>
      <w:r>
        <w:t xml:space="preserve">程序界面分为左右两个主要的 3D 视图：</w:t>
      </w:r>
      <w:r>
        <w:t xml:space="preserve"> </w:t>
      </w:r>
      <w:r>
        <w:t xml:space="preserve">-</w:t>
      </w:r>
      <w:r>
        <w:t xml:space="preserve"> </w:t>
      </w:r>
      <w:r>
        <w:rPr>
          <w:bCs/>
          <w:b/>
        </w:rPr>
        <w:t xml:space="preserve">左侧视口 (Qt3D View)</w:t>
      </w:r>
      <w:r>
        <w:t xml:space="preserve">：用于渲染宏观的 OSGB 倾斜摄影模型和无人机轨迹。</w:t>
      </w:r>
      <w:r>
        <w:t xml:space="preserve"> </w:t>
      </w:r>
      <w:r>
        <w:t xml:space="preserve">-</w:t>
      </w:r>
      <w:r>
        <w:t xml:space="preserve"> </w:t>
      </w:r>
      <w:r>
        <w:rPr>
          <w:bCs/>
          <w:b/>
        </w:rPr>
        <w:t xml:space="preserve">右侧视口 (3DGS View)</w:t>
      </w:r>
      <w:r>
        <w:t xml:space="preserve">：用于渲染微观局部的 3D Gaussian Splatting 高保真模型。</w:t>
      </w:r>
      <w:r>
        <w:t xml:space="preserve"> </w:t>
      </w:r>
      <w:r>
        <w:t xml:space="preserve">-</w:t>
      </w:r>
      <w:r>
        <w:t xml:space="preserve"> </w:t>
      </w:r>
      <w:r>
        <w:rPr>
          <w:bCs/>
          <w:b/>
        </w:rPr>
        <w:t xml:space="preserve">控制面板 (底部/浮动)</w:t>
      </w:r>
      <w:r>
        <w:t xml:space="preserve">：包含 MAVLink 连接控制、相机同步开关、模型加载等。</w:t>
      </w:r>
    </w:p>
    <w:bookmarkEnd w:id="25"/>
    <w:bookmarkStart w:id="26" w:name="数据接入"/>
    <w:p>
      <w:pPr>
        <w:pStyle w:val="Heading3"/>
      </w:pPr>
      <w:r>
        <w:t xml:space="preserve">4.2 数据接入</w:t>
      </w:r>
    </w:p>
    <w:p>
      <w:pPr>
        <w:numPr>
          <w:ilvl w:val="0"/>
          <w:numId w:val="1002"/>
        </w:numPr>
      </w:pPr>
      <w:r>
        <w:t xml:space="preserve">点击控制面板上的</w:t>
      </w:r>
      <w:r>
        <w:t xml:space="preserve"> </w:t>
      </w:r>
      <w:r>
        <w:rPr>
          <w:bCs/>
          <w:b/>
        </w:rPr>
        <w:t xml:space="preserve">Start UDP (14550)</w:t>
      </w:r>
      <w:r>
        <w:t xml:space="preserve"> </w:t>
      </w:r>
      <w:r>
        <w:t xml:space="preserve">按钮，开始监听 MAVLink 数据。</w:t>
      </w:r>
    </w:p>
    <w:p>
      <w:pPr>
        <w:numPr>
          <w:ilvl w:val="0"/>
          <w:numId w:val="1002"/>
        </w:numPr>
      </w:pPr>
      <w:r>
        <w:t xml:space="preserve">运行遥测数据模拟器发送轨迹数据：</w:t>
      </w:r>
    </w:p>
    <w:p>
      <w:pPr>
        <w:numPr>
          <w:ilvl w:val="0"/>
          <w:numId w:val="1000"/>
        </w:numPr>
        <w:pStyle w:val="SourceCode"/>
      </w:pPr>
      <w:r>
        <w:rPr>
          <w:rStyle w:val="ExtensionTok"/>
        </w:rPr>
        <w:t xml:space="preserve">python3</w:t>
      </w:r>
      <w:r>
        <w:rPr>
          <w:rStyle w:val="NormalTok"/>
        </w:rPr>
        <w:t xml:space="preserve"> ../../../tools/telemetry_simulator/send_mavlink_udp.py</w:t>
      </w:r>
    </w:p>
    <w:p>
      <w:pPr>
        <w:numPr>
          <w:ilvl w:val="0"/>
          <w:numId w:val="1002"/>
        </w:numPr>
      </w:pPr>
      <w:r>
        <w:t xml:space="preserve">接收到数据后，无人机模型将在左侧的 OSGB 场景中开始移动。</w:t>
      </w:r>
    </w:p>
    <w:bookmarkEnd w:id="26"/>
    <w:bookmarkStart w:id="27" w:name="视图同步与漫游"/>
    <w:p>
      <w:pPr>
        <w:pStyle w:val="Heading3"/>
      </w:pPr>
      <w:r>
        <w:t xml:space="preserve">4.3 视图同步与漫游</w:t>
      </w:r>
    </w:p>
    <w:p>
      <w:pPr>
        <w:numPr>
          <w:ilvl w:val="0"/>
          <w:numId w:val="1003"/>
        </w:numPr>
        <w:pStyle w:val="Compact"/>
      </w:pPr>
      <w:r>
        <w:rPr>
          <w:bCs/>
          <w:b/>
        </w:rPr>
        <w:t xml:space="preserve">独立漫游</w:t>
      </w:r>
      <w:r>
        <w:t xml:space="preserve">：默认情况下，左右视口的相机是独立的。您可以在左侧或右侧视口中按住鼠标左键拖动以旋转视角，滚动滚轮缩放。</w:t>
      </w:r>
    </w:p>
    <w:p>
      <w:pPr>
        <w:numPr>
          <w:ilvl w:val="0"/>
          <w:numId w:val="1003"/>
        </w:numPr>
        <w:pStyle w:val="Compact"/>
      </w:pPr>
      <w:r>
        <w:rPr>
          <w:bCs/>
          <w:b/>
        </w:rPr>
        <w:t xml:space="preserve">相机同步 (Sync Camera)</w:t>
      </w:r>
      <w:r>
        <w:t xml:space="preserve">：</w:t>
      </w:r>
    </w:p>
    <w:p>
      <w:pPr>
        <w:numPr>
          <w:ilvl w:val="1"/>
          <w:numId w:val="1004"/>
        </w:numPr>
        <w:pStyle w:val="Compact"/>
      </w:pPr>
      <w:r>
        <w:t xml:space="preserve">勾选控制面板上的</w:t>
      </w:r>
      <w:r>
        <w:t xml:space="preserve"> </w:t>
      </w:r>
      <w:r>
        <w:rPr>
          <w:bCs/>
          <w:b/>
        </w:rPr>
        <w:t xml:space="preserve">Sync Camera</w:t>
      </w:r>
      <w:r>
        <w:t xml:space="preserve"> </w:t>
      </w:r>
      <w:r>
        <w:t xml:space="preserve">选项。</w:t>
      </w:r>
    </w:p>
    <w:p>
      <w:pPr>
        <w:numPr>
          <w:ilvl w:val="1"/>
          <w:numId w:val="1004"/>
        </w:numPr>
        <w:pStyle w:val="Compact"/>
      </w:pPr>
      <w:r>
        <w:t xml:space="preserve">此时，右侧 3DGS 视口的相机将完全锁定并跟随左侧 Qt3D 视口的相机。</w:t>
      </w:r>
    </w:p>
    <w:p>
      <w:pPr>
        <w:numPr>
          <w:ilvl w:val="1"/>
          <w:numId w:val="1004"/>
        </w:numPr>
        <w:pStyle w:val="Compact"/>
      </w:pPr>
      <w:r>
        <w:t xml:space="preserve">这允许您在宏观场景中导航时，右侧窗口自动呈现对应位置的高保真细节。</w:t>
      </w:r>
    </w:p>
    <w:bookmarkEnd w:id="27"/>
    <w:bookmarkEnd w:id="28"/>
    <w:bookmarkStart w:id="29" w:name="常见问题"/>
    <w:p>
      <w:pPr>
        <w:pStyle w:val="Heading2"/>
      </w:pPr>
      <w:r>
        <w:t xml:space="preserve">5. 常见问题</w:t>
      </w:r>
    </w:p>
    <w:p>
      <w:pPr>
        <w:numPr>
          <w:ilvl w:val="0"/>
          <w:numId w:val="1005"/>
        </w:numPr>
        <w:pStyle w:val="Compact"/>
      </w:pPr>
      <w:r>
        <w:rPr>
          <w:bCs/>
          <w:b/>
        </w:rPr>
        <w:t xml:space="preserve">Q: 为什么右侧的 3DGS 场景是黑屏或无法显示？</w:t>
      </w:r>
    </w:p>
    <w:p>
      <w:pPr>
        <w:numPr>
          <w:ilvl w:val="1"/>
          <w:numId w:val="1006"/>
        </w:numPr>
        <w:pStyle w:val="Compact"/>
      </w:pPr>
      <w:r>
        <w:t xml:space="preserve">A: 请确保您的显卡驱动支持 OpenGL 4.3。另外，由于两个渲染引擎共存，显存占用较大。如果显存不足，可能导致 3DGS 模型加载失败。</w:t>
      </w:r>
    </w:p>
    <w:p>
      <w:pPr>
        <w:numPr>
          <w:ilvl w:val="0"/>
          <w:numId w:val="1005"/>
        </w:numPr>
        <w:pStyle w:val="Compact"/>
      </w:pPr>
      <w:r>
        <w:rPr>
          <w:bCs/>
          <w:b/>
        </w:rPr>
        <w:t xml:space="preserve">Q: 相机同步时，右侧视角看起来不对？</w:t>
      </w:r>
    </w:p>
    <w:p>
      <w:pPr>
        <w:numPr>
          <w:ilvl w:val="1"/>
          <w:numId w:val="1007"/>
        </w:numPr>
        <w:pStyle w:val="Compact"/>
      </w:pPr>
      <w:r>
        <w:t xml:space="preserve">A: 确保左侧 OSGB 模型和右侧 3DGS 模型处于同一个世界坐标系下（参考 Demo-03 的坐标对齐流程）。如果它们在物理空间上不重合，同步相机时右侧可能只会看到空白。</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2026-06-07T12:13:43Z</dcterms:created>
  <dcterms:modified xsi:type="dcterms:W3CDTF">2026-06-07T12:13:43Z</dcterms:modified>
</cp:coreProperties>
</file>

<file path=docProps/custom.xml><?xml version="1.0" encoding="utf-8"?>
<Properties xmlns="http://schemas.openxmlformats.org/officeDocument/2006/custom-properties" xmlns:vt="http://schemas.openxmlformats.org/officeDocument/2006/docPropsVTypes"/>
</file>