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000000"/>
          <w:sz w:val="36"/>
        </w:rPr>
        <w:t>srcSEP3D</w:t>
      </w:r>
    </w:p>
    <w:p>
      <w:pPr>
        <w:pStyle w:val="Title"/>
        <w:jc w:val="center"/>
      </w:pPr>
      <w:r>
        <w:t>Updated Development and Verification Plan</w:t>
      </w:r>
    </w:p>
    <w:p>
      <w:pPr>
        <w:pStyle w:val="Subtitle"/>
        <w:jc w:val="center"/>
      </w:pPr>
      <w:r>
        <w:t>Three Dimensional SEP Transport in the Heliosphere with Parker and Focused Transport Equations</w:t>
      </w:r>
    </w:p>
    <w:p>
      <w:pPr>
        <w:pStyle w:val="Subtitle"/>
        <w:jc w:val="center"/>
      </w:pPr>
      <w:r>
        <w:t>Revision 2 Development and Test Baseline</w:t>
      </w:r>
    </w:p>
    <w:p>
      <w:pPr>
        <w:spacing w:before="720"/>
        <w:jc w:val="center"/>
      </w:pPr>
      <w:r>
        <w:rPr>
          <w:color w:val="68717A"/>
          <w:sz w:val="22"/>
        </w:rPr>
        <w:t>16 September 2026</w:t>
      </w:r>
    </w:p>
    <w:p>
      <w:pPr>
        <w:spacing w:before="800"/>
        <w:jc w:val="center"/>
      </w:pPr>
      <w:r>
        <w:rPr>
          <w:color w:val="68717A"/>
          <w:sz w:val="19"/>
        </w:rPr>
        <w:t>Prepared from the supplied AMPS core  srcSEP  srcSEP3D  SWCME  and srcEarth source archives</w:t>
      </w:r>
    </w:p>
    <w:p>
      <w:pPr>
        <w:pStyle w:val="Heading1"/>
      </w:pPr>
      <w:r>
        <w:t>Document Purpose and Decision</w:t>
      </w:r>
    </w:p>
    <w:p>
      <w:r>
        <w:t>This plan replaces the assumption that srcSEP3D has completed the first four implementation steps. The audit found useful architecture and test scaffolding, but the production application still contains the retired axisymmetric mover, a placeholder wedge domain, incomplete shared-library integration, and no complete SWMF background snapshot contract. Development must therefore begin with a short re-baseline phase before new three-dimensional transport physics is added.</w:t>
      </w:r>
    </w:p>
    <w:p>
      <w:r>
        <w:t>The recommended approach is a controlled reconstruction inside the existing srcSEP3D application. The repository layout, Stage-1 harness, shared numerical kernels, and SWCME model are retained. The active production driver, coupling adapter, background ownership, and mover shell are replaced. The srcEarth SWMF implementation is used as an initialization and field-access reference, but its file-scope state and ordering-dependent hooks are not copied.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1800"/>
            <w:shd w:fill="17365D"/>
            <w:tcMar>
              <w:top w:w="100" w:type="dxa"/>
              <w:start w:w="110" w:type="dxa"/>
              <w:bottom w:w="100" w:type="dxa"/>
              <w:end w:w="110" w:type="dxa"/>
            </w:tcMar>
            <w:vAlign w:val="center"/>
          </w:tcPr>
          <w:p>
            <w:pPr>
              <w:pStyle w:val="TableText"/>
              <w:jc w:val="center"/>
            </w:pPr>
            <w:r>
              <w:rPr>
                <w:b/>
                <w:color w:val="FFFFFF"/>
                <w:sz w:val="17"/>
              </w:rPr>
              <w:t>Decision area</w:t>
            </w:r>
          </w:p>
        </w:tc>
        <w:tc>
          <w:tcPr>
            <w:tcW w:type="dxa" w:w="3096"/>
            <w:shd w:fill="17365D"/>
            <w:tcMar>
              <w:top w:w="100" w:type="dxa"/>
              <w:start w:w="110" w:type="dxa"/>
              <w:bottom w:w="100" w:type="dxa"/>
              <w:end w:w="110" w:type="dxa"/>
            </w:tcMar>
            <w:vAlign w:val="center"/>
          </w:tcPr>
          <w:p>
            <w:pPr>
              <w:pStyle w:val="TableText"/>
              <w:jc w:val="center"/>
            </w:pPr>
            <w:r>
              <w:rPr>
                <w:b/>
                <w:color w:val="FFFFFF"/>
                <w:sz w:val="17"/>
              </w:rPr>
              <w:t>Updated decision</w:t>
            </w:r>
          </w:p>
        </w:tc>
        <w:tc>
          <w:tcPr>
            <w:tcW w:type="dxa" w:w="4968"/>
            <w:shd w:fill="17365D"/>
            <w:tcMar>
              <w:top w:w="100" w:type="dxa"/>
              <w:start w:w="110" w:type="dxa"/>
              <w:bottom w:w="100" w:type="dxa"/>
              <w:end w:w="110" w:type="dxa"/>
            </w:tcMar>
            <w:vAlign w:val="center"/>
          </w:tcPr>
          <w:p>
            <w:pPr>
              <w:pStyle w:val="TableText"/>
              <w:jc w:val="center"/>
            </w:pPr>
            <w:r>
              <w:rPr>
                <w:b/>
                <w:color w:val="FFFFFF"/>
                <w:sz w:val="17"/>
              </w:rPr>
              <w:t>Reason</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Application strategy</w:t>
            </w:r>
          </w:p>
        </w:tc>
        <w:tc>
          <w:tcPr>
            <w:tcW w:type="dxa" w:w="3096"/>
            <w:shd w:fill="FFFFFF"/>
            <w:tcMar>
              <w:top w:w="85" w:type="dxa"/>
              <w:start w:w="100" w:type="dxa"/>
              <w:bottom w:w="85" w:type="dxa"/>
              <w:end w:w="100" w:type="dxa"/>
            </w:tcMar>
            <w:vAlign w:val="center"/>
          </w:tcPr>
          <w:p>
            <w:pPr>
              <w:pStyle w:val="TableText"/>
              <w:jc w:val="left"/>
            </w:pPr>
            <w:r>
              <w:rPr>
                <w:sz w:val="17"/>
              </w:rPr>
              <w:t>Retain srcSEP3D and reconstruct its production seam</w:t>
            </w:r>
          </w:p>
        </w:tc>
        <w:tc>
          <w:tcPr>
            <w:tcW w:type="dxa" w:w="4968"/>
            <w:shd w:fill="FFFFFF"/>
            <w:tcMar>
              <w:top w:w="85" w:type="dxa"/>
              <w:start w:w="100" w:type="dxa"/>
              <w:bottom w:w="85" w:type="dxa"/>
              <w:end w:w="100" w:type="dxa"/>
            </w:tcMar>
            <w:vAlign w:val="center"/>
          </w:tcPr>
          <w:p>
            <w:pPr>
              <w:pStyle w:val="TableText"/>
              <w:jc w:val="left"/>
            </w:pPr>
            <w:r>
              <w:rPr>
                <w:sz w:val="17"/>
              </w:rPr>
              <w:t>Preserves the useful plan, tests, shared kernels, and AMPS integration while removing prototype constraints</w:t>
            </w:r>
          </w:p>
        </w:tc>
      </w:tr>
      <w:tr>
        <w:trPr>
          <w:cantSplit/>
        </w:trPr>
        <w:tc>
          <w:tcPr>
            <w:tcW w:type="dxa" w:w="1800"/>
            <w:shd w:fill="EAF1F8"/>
            <w:tcMar>
              <w:top w:w="85" w:type="dxa"/>
              <w:start w:w="100" w:type="dxa"/>
              <w:bottom w:w="85" w:type="dxa"/>
              <w:end w:w="100" w:type="dxa"/>
            </w:tcMar>
            <w:vAlign w:val="center"/>
          </w:tcPr>
          <w:p>
            <w:pPr>
              <w:pStyle w:val="TableText"/>
              <w:jc w:val="center"/>
            </w:pPr>
            <w:r>
              <w:rPr>
                <w:sz w:val="17"/>
              </w:rPr>
              <w:t>One dimensional model</w:t>
            </w:r>
          </w:p>
        </w:tc>
        <w:tc>
          <w:tcPr>
            <w:tcW w:type="dxa" w:w="3096"/>
            <w:shd w:fill="EAF1F8"/>
            <w:tcMar>
              <w:top w:w="85" w:type="dxa"/>
              <w:start w:w="100" w:type="dxa"/>
              <w:bottom w:w="85" w:type="dxa"/>
              <w:end w:w="100" w:type="dxa"/>
            </w:tcMar>
            <w:vAlign w:val="center"/>
          </w:tcPr>
          <w:p>
            <w:pPr>
              <w:pStyle w:val="TableText"/>
              <w:jc w:val="left"/>
            </w:pPr>
            <w:r>
              <w:rPr>
                <w:sz w:val="17"/>
              </w:rPr>
              <w:t>Keep srcSEP field line only</w:t>
            </w:r>
          </w:p>
        </w:tc>
        <w:tc>
          <w:tcPr>
            <w:tcW w:type="dxa" w:w="4968"/>
            <w:shd w:fill="EAF1F8"/>
            <w:tcMar>
              <w:top w:w="85" w:type="dxa"/>
              <w:start w:w="100" w:type="dxa"/>
              <w:bottom w:w="85" w:type="dxa"/>
              <w:end w:w="100" w:type="dxa"/>
            </w:tcMar>
            <w:vAlign w:val="center"/>
          </w:tcPr>
          <w:p>
            <w:pPr>
              <w:pStyle w:val="TableText"/>
              <w:jc w:val="left"/>
            </w:pPr>
            <w:r>
              <w:rPr>
                <w:sz w:val="17"/>
              </w:rPr>
              <w:t>The 1-D and 3-D applications remain complementary and independently testable</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Background authority</w:t>
            </w:r>
          </w:p>
        </w:tc>
        <w:tc>
          <w:tcPr>
            <w:tcW w:type="dxa" w:w="3096"/>
            <w:shd w:fill="FFFFFF"/>
            <w:tcMar>
              <w:top w:w="85" w:type="dxa"/>
              <w:start w:w="100" w:type="dxa"/>
              <w:bottom w:w="85" w:type="dxa"/>
              <w:end w:w="100" w:type="dxa"/>
            </w:tcMar>
            <w:vAlign w:val="center"/>
          </w:tcPr>
          <w:p>
            <w:pPr>
              <w:pStyle w:val="TableText"/>
              <w:jc w:val="left"/>
            </w:pPr>
            <w:r>
              <w:rPr>
                <w:sz w:val="17"/>
              </w:rPr>
              <w:t>Parker provider or SWMF AWSoM provider</w:t>
            </w:r>
          </w:p>
        </w:tc>
        <w:tc>
          <w:tcPr>
            <w:tcW w:type="dxa" w:w="4968"/>
            <w:shd w:fill="FFFFFF"/>
            <w:tcMar>
              <w:top w:w="85" w:type="dxa"/>
              <w:start w:w="100" w:type="dxa"/>
              <w:bottom w:w="85" w:type="dxa"/>
              <w:end w:w="100" w:type="dxa"/>
            </w:tcMar>
            <w:vAlign w:val="center"/>
          </w:tcPr>
          <w:p>
            <w:pPr>
              <w:pStyle w:val="TableText"/>
              <w:jc w:val="left"/>
            </w:pPr>
            <w:r>
              <w:rPr>
                <w:sz w:val="17"/>
              </w:rPr>
              <w:t>SWCME supplies shock state and source parameters rather than the complete ambient background</w:t>
            </w:r>
          </w:p>
        </w:tc>
      </w:tr>
      <w:tr>
        <w:trPr>
          <w:cantSplit/>
        </w:trPr>
        <w:tc>
          <w:tcPr>
            <w:tcW w:type="dxa" w:w="1800"/>
            <w:shd w:fill="EAF1F8"/>
            <w:tcMar>
              <w:top w:w="85" w:type="dxa"/>
              <w:start w:w="100" w:type="dxa"/>
              <w:bottom w:w="85" w:type="dxa"/>
              <w:end w:w="100" w:type="dxa"/>
            </w:tcMar>
            <w:vAlign w:val="center"/>
          </w:tcPr>
          <w:p>
            <w:pPr>
              <w:pStyle w:val="TableText"/>
              <w:jc w:val="center"/>
            </w:pPr>
            <w:r>
              <w:rPr>
                <w:sz w:val="17"/>
              </w:rPr>
              <w:t>Turbulence authority</w:t>
            </w:r>
          </w:p>
        </w:tc>
        <w:tc>
          <w:tcPr>
            <w:tcW w:type="dxa" w:w="3096"/>
            <w:shd w:fill="EAF1F8"/>
            <w:tcMar>
              <w:top w:w="85" w:type="dxa"/>
              <w:start w:w="100" w:type="dxa"/>
              <w:bottom w:w="85" w:type="dxa"/>
              <w:end w:w="100" w:type="dxa"/>
            </w:tcMar>
            <w:vAlign w:val="center"/>
          </w:tcPr>
          <w:p>
            <w:pPr>
              <w:pStyle w:val="TableText"/>
              <w:jc w:val="left"/>
            </w:pPr>
            <w:r>
              <w:rPr>
                <w:sz w:val="17"/>
              </w:rPr>
              <w:t>Prescribed turbulence or SWMF AWSoM wave state</w:t>
            </w:r>
          </w:p>
        </w:tc>
        <w:tc>
          <w:tcPr>
            <w:tcW w:type="dxa" w:w="4968"/>
            <w:shd w:fill="EAF1F8"/>
            <w:tcMar>
              <w:top w:w="85" w:type="dxa"/>
              <w:start w:w="100" w:type="dxa"/>
              <w:bottom w:w="85" w:type="dxa"/>
              <w:end w:w="100" w:type="dxa"/>
            </w:tcMar>
            <w:vAlign w:val="center"/>
          </w:tcPr>
          <w:p>
            <w:pPr>
              <w:pStyle w:val="TableText"/>
              <w:jc w:val="left"/>
            </w:pPr>
            <w:r>
              <w:rPr>
                <w:sz w:val="17"/>
              </w:rPr>
              <w:t>Scattering must use a named, validated turbulence source with no silent fallback</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Shock authority</w:t>
            </w:r>
          </w:p>
        </w:tc>
        <w:tc>
          <w:tcPr>
            <w:tcW w:type="dxa" w:w="3096"/>
            <w:shd w:fill="FFFFFF"/>
            <w:tcMar>
              <w:top w:w="85" w:type="dxa"/>
              <w:start w:w="100" w:type="dxa"/>
              <w:bottom w:w="85" w:type="dxa"/>
              <w:end w:w="100" w:type="dxa"/>
            </w:tcMar>
            <w:vAlign w:val="center"/>
          </w:tcPr>
          <w:p>
            <w:pPr>
              <w:pStyle w:val="TableText"/>
              <w:jc w:val="left"/>
            </w:pPr>
            <w:r>
              <w:rPr>
                <w:sz w:val="17"/>
              </w:rPr>
              <w:t>SWCME</w:t>
            </w:r>
          </w:p>
        </w:tc>
        <w:tc>
          <w:tcPr>
            <w:tcW w:type="dxa" w:w="4968"/>
            <w:shd w:fill="FFFFFF"/>
            <w:tcMar>
              <w:top w:w="85" w:type="dxa"/>
              <w:start w:w="100" w:type="dxa"/>
              <w:bottom w:w="85" w:type="dxa"/>
              <w:end w:w="100" w:type="dxa"/>
            </w:tcMar>
            <w:vAlign w:val="center"/>
          </w:tcPr>
          <w:p>
            <w:pPr>
              <w:pStyle w:val="TableText"/>
              <w:jc w:val="left"/>
            </w:pPr>
            <w:r>
              <w:rPr>
                <w:sz w:val="17"/>
              </w:rPr>
              <w:t>One shared shock implementation supplies both srcSEP and srcSEP3D</w:t>
            </w:r>
          </w:p>
        </w:tc>
      </w:tr>
      <w:tr>
        <w:trPr>
          <w:cantSplit/>
        </w:trPr>
        <w:tc>
          <w:tcPr>
            <w:tcW w:type="dxa" w:w="1800"/>
            <w:shd w:fill="EAF1F8"/>
            <w:tcMar>
              <w:top w:w="85" w:type="dxa"/>
              <w:start w:w="100" w:type="dxa"/>
              <w:bottom w:w="85" w:type="dxa"/>
              <w:end w:w="100" w:type="dxa"/>
            </w:tcMar>
            <w:vAlign w:val="center"/>
          </w:tcPr>
          <w:p>
            <w:pPr>
              <w:pStyle w:val="TableText"/>
              <w:jc w:val="center"/>
            </w:pPr>
            <w:r>
              <w:rPr>
                <w:sz w:val="17"/>
              </w:rPr>
              <w:t>Coupling architecture</w:t>
            </w:r>
          </w:p>
        </w:tc>
        <w:tc>
          <w:tcPr>
            <w:tcW w:type="dxa" w:w="3096"/>
            <w:shd w:fill="EAF1F8"/>
            <w:tcMar>
              <w:top w:w="85" w:type="dxa"/>
              <w:start w:w="100" w:type="dxa"/>
              <w:bottom w:w="85" w:type="dxa"/>
              <w:end w:w="100" w:type="dxa"/>
            </w:tcMar>
            <w:vAlign w:val="center"/>
          </w:tcPr>
          <w:p>
            <w:pPr>
              <w:pStyle w:val="TableText"/>
              <w:jc w:val="left"/>
            </w:pPr>
            <w:r>
              <w:rPr>
                <w:sz w:val="17"/>
              </w:rPr>
              <w:t>Typed lifecycle and immutable snapshots</w:t>
            </w:r>
          </w:p>
        </w:tc>
        <w:tc>
          <w:tcPr>
            <w:tcW w:type="dxa" w:w="4968"/>
            <w:shd w:fill="EAF1F8"/>
            <w:tcMar>
              <w:top w:w="85" w:type="dxa"/>
              <w:start w:w="100" w:type="dxa"/>
              <w:bottom w:w="85" w:type="dxa"/>
              <w:end w:w="100" w:type="dxa"/>
            </w:tcMar>
            <w:vAlign w:val="center"/>
          </w:tcPr>
          <w:p>
            <w:pPr>
              <w:pStyle w:val="TableText"/>
              <w:jc w:val="left"/>
            </w:pPr>
            <w:r>
              <w:rPr>
                <w:sz w:val="17"/>
              </w:rPr>
              <w:t>Prevents particles from mixing fields from different coupling epochs</w:t>
            </w:r>
          </w:p>
        </w:tc>
      </w:tr>
    </w:tbl>
    <w:p>
      <w:pPr>
        <w:pStyle w:val="Heading2"/>
      </w:pPr>
      <w:r>
        <w:t>Document Control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trPr>
        <w:tc>
          <w:tcPr>
            <w:tcW w:type="dxa" w:w="2232"/>
            <w:shd w:fill="17365D"/>
            <w:tcMar>
              <w:top w:w="100" w:type="dxa"/>
              <w:start w:w="110" w:type="dxa"/>
              <w:bottom w:w="100" w:type="dxa"/>
              <w:end w:w="110" w:type="dxa"/>
            </w:tcMar>
            <w:vAlign w:val="center"/>
          </w:tcPr>
          <w:p>
            <w:pPr>
              <w:pStyle w:val="TableText"/>
              <w:jc w:val="center"/>
            </w:pPr>
            <w:r>
              <w:rPr>
                <w:b/>
                <w:color w:val="FFFFFF"/>
                <w:sz w:val="17"/>
              </w:rPr>
              <w:t>Item</w:t>
            </w:r>
          </w:p>
        </w:tc>
        <w:tc>
          <w:tcPr>
            <w:tcW w:type="dxa" w:w="7632"/>
            <w:shd w:fill="17365D"/>
            <w:tcMar>
              <w:top w:w="100" w:type="dxa"/>
              <w:start w:w="110" w:type="dxa"/>
              <w:bottom w:w="100" w:type="dxa"/>
              <w:end w:w="110" w:type="dxa"/>
            </w:tcMar>
            <w:vAlign w:val="center"/>
          </w:tcPr>
          <w:p>
            <w:pPr>
              <w:pStyle w:val="TableText"/>
              <w:jc w:val="center"/>
            </w:pPr>
            <w:r>
              <w:rPr>
                <w:b/>
                <w:color w:val="FFFFFF"/>
                <w:sz w:val="17"/>
              </w:rPr>
              <w:t>Value</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Document</w:t>
            </w:r>
          </w:p>
        </w:tc>
        <w:tc>
          <w:tcPr>
            <w:tcW w:type="dxa" w:w="7632"/>
            <w:shd w:fill="FFFFFF"/>
            <w:tcMar>
              <w:top w:w="85" w:type="dxa"/>
              <w:start w:w="100" w:type="dxa"/>
              <w:bottom w:w="85" w:type="dxa"/>
              <w:end w:w="100" w:type="dxa"/>
            </w:tcMar>
            <w:vAlign w:val="center"/>
          </w:tcPr>
          <w:p>
            <w:pPr>
              <w:pStyle w:val="TableText"/>
              <w:jc w:val="left"/>
            </w:pPr>
            <w:r>
              <w:rPr>
                <w:sz w:val="17"/>
              </w:rPr>
              <w:t>srcSEP3D Updated Development and Verification Plan</w:t>
            </w:r>
          </w:p>
        </w:tc>
      </w:tr>
      <w:tr>
        <w:trPr>
          <w:cantSplit/>
        </w:trPr>
        <w:tc>
          <w:tcPr>
            <w:tcW w:type="dxa" w:w="2232"/>
            <w:shd w:fill="EAF1F8"/>
            <w:tcMar>
              <w:top w:w="85" w:type="dxa"/>
              <w:start w:w="100" w:type="dxa"/>
              <w:bottom w:w="85" w:type="dxa"/>
              <w:end w:w="100" w:type="dxa"/>
            </w:tcMar>
            <w:vAlign w:val="center"/>
          </w:tcPr>
          <w:p>
            <w:pPr>
              <w:pStyle w:val="TableText"/>
              <w:jc w:val="center"/>
            </w:pPr>
            <w:r>
              <w:rPr>
                <w:sz w:val="17"/>
              </w:rPr>
              <w:t>Revision</w:t>
            </w:r>
          </w:p>
        </w:tc>
        <w:tc>
          <w:tcPr>
            <w:tcW w:type="dxa" w:w="7632"/>
            <w:shd w:fill="EAF1F8"/>
            <w:tcMar>
              <w:top w:w="85" w:type="dxa"/>
              <w:start w:w="100" w:type="dxa"/>
              <w:bottom w:w="85" w:type="dxa"/>
              <w:end w:w="100" w:type="dxa"/>
            </w:tcMar>
            <w:vAlign w:val="center"/>
          </w:tcPr>
          <w:p>
            <w:pPr>
              <w:pStyle w:val="TableText"/>
              <w:jc w:val="left"/>
            </w:pPr>
            <w:r>
              <w:rPr>
                <w:sz w:val="17"/>
              </w:rPr>
              <w:t>2.0</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Status</w:t>
            </w:r>
          </w:p>
        </w:tc>
        <w:tc>
          <w:tcPr>
            <w:tcW w:type="dxa" w:w="7632"/>
            <w:shd w:fill="FFFFFF"/>
            <w:tcMar>
              <w:top w:w="85" w:type="dxa"/>
              <w:start w:w="100" w:type="dxa"/>
              <w:bottom w:w="85" w:type="dxa"/>
              <w:end w:w="100" w:type="dxa"/>
            </w:tcMar>
            <w:vAlign w:val="center"/>
          </w:tcPr>
          <w:p>
            <w:pPr>
              <w:pStyle w:val="TableText"/>
              <w:jc w:val="left"/>
            </w:pPr>
            <w:r>
              <w:rPr>
                <w:sz w:val="17"/>
              </w:rPr>
              <w:t>Recommended implementation baseline</w:t>
            </w:r>
          </w:p>
        </w:tc>
      </w:tr>
      <w:tr>
        <w:trPr>
          <w:cantSplit/>
        </w:trPr>
        <w:tc>
          <w:tcPr>
            <w:tcW w:type="dxa" w:w="2232"/>
            <w:shd w:fill="EAF1F8"/>
            <w:tcMar>
              <w:top w:w="85" w:type="dxa"/>
              <w:start w:w="100" w:type="dxa"/>
              <w:bottom w:w="85" w:type="dxa"/>
              <w:end w:w="100" w:type="dxa"/>
            </w:tcMar>
            <w:vAlign w:val="center"/>
          </w:tcPr>
          <w:p>
            <w:pPr>
              <w:pStyle w:val="TableText"/>
              <w:jc w:val="center"/>
            </w:pPr>
            <w:r>
              <w:rPr>
                <w:sz w:val="17"/>
              </w:rPr>
              <w:t>Primary scope</w:t>
            </w:r>
          </w:p>
        </w:tc>
        <w:tc>
          <w:tcPr>
            <w:tcW w:type="dxa" w:w="7632"/>
            <w:shd w:fill="EAF1F8"/>
            <w:tcMar>
              <w:top w:w="85" w:type="dxa"/>
              <w:start w:w="100" w:type="dxa"/>
              <w:bottom w:w="85" w:type="dxa"/>
              <w:end w:w="100" w:type="dxa"/>
            </w:tcMar>
            <w:vAlign w:val="center"/>
          </w:tcPr>
          <w:p>
            <w:pPr>
              <w:pStyle w:val="TableText"/>
              <w:jc w:val="left"/>
            </w:pPr>
            <w:r>
              <w:rPr>
                <w:sz w:val="17"/>
              </w:rPr>
              <w:t>Three-dimensional SEP ion and energetic-electron transport in the heliosphere</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Production solvers</w:t>
            </w:r>
          </w:p>
        </w:tc>
        <w:tc>
          <w:tcPr>
            <w:tcW w:type="dxa" w:w="7632"/>
            <w:shd w:fill="FFFFFF"/>
            <w:tcMar>
              <w:top w:w="85" w:type="dxa"/>
              <w:start w:w="100" w:type="dxa"/>
              <w:bottom w:w="85" w:type="dxa"/>
              <w:end w:w="100" w:type="dxa"/>
            </w:tcMar>
            <w:vAlign w:val="center"/>
          </w:tcPr>
          <w:p>
            <w:pPr>
              <w:pStyle w:val="TableText"/>
              <w:jc w:val="left"/>
            </w:pPr>
            <w:r>
              <w:rPr>
                <w:sz w:val="17"/>
              </w:rPr>
              <w:t>Parker transport and focused transport</w:t>
            </w:r>
          </w:p>
        </w:tc>
      </w:tr>
      <w:tr>
        <w:trPr>
          <w:cantSplit/>
        </w:trPr>
        <w:tc>
          <w:tcPr>
            <w:tcW w:type="dxa" w:w="2232"/>
            <w:shd w:fill="EAF1F8"/>
            <w:tcMar>
              <w:top w:w="85" w:type="dxa"/>
              <w:start w:w="100" w:type="dxa"/>
              <w:bottom w:w="85" w:type="dxa"/>
              <w:end w:w="100" w:type="dxa"/>
            </w:tcMar>
            <w:vAlign w:val="center"/>
          </w:tcPr>
          <w:p>
            <w:pPr>
              <w:pStyle w:val="TableText"/>
              <w:jc w:val="center"/>
            </w:pPr>
            <w:r>
              <w:rPr>
                <w:sz w:val="17"/>
              </w:rPr>
              <w:t>Active backgrounds</w:t>
            </w:r>
          </w:p>
        </w:tc>
        <w:tc>
          <w:tcPr>
            <w:tcW w:type="dxa" w:w="7632"/>
            <w:shd w:fill="EAF1F8"/>
            <w:tcMar>
              <w:top w:w="85" w:type="dxa"/>
              <w:start w:w="100" w:type="dxa"/>
              <w:bottom w:w="85" w:type="dxa"/>
              <w:end w:w="100" w:type="dxa"/>
            </w:tcMar>
            <w:vAlign w:val="center"/>
          </w:tcPr>
          <w:p>
            <w:pPr>
              <w:pStyle w:val="TableText"/>
              <w:jc w:val="left"/>
            </w:pPr>
            <w:r>
              <w:rPr>
                <w:sz w:val="17"/>
              </w:rPr>
              <w:t>Analytic Parker spiral and coupled SWMF AWSoM</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Shared shock model</w:t>
            </w:r>
          </w:p>
        </w:tc>
        <w:tc>
          <w:tcPr>
            <w:tcW w:type="dxa" w:w="7632"/>
            <w:shd w:fill="FFFFFF"/>
            <w:tcMar>
              <w:top w:w="85" w:type="dxa"/>
              <w:start w:w="100" w:type="dxa"/>
              <w:bottom w:w="85" w:type="dxa"/>
              <w:end w:w="100" w:type="dxa"/>
            </w:tcMar>
            <w:vAlign w:val="center"/>
          </w:tcPr>
          <w:p>
            <w:pPr>
              <w:pStyle w:val="TableText"/>
              <w:jc w:val="left"/>
            </w:pPr>
            <w:r>
              <w:rPr>
                <w:sz w:val="17"/>
              </w:rPr>
              <w:t>SWCME</w:t>
            </w:r>
          </w:p>
        </w:tc>
      </w:tr>
    </w:tbl>
    <w:p>
      <w:pPr>
        <w:pStyle w:val="Heading1"/>
      </w:pPr>
      <w:r>
        <w:t>Contents</w:t>
      </w:r>
    </w:p>
    <w:p>
      <w:r>
        <w:t>1 Current State and Required Rebaseline</w:t>
      </w:r>
    </w:p>
    <w:p>
      <w:r>
        <w:t>2 Model Scope and Physical Boundaries</w:t>
      </w:r>
    </w:p>
    <w:p>
      <w:r>
        <w:t>3 Target Software Architecture</w:t>
      </w:r>
    </w:p>
    <w:p>
      <w:r>
        <w:t>4 SWMF Coupling and Snapshot Contract</w:t>
      </w:r>
    </w:p>
    <w:p>
      <w:r>
        <w:t>5 Updated Development Sequence</w:t>
      </w:r>
    </w:p>
    <w:p>
      <w:r>
        <w:t>6 Verification and Validation Strategy</w:t>
      </w:r>
    </w:p>
    <w:p>
      <w:r>
        <w:t>7 Tests Without an AMPS Link</w:t>
      </w:r>
    </w:p>
    <w:p>
      <w:r>
        <w:t>8 Tests Linked with AMPS and SWMF</w:t>
      </w:r>
    </w:p>
    <w:p>
      <w:r>
        <w:t>9 Cross Model and Observational Validation</w:t>
      </w:r>
    </w:p>
    <w:p>
      <w:r>
        <w:t>10 Automation Evidence and Release Control</w:t>
      </w:r>
    </w:p>
    <w:p>
      <w:r>
        <w:t>11 Risks and Open Decisions</w:t>
      </w:r>
    </w:p>
    <w:p>
      <w:r>
        <w:t>12 Completion Criteria</w:t>
      </w:r>
    </w:p>
    <w:p>
      <w:r>
        <w:t>Appendix A Background Snapshot Fields</w:t>
      </w:r>
    </w:p>
    <w:p>
      <w:r>
        <w:t>Appendix B Work Package Summary</w:t>
      </w:r>
    </w:p>
    <w:p>
      <w:pPr>
        <w:pStyle w:val="Heading1"/>
      </w:pPr>
      <w:r>
        <w:t>1 Current State and Required Rebaseline</w:t>
      </w:r>
    </w:p>
    <w:p>
      <w:pPr>
        <w:pStyle w:val="Heading2"/>
      </w:pPr>
      <w:r>
        <w:t>1 Current Implementation Findings</w:t>
      </w:r>
    </w:p>
    <w:p>
      <w:r>
        <w:t>The current source tree should not be described as complete through Step 4. The standalone Stage-1 suite is useful, but it does not compile the production application. Several statements in the source comments and migration manifest therefore describe an intended state rather than the state that the production build would exercise.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1800"/>
            <w:shd w:fill="17365D"/>
            <w:tcMar>
              <w:top w:w="100" w:type="dxa"/>
              <w:start w:w="110" w:type="dxa"/>
              <w:bottom w:w="100" w:type="dxa"/>
              <w:end w:w="110" w:type="dxa"/>
            </w:tcMar>
            <w:vAlign w:val="center"/>
          </w:tcPr>
          <w:p>
            <w:pPr>
              <w:pStyle w:val="TableText"/>
              <w:jc w:val="center"/>
            </w:pPr>
            <w:r>
              <w:rPr>
                <w:b/>
                <w:color w:val="FFFFFF"/>
                <w:sz w:val="17"/>
              </w:rPr>
              <w:t>Area</w:t>
            </w:r>
          </w:p>
        </w:tc>
        <w:tc>
          <w:tcPr>
            <w:tcW w:type="dxa" w:w="3671"/>
            <w:shd w:fill="17365D"/>
            <w:tcMar>
              <w:top w:w="100" w:type="dxa"/>
              <w:start w:w="110" w:type="dxa"/>
              <w:bottom w:w="100" w:type="dxa"/>
              <w:end w:w="110" w:type="dxa"/>
            </w:tcMar>
            <w:vAlign w:val="center"/>
          </w:tcPr>
          <w:p>
            <w:pPr>
              <w:pStyle w:val="TableText"/>
              <w:jc w:val="center"/>
            </w:pPr>
            <w:r>
              <w:rPr>
                <w:b/>
                <w:color w:val="FFFFFF"/>
                <w:sz w:val="17"/>
              </w:rPr>
              <w:t>Observed state</w:t>
            </w:r>
          </w:p>
        </w:tc>
        <w:tc>
          <w:tcPr>
            <w:tcW w:type="dxa" w:w="4752"/>
            <w:shd w:fill="17365D"/>
            <w:tcMar>
              <w:top w:w="100" w:type="dxa"/>
              <w:start w:w="110" w:type="dxa"/>
              <w:bottom w:w="100" w:type="dxa"/>
              <w:end w:w="110" w:type="dxa"/>
            </w:tcMar>
            <w:vAlign w:val="center"/>
          </w:tcPr>
          <w:p>
            <w:pPr>
              <w:pStyle w:val="TableText"/>
              <w:jc w:val="center"/>
            </w:pPr>
            <w:r>
              <w:rPr>
                <w:b/>
                <w:color w:val="FFFFFF"/>
                <w:sz w:val="17"/>
              </w:rPr>
              <w:t>Required correction</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Production source</w:t>
            </w:r>
          </w:p>
        </w:tc>
        <w:tc>
          <w:tcPr>
            <w:tcW w:type="dxa" w:w="3671"/>
            <w:shd w:fill="FFFFFF"/>
            <w:tcMar>
              <w:top w:w="85" w:type="dxa"/>
              <w:start w:w="100" w:type="dxa"/>
              <w:bottom w:w="85" w:type="dxa"/>
              <w:end w:w="100" w:type="dxa"/>
            </w:tcMar>
            <w:vAlign w:val="center"/>
          </w:tcPr>
          <w:p>
            <w:pPr>
              <w:pStyle w:val="TableText"/>
              <w:jc w:val="left"/>
            </w:pPr>
            <w:r>
              <w:rPr>
                <w:sz w:val="17"/>
              </w:rPr>
              <w:t>SEP3D.cpp still defines the retired axisymmetric mover and legacy global energy sampler</w:t>
            </w:r>
          </w:p>
        </w:tc>
        <w:tc>
          <w:tcPr>
            <w:tcW w:type="dxa" w:w="4752"/>
            <w:shd w:fill="FFFFFF"/>
            <w:tcMar>
              <w:top w:w="85" w:type="dxa"/>
              <w:start w:w="100" w:type="dxa"/>
              <w:bottom w:w="85" w:type="dxa"/>
              <w:end w:w="100" w:type="dxa"/>
            </w:tcMar>
            <w:vAlign w:val="center"/>
          </w:tcPr>
          <w:p>
            <w:pPr>
              <w:pStyle w:val="TableText"/>
              <w:jc w:val="left"/>
            </w:pPr>
            <w:r>
              <w:rPr>
                <w:sz w:val="17"/>
              </w:rPr>
              <w:t>Remove the file from production or replace it with the new runtime implementation</w:t>
            </w:r>
          </w:p>
        </w:tc>
      </w:tr>
      <w:tr>
        <w:trPr>
          <w:cantSplit/>
        </w:trPr>
        <w:tc>
          <w:tcPr>
            <w:tcW w:type="dxa" w:w="1800"/>
            <w:shd w:fill="EAF1F8"/>
            <w:tcMar>
              <w:top w:w="85" w:type="dxa"/>
              <w:start w:w="100" w:type="dxa"/>
              <w:bottom w:w="85" w:type="dxa"/>
              <w:end w:w="100" w:type="dxa"/>
            </w:tcMar>
            <w:vAlign w:val="center"/>
          </w:tcPr>
          <w:p>
            <w:pPr>
              <w:pStyle w:val="TableText"/>
              <w:jc w:val="center"/>
            </w:pPr>
            <w:r>
              <w:rPr>
                <w:sz w:val="17"/>
              </w:rPr>
              <w:t>AMPS driver</w:t>
            </w:r>
          </w:p>
        </w:tc>
        <w:tc>
          <w:tcPr>
            <w:tcW w:type="dxa" w:w="3671"/>
            <w:shd w:fill="EAF1F8"/>
            <w:tcMar>
              <w:top w:w="85" w:type="dxa"/>
              <w:start w:w="100" w:type="dxa"/>
              <w:bottom w:w="85" w:type="dxa"/>
              <w:end w:w="100" w:type="dxa"/>
            </w:tcMar>
            <w:vAlign w:val="center"/>
          </w:tcPr>
          <w:p>
            <w:pPr>
              <w:pStyle w:val="TableText"/>
              <w:jc w:val="left"/>
            </w:pPr>
            <w:r>
              <w:rPr>
                <w:sz w:val="17"/>
              </w:rPr>
              <w:t>main_lib.cpp retains the narrow wedge, fixed resolution, Maxwellian prepopulation, and placeholder sampling</w:t>
            </w:r>
          </w:p>
        </w:tc>
        <w:tc>
          <w:tcPr>
            <w:tcW w:type="dxa" w:w="4752"/>
            <w:shd w:fill="EAF1F8"/>
            <w:tcMar>
              <w:top w:w="85" w:type="dxa"/>
              <w:start w:w="100" w:type="dxa"/>
              <w:bottom w:w="85" w:type="dxa"/>
              <w:end w:w="100" w:type="dxa"/>
            </w:tcMar>
            <w:vAlign w:val="center"/>
          </w:tcPr>
          <w:p>
            <w:pPr>
              <w:pStyle w:val="TableText"/>
              <w:jc w:val="left"/>
            </w:pPr>
            <w:r>
              <w:rPr>
                <w:sz w:val="17"/>
              </w:rPr>
              <w:t>Replace it with thin AMPS entry points that delegate to SEP3D Runtime</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Mover return codes</w:t>
            </w:r>
          </w:p>
        </w:tc>
        <w:tc>
          <w:tcPr>
            <w:tcW w:type="dxa" w:w="3671"/>
            <w:shd w:fill="FFFFFF"/>
            <w:tcMar>
              <w:top w:w="85" w:type="dxa"/>
              <w:start w:w="100" w:type="dxa"/>
              <w:bottom w:w="85" w:type="dxa"/>
              <w:end w:w="100" w:type="dxa"/>
            </w:tcMar>
            <w:vAlign w:val="center"/>
          </w:tcPr>
          <w:p>
            <w:pPr>
              <w:pStyle w:val="TableText"/>
              <w:jc w:val="left"/>
            </w:pPr>
            <w:r>
              <w:rPr>
                <w:sz w:val="17"/>
              </w:rPr>
              <w:t>The local enum values do not match the AMPS constants and one extension collides with an AMPS code</w:t>
            </w:r>
          </w:p>
        </w:tc>
        <w:tc>
          <w:tcPr>
            <w:tcW w:type="dxa" w:w="4752"/>
            <w:shd w:fill="FFFFFF"/>
            <w:tcMar>
              <w:top w:w="85" w:type="dxa"/>
              <w:start w:w="100" w:type="dxa"/>
              <w:bottom w:w="85" w:type="dxa"/>
              <w:end w:w="100" w:type="dxa"/>
            </w:tcMar>
            <w:vAlign w:val="center"/>
          </w:tcPr>
          <w:p>
            <w:pPr>
              <w:pStyle w:val="TableText"/>
              <w:jc w:val="left"/>
            </w:pPr>
            <w:r>
              <w:rPr>
                <w:sz w:val="17"/>
              </w:rPr>
              <w:t>Use adapter-owned translations and compile-time assertions against pic.h</w:t>
            </w:r>
          </w:p>
        </w:tc>
      </w:tr>
      <w:tr>
        <w:trPr>
          <w:cantSplit/>
        </w:trPr>
        <w:tc>
          <w:tcPr>
            <w:tcW w:type="dxa" w:w="1800"/>
            <w:shd w:fill="EAF1F8"/>
            <w:tcMar>
              <w:top w:w="85" w:type="dxa"/>
              <w:start w:w="100" w:type="dxa"/>
              <w:bottom w:w="85" w:type="dxa"/>
              <w:end w:w="100" w:type="dxa"/>
            </w:tcMar>
            <w:vAlign w:val="center"/>
          </w:tcPr>
          <w:p>
            <w:pPr>
              <w:pStyle w:val="TableText"/>
              <w:jc w:val="center"/>
            </w:pPr>
            <w:r>
              <w:rPr>
                <w:sz w:val="17"/>
              </w:rPr>
              <w:t>Stage-1 tests</w:t>
            </w:r>
          </w:p>
        </w:tc>
        <w:tc>
          <w:tcPr>
            <w:tcW w:type="dxa" w:w="3671"/>
            <w:shd w:fill="EAF1F8"/>
            <w:tcMar>
              <w:top w:w="85" w:type="dxa"/>
              <w:start w:w="100" w:type="dxa"/>
              <w:bottom w:w="85" w:type="dxa"/>
              <w:end w:w="100" w:type="dxa"/>
            </w:tcMar>
            <w:vAlign w:val="center"/>
          </w:tcPr>
          <w:p>
            <w:pPr>
              <w:pStyle w:val="TableText"/>
              <w:jc w:val="left"/>
            </w:pPr>
            <w:r>
              <w:rPr>
                <w:sz w:val="17"/>
              </w:rPr>
              <w:t>The no-AMPS suite passes but does not build production objects</w:t>
            </w:r>
          </w:p>
        </w:tc>
        <w:tc>
          <w:tcPr>
            <w:tcW w:type="dxa" w:w="4752"/>
            <w:shd w:fill="EAF1F8"/>
            <w:tcMar>
              <w:top w:w="85" w:type="dxa"/>
              <w:start w:w="100" w:type="dxa"/>
              <w:bottom w:w="85" w:type="dxa"/>
              <w:end w:w="100" w:type="dxa"/>
            </w:tcMar>
            <w:vAlign w:val="center"/>
          </w:tcPr>
          <w:p>
            <w:pPr>
              <w:pStyle w:val="TableText"/>
              <w:jc w:val="left"/>
            </w:pPr>
            <w:r>
              <w:rPr>
                <w:sz w:val="17"/>
              </w:rPr>
              <w:t>Add a production compile and link gate under the full AMPS build</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Shared kernels</w:t>
            </w:r>
          </w:p>
        </w:tc>
        <w:tc>
          <w:tcPr>
            <w:tcW w:type="dxa" w:w="3671"/>
            <w:shd w:fill="FFFFFF"/>
            <w:tcMar>
              <w:top w:w="85" w:type="dxa"/>
              <w:start w:w="100" w:type="dxa"/>
              <w:bottom w:w="85" w:type="dxa"/>
              <w:end w:w="100" w:type="dxa"/>
            </w:tcMar>
            <w:vAlign w:val="center"/>
          </w:tcPr>
          <w:p>
            <w:pPr>
              <w:pStyle w:val="TableText"/>
              <w:jc w:val="left"/>
            </w:pPr>
            <w:r>
              <w:rPr>
                <w:sz w:val="17"/>
              </w:rPr>
              <w:t>sep_util.a can be built but srcSEP still compiles local copies of the same utilities</w:t>
            </w:r>
          </w:p>
        </w:tc>
        <w:tc>
          <w:tcPr>
            <w:tcW w:type="dxa" w:w="4752"/>
            <w:shd w:fill="FFFFFF"/>
            <w:tcMar>
              <w:top w:w="85" w:type="dxa"/>
              <w:start w:w="100" w:type="dxa"/>
              <w:bottom w:w="85" w:type="dxa"/>
              <w:end w:w="100" w:type="dxa"/>
            </w:tcMar>
            <w:vAlign w:val="center"/>
          </w:tcPr>
          <w:p>
            <w:pPr>
              <w:pStyle w:val="TableText"/>
              <w:jc w:val="left"/>
            </w:pPr>
            <w:r>
              <w:rPr>
                <w:sz w:val="17"/>
              </w:rPr>
              <w:t>Make both applications link the one archive and reject duplicate objects</w:t>
            </w:r>
          </w:p>
        </w:tc>
      </w:tr>
      <w:tr>
        <w:trPr>
          <w:cantSplit/>
        </w:trPr>
        <w:tc>
          <w:tcPr>
            <w:tcW w:type="dxa" w:w="1800"/>
            <w:shd w:fill="EAF1F8"/>
            <w:tcMar>
              <w:top w:w="85" w:type="dxa"/>
              <w:start w:w="100" w:type="dxa"/>
              <w:bottom w:w="85" w:type="dxa"/>
              <w:end w:w="100" w:type="dxa"/>
            </w:tcMar>
            <w:vAlign w:val="center"/>
          </w:tcPr>
          <w:p>
            <w:pPr>
              <w:pStyle w:val="TableText"/>
              <w:jc w:val="center"/>
            </w:pPr>
            <w:r>
              <w:rPr>
                <w:sz w:val="17"/>
              </w:rPr>
              <w:t>SWCME relocation</w:t>
            </w:r>
          </w:p>
        </w:tc>
        <w:tc>
          <w:tcPr>
            <w:tcW w:type="dxa" w:w="3671"/>
            <w:shd w:fill="EAF1F8"/>
            <w:tcMar>
              <w:top w:w="85" w:type="dxa"/>
              <w:start w:w="100" w:type="dxa"/>
              <w:bottom w:w="85" w:type="dxa"/>
              <w:end w:w="100" w:type="dxa"/>
            </w:tcMar>
            <w:vAlign w:val="center"/>
          </w:tcPr>
          <w:p>
            <w:pPr>
              <w:pStyle w:val="TableText"/>
              <w:jc w:val="left"/>
            </w:pPr>
            <w:r>
              <w:rPr>
                <w:sz w:val="17"/>
              </w:rPr>
              <w:t>Files were copied byte-for-byte but includes and tests are not fully integrated from the new location</w:t>
            </w:r>
          </w:p>
        </w:tc>
        <w:tc>
          <w:tcPr>
            <w:tcW w:type="dxa" w:w="4752"/>
            <w:shd w:fill="EAF1F8"/>
            <w:tcMar>
              <w:top w:w="85" w:type="dxa"/>
              <w:start w:w="100" w:type="dxa"/>
              <w:bottom w:w="85" w:type="dxa"/>
              <w:end w:w="100" w:type="dxa"/>
            </w:tcMar>
            <w:vAlign w:val="center"/>
          </w:tcPr>
          <w:p>
            <w:pPr>
              <w:pStyle w:val="TableText"/>
              <w:jc w:val="left"/>
            </w:pPr>
            <w:r>
              <w:rPr>
                <w:sz w:val="17"/>
              </w:rPr>
              <w:t>Complete the shared library, compatibility shims, and working test entry point in one accepted state</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Coupled background</w:t>
            </w:r>
          </w:p>
        </w:tc>
        <w:tc>
          <w:tcPr>
            <w:tcW w:type="dxa" w:w="3671"/>
            <w:shd w:fill="FFFFFF"/>
            <w:tcMar>
              <w:top w:w="85" w:type="dxa"/>
              <w:start w:w="100" w:type="dxa"/>
              <w:bottom w:w="85" w:type="dxa"/>
              <w:end w:w="100" w:type="dxa"/>
            </w:tcMar>
            <w:vAlign w:val="center"/>
          </w:tcPr>
          <w:p>
            <w:pPr>
              <w:pStyle w:val="TableText"/>
              <w:jc w:val="left"/>
            </w:pPr>
            <w:r>
              <w:rPr>
                <w:sz w:val="17"/>
              </w:rPr>
              <w:t>No complete 3-D snapshot owner exists</w:t>
            </w:r>
          </w:p>
        </w:tc>
        <w:tc>
          <w:tcPr>
            <w:tcW w:type="dxa" w:w="4752"/>
            <w:shd w:fill="FFFFFF"/>
            <w:tcMar>
              <w:top w:w="85" w:type="dxa"/>
              <w:start w:w="100" w:type="dxa"/>
              <w:bottom w:w="85" w:type="dxa"/>
              <w:end w:w="100" w:type="dxa"/>
            </w:tcMar>
            <w:vAlign w:val="center"/>
          </w:tcPr>
          <w:p>
            <w:pPr>
              <w:pStyle w:val="TableText"/>
              <w:jc w:val="left"/>
            </w:pPr>
            <w:r>
              <w:rPr>
                <w:sz w:val="17"/>
              </w:rPr>
              <w:t>Introduce an immutable snapshot with validity, units, time, ownership, and generation metadata</w:t>
            </w:r>
          </w:p>
        </w:tc>
      </w:tr>
    </w:tbl>
    <w:p>
      <w:pPr>
        <w:pStyle w:val="Heading2"/>
      </w:pPr>
      <w:r>
        <w:t>2 Rebaseline Rule</w:t>
      </w:r>
    </w:p>
    <w:p>
      <w:r>
        <w:t>No new transport mover should be merged until the re-baseline gate passes. This prevents new physics from being developed on top of ambiguous production sources or duplicated numerical kernels.</w:t>
      </w:r>
    </w:p>
    <w:p>
      <w:pPr>
        <w:pStyle w:val="ListBullet"/>
        <w:spacing w:after="50"/>
      </w:pPr>
      <w:r>
        <w:t>The production library compiles and links under the full AMPS configuration.</w:t>
      </w:r>
    </w:p>
    <w:p>
      <w:pPr>
        <w:pStyle w:val="ListBullet"/>
        <w:spacing w:after="50"/>
      </w:pPr>
      <w:r>
        <w:t>The retired mover and obsolete sampler are absent from the production symbol table.</w:t>
      </w:r>
    </w:p>
    <w:p>
      <w:pPr>
        <w:pStyle w:val="ListBullet"/>
        <w:spacing w:after="50"/>
      </w:pPr>
      <w:r>
        <w:t>srcSEP and srcSEP3D link the same sep_util archive without compiling duplicate utility objects.</w:t>
      </w:r>
    </w:p>
    <w:p>
      <w:pPr>
        <w:pStyle w:val="ListBullet"/>
        <w:spacing w:after="50"/>
      </w:pPr>
      <w:r>
        <w:t>SWCME builds once from src/models/swcme and both applications consume that build.</w:t>
      </w:r>
    </w:p>
    <w:p>
      <w:pPr>
        <w:pStyle w:val="ListBullet"/>
        <w:spacing w:after="50"/>
      </w:pPr>
      <w:r>
        <w:t>Mover return codes are translated at the AMPS adapter boundary and verified with static assertions.</w:t>
      </w:r>
    </w:p>
    <w:p>
      <w:pPr>
        <w:pStyle w:val="ListBullet"/>
        <w:spacing w:after="50"/>
      </w:pPr>
      <w:r>
        <w:t>Every current Step 1 through Step 4 acceptance claim has an executable test or is marked incomplete.</w:t>
      </w:r>
    </w:p>
    <w:p>
      <w:pPr>
        <w:pStyle w:val="Heading2"/>
      </w:pPr>
      <w:r>
        <w:t>3 Lessons from the Geospace SWMF Model</w:t>
      </w:r>
    </w:p>
    <w:p>
      <w:r>
        <w:t>The geospace model demonstrates the correct division between shared physics and a thin SWMF adapter. It also documents why initialization order matters: model mode and sampling layouts must be configured before AMPS allocates mesh data, while movers and callbacks must be registered only after the mesh and PIC infrastructure exist. srcSEP3D should preserve this two-phase intent through an explicit lifecycle rather than through loosely related static flags.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2304"/>
            <w:shd w:fill="17365D"/>
            <w:tcMar>
              <w:top w:w="100" w:type="dxa"/>
              <w:start w:w="110" w:type="dxa"/>
              <w:bottom w:w="100" w:type="dxa"/>
              <w:end w:w="110" w:type="dxa"/>
            </w:tcMar>
            <w:vAlign w:val="center"/>
          </w:tcPr>
          <w:p>
            <w:pPr>
              <w:pStyle w:val="TableText"/>
              <w:jc w:val="center"/>
            </w:pPr>
            <w:r>
              <w:rPr>
                <w:b/>
                <w:color w:val="FFFFFF"/>
                <w:sz w:val="17"/>
              </w:rPr>
              <w:t>Geospace pattern</w:t>
            </w:r>
          </w:p>
        </w:tc>
        <w:tc>
          <w:tcPr>
            <w:tcW w:type="dxa" w:w="3744"/>
            <w:shd w:fill="17365D"/>
            <w:tcMar>
              <w:top w:w="100" w:type="dxa"/>
              <w:start w:w="110" w:type="dxa"/>
              <w:bottom w:w="100" w:type="dxa"/>
              <w:end w:w="110" w:type="dxa"/>
            </w:tcMar>
            <w:vAlign w:val="center"/>
          </w:tcPr>
          <w:p>
            <w:pPr>
              <w:pStyle w:val="TableText"/>
              <w:jc w:val="center"/>
            </w:pPr>
            <w:r>
              <w:rPr>
                <w:b/>
                <w:color w:val="FFFFFF"/>
                <w:sz w:val="17"/>
              </w:rPr>
              <w:t>Use in srcSEP3D</w:t>
            </w:r>
          </w:p>
        </w:tc>
        <w:tc>
          <w:tcPr>
            <w:tcW w:type="dxa" w:w="4176"/>
            <w:shd w:fill="17365D"/>
            <w:tcMar>
              <w:top w:w="100" w:type="dxa"/>
              <w:start w:w="110" w:type="dxa"/>
              <w:bottom w:w="100" w:type="dxa"/>
              <w:end w:w="110" w:type="dxa"/>
            </w:tcMar>
            <w:vAlign w:val="center"/>
          </w:tcPr>
          <w:p>
            <w:pPr>
              <w:pStyle w:val="TableText"/>
              <w:jc w:val="center"/>
            </w:pPr>
            <w:r>
              <w:rPr>
                <w:b/>
                <w:color w:val="FFFFFF"/>
                <w:sz w:val="17"/>
              </w:rPr>
              <w:t>Required improvement</w:t>
            </w:r>
          </w:p>
        </w:tc>
      </w:tr>
      <w:tr>
        <w:trPr>
          <w:cantSplit/>
        </w:trPr>
        <w:tc>
          <w:tcPr>
            <w:tcW w:type="dxa" w:w="2304"/>
            <w:shd w:fill="FFFFFF"/>
            <w:tcMar>
              <w:top w:w="85" w:type="dxa"/>
              <w:start w:w="100" w:type="dxa"/>
              <w:bottom w:w="85" w:type="dxa"/>
              <w:end w:w="100" w:type="dxa"/>
            </w:tcMar>
            <w:vAlign w:val="center"/>
          </w:tcPr>
          <w:p>
            <w:pPr>
              <w:pStyle w:val="TableText"/>
              <w:jc w:val="center"/>
            </w:pPr>
            <w:r>
              <w:rPr>
                <w:sz w:val="17"/>
              </w:rPr>
              <w:t>Pre mesh initialization</w:t>
            </w:r>
          </w:p>
        </w:tc>
        <w:tc>
          <w:tcPr>
            <w:tcW w:type="dxa" w:w="3744"/>
            <w:shd w:fill="FFFFFF"/>
            <w:tcMar>
              <w:top w:w="85" w:type="dxa"/>
              <w:start w:w="100" w:type="dxa"/>
              <w:bottom w:w="85" w:type="dxa"/>
              <w:end w:w="100" w:type="dxa"/>
            </w:tcMar>
            <w:vAlign w:val="center"/>
          </w:tcPr>
          <w:p>
            <w:pPr>
              <w:pStyle w:val="TableText"/>
              <w:jc w:val="left"/>
            </w:pPr>
            <w:r>
              <w:rPr>
                <w:sz w:val="17"/>
              </w:rPr>
              <w:t>Configure species, mesh policy, storage layout, and requested fields before buffer allocation</w:t>
            </w:r>
          </w:p>
        </w:tc>
        <w:tc>
          <w:tcPr>
            <w:tcW w:type="dxa" w:w="4176"/>
            <w:shd w:fill="FFFFFF"/>
            <w:tcMar>
              <w:top w:w="85" w:type="dxa"/>
              <w:start w:w="100" w:type="dxa"/>
              <w:bottom w:w="85" w:type="dxa"/>
              <w:end w:w="100" w:type="dxa"/>
            </w:tcMar>
            <w:vAlign w:val="center"/>
          </w:tcPr>
          <w:p>
            <w:pPr>
              <w:pStyle w:val="TableText"/>
              <w:jc w:val="left"/>
            </w:pPr>
            <w:r>
              <w:rPr>
                <w:sz w:val="17"/>
              </w:rPr>
              <w:t>Use a typed Configuration object supplied by the host rather than parsing an input file inside the coupled library</w:t>
            </w:r>
          </w:p>
        </w:tc>
      </w:tr>
      <w:tr>
        <w:trPr>
          <w:cantSplit/>
        </w:trPr>
        <w:tc>
          <w:tcPr>
            <w:tcW w:type="dxa" w:w="2304"/>
            <w:shd w:fill="EAF1F8"/>
            <w:tcMar>
              <w:top w:w="85" w:type="dxa"/>
              <w:start w:w="100" w:type="dxa"/>
              <w:bottom w:w="85" w:type="dxa"/>
              <w:end w:w="100" w:type="dxa"/>
            </w:tcMar>
            <w:vAlign w:val="center"/>
          </w:tcPr>
          <w:p>
            <w:pPr>
              <w:pStyle w:val="TableText"/>
              <w:jc w:val="center"/>
            </w:pPr>
            <w:r>
              <w:rPr>
                <w:sz w:val="17"/>
              </w:rPr>
              <w:t>Post mesh initialization</w:t>
            </w:r>
          </w:p>
        </w:tc>
        <w:tc>
          <w:tcPr>
            <w:tcW w:type="dxa" w:w="3744"/>
            <w:shd w:fill="EAF1F8"/>
            <w:tcMar>
              <w:top w:w="85" w:type="dxa"/>
              <w:start w:w="100" w:type="dxa"/>
              <w:bottom w:w="85" w:type="dxa"/>
              <w:end w:w="100" w:type="dxa"/>
            </w:tcMar>
            <w:vAlign w:val="center"/>
          </w:tcPr>
          <w:p>
            <w:pPr>
              <w:pStyle w:val="TableText"/>
              <w:jc w:val="left"/>
            </w:pPr>
            <w:r>
              <w:rPr>
                <w:sz w:val="17"/>
              </w:rPr>
              <w:t>Register movers, sources, sampling, and output after PIC initialization</w:t>
            </w:r>
          </w:p>
        </w:tc>
        <w:tc>
          <w:tcPr>
            <w:tcW w:type="dxa" w:w="4176"/>
            <w:shd w:fill="EAF1F8"/>
            <w:tcMar>
              <w:top w:w="85" w:type="dxa"/>
              <w:start w:w="100" w:type="dxa"/>
              <w:bottom w:w="85" w:type="dxa"/>
              <w:end w:w="100" w:type="dxa"/>
            </w:tcMar>
            <w:vAlign w:val="center"/>
          </w:tcPr>
          <w:p>
            <w:pPr>
              <w:pStyle w:val="TableText"/>
              <w:jc w:val="left"/>
            </w:pPr>
            <w:r>
              <w:rPr>
                <w:sz w:val="17"/>
              </w:rPr>
              <w:t>Make the transition legal only from MeshReady state</w:t>
            </w:r>
          </w:p>
        </w:tc>
      </w:tr>
      <w:tr>
        <w:trPr>
          <w:cantSplit/>
        </w:trPr>
        <w:tc>
          <w:tcPr>
            <w:tcW w:type="dxa" w:w="2304"/>
            <w:shd w:fill="FFFFFF"/>
            <w:tcMar>
              <w:top w:w="85" w:type="dxa"/>
              <w:start w:w="100" w:type="dxa"/>
              <w:bottom w:w="85" w:type="dxa"/>
              <w:end w:w="100" w:type="dxa"/>
            </w:tcMar>
            <w:vAlign w:val="center"/>
          </w:tcPr>
          <w:p>
            <w:pPr>
              <w:pStyle w:val="TableText"/>
              <w:jc w:val="center"/>
            </w:pPr>
            <w:r>
              <w:rPr>
                <w:sz w:val="17"/>
              </w:rPr>
              <w:t>PIC CPLR field access</w:t>
            </w:r>
          </w:p>
        </w:tc>
        <w:tc>
          <w:tcPr>
            <w:tcW w:type="dxa" w:w="3744"/>
            <w:shd w:fill="FFFFFF"/>
            <w:tcMar>
              <w:top w:w="85" w:type="dxa"/>
              <w:start w:w="100" w:type="dxa"/>
              <w:bottom w:w="85" w:type="dxa"/>
              <w:end w:w="100" w:type="dxa"/>
            </w:tcMar>
            <w:vAlign w:val="center"/>
          </w:tcPr>
          <w:p>
            <w:pPr>
              <w:pStyle w:val="TableText"/>
              <w:jc w:val="left"/>
            </w:pPr>
            <w:r>
              <w:rPr>
                <w:sz w:val="17"/>
              </w:rPr>
              <w:t>Use the established SWMF data path</w:t>
            </w:r>
          </w:p>
        </w:tc>
        <w:tc>
          <w:tcPr>
            <w:tcW w:type="dxa" w:w="4176"/>
            <w:shd w:fill="FFFFFF"/>
            <w:tcMar>
              <w:top w:w="85" w:type="dxa"/>
              <w:start w:w="100" w:type="dxa"/>
              <w:bottom w:w="85" w:type="dxa"/>
              <w:end w:w="100" w:type="dxa"/>
            </w:tcMar>
            <w:vAlign w:val="center"/>
          </w:tcPr>
          <w:p>
            <w:pPr>
              <w:pStyle w:val="TableText"/>
              <w:jc w:val="left"/>
            </w:pPr>
            <w:r>
              <w:rPr>
                <w:sz w:val="17"/>
              </w:rPr>
              <w:t>Confine offsets and interpolation details to the SWMF adapter</w:t>
            </w:r>
          </w:p>
        </w:tc>
      </w:tr>
      <w:tr>
        <w:trPr>
          <w:cantSplit/>
        </w:trPr>
        <w:tc>
          <w:tcPr>
            <w:tcW w:type="dxa" w:w="2304"/>
            <w:shd w:fill="EAF1F8"/>
            <w:tcMar>
              <w:top w:w="85" w:type="dxa"/>
              <w:start w:w="100" w:type="dxa"/>
              <w:bottom w:w="85" w:type="dxa"/>
              <w:end w:w="100" w:type="dxa"/>
            </w:tcMar>
            <w:vAlign w:val="center"/>
          </w:tcPr>
          <w:p>
            <w:pPr>
              <w:pStyle w:val="TableText"/>
              <w:jc w:val="center"/>
            </w:pPr>
            <w:r>
              <w:rPr>
                <w:sz w:val="17"/>
              </w:rPr>
              <w:t>First coupling gate</w:t>
            </w:r>
          </w:p>
        </w:tc>
        <w:tc>
          <w:tcPr>
            <w:tcW w:type="dxa" w:w="3744"/>
            <w:shd w:fill="EAF1F8"/>
            <w:tcMar>
              <w:top w:w="85" w:type="dxa"/>
              <w:start w:w="100" w:type="dxa"/>
              <w:bottom w:w="85" w:type="dxa"/>
              <w:end w:w="100" w:type="dxa"/>
            </w:tcMar>
            <w:vAlign w:val="center"/>
          </w:tcPr>
          <w:p>
            <w:pPr>
              <w:pStyle w:val="TableText"/>
              <w:jc w:val="left"/>
            </w:pPr>
            <w:r>
              <w:rPr>
                <w:sz w:val="17"/>
              </w:rPr>
              <w:t>Do not advance particles before coupled data arrive</w:t>
            </w:r>
          </w:p>
        </w:tc>
        <w:tc>
          <w:tcPr>
            <w:tcW w:type="dxa" w:w="4176"/>
            <w:shd w:fill="EAF1F8"/>
            <w:tcMar>
              <w:top w:w="85" w:type="dxa"/>
              <w:start w:w="100" w:type="dxa"/>
              <w:bottom w:w="85" w:type="dxa"/>
              <w:end w:w="100" w:type="dxa"/>
            </w:tcMar>
            <w:vAlign w:val="center"/>
          </w:tcPr>
          <w:p>
            <w:pPr>
              <w:pStyle w:val="TableText"/>
              <w:jc w:val="left"/>
            </w:pPr>
            <w:r>
              <w:rPr>
                <w:sz w:val="17"/>
              </w:rPr>
              <w:t>Require the full SEP field set and a common epoch, not only magnetic field and velocity offsets</w:t>
            </w:r>
          </w:p>
        </w:tc>
      </w:tr>
      <w:tr>
        <w:trPr>
          <w:cantSplit/>
        </w:trPr>
        <w:tc>
          <w:tcPr>
            <w:tcW w:type="dxa" w:w="2304"/>
            <w:shd w:fill="FFFFFF"/>
            <w:tcMar>
              <w:top w:w="85" w:type="dxa"/>
              <w:start w:w="100" w:type="dxa"/>
              <w:bottom w:w="85" w:type="dxa"/>
              <w:end w:w="100" w:type="dxa"/>
            </w:tcMar>
            <w:vAlign w:val="center"/>
          </w:tcPr>
          <w:p>
            <w:pPr>
              <w:pStyle w:val="TableText"/>
              <w:jc w:val="center"/>
            </w:pPr>
            <w:r>
              <w:rPr>
                <w:sz w:val="17"/>
              </w:rPr>
              <w:t>Shared standalone physics</w:t>
            </w:r>
          </w:p>
        </w:tc>
        <w:tc>
          <w:tcPr>
            <w:tcW w:type="dxa" w:w="3744"/>
            <w:shd w:fill="FFFFFF"/>
            <w:tcMar>
              <w:top w:w="85" w:type="dxa"/>
              <w:start w:w="100" w:type="dxa"/>
              <w:bottom w:w="85" w:type="dxa"/>
              <w:end w:w="100" w:type="dxa"/>
            </w:tcMar>
            <w:vAlign w:val="center"/>
          </w:tcPr>
          <w:p>
            <w:pPr>
              <w:pStyle w:val="TableText"/>
              <w:jc w:val="left"/>
            </w:pPr>
            <w:r>
              <w:rPr>
                <w:sz w:val="17"/>
              </w:rPr>
              <w:t>Run the same movers in Parker and SWMF modes</w:t>
            </w:r>
          </w:p>
        </w:tc>
        <w:tc>
          <w:tcPr>
            <w:tcW w:type="dxa" w:w="4176"/>
            <w:shd w:fill="FFFFFF"/>
            <w:tcMar>
              <w:top w:w="85" w:type="dxa"/>
              <w:start w:w="100" w:type="dxa"/>
              <w:bottom w:w="85" w:type="dxa"/>
              <w:end w:w="100" w:type="dxa"/>
            </w:tcMar>
            <w:vAlign w:val="center"/>
          </w:tcPr>
          <w:p>
            <w:pPr>
              <w:pStyle w:val="TableText"/>
              <w:jc w:val="left"/>
            </w:pPr>
            <w:r>
              <w:rPr>
                <w:sz w:val="17"/>
              </w:rPr>
              <w:t>Do not duplicate transport equations in the coupling bridge</w:t>
            </w:r>
          </w:p>
        </w:tc>
      </w:tr>
      <w:tr>
        <w:trPr>
          <w:cantSplit/>
        </w:trPr>
        <w:tc>
          <w:tcPr>
            <w:tcW w:type="dxa" w:w="2304"/>
            <w:shd w:fill="EAF1F8"/>
            <w:tcMar>
              <w:top w:w="85" w:type="dxa"/>
              <w:start w:w="100" w:type="dxa"/>
              <w:bottom w:w="85" w:type="dxa"/>
              <w:end w:w="100" w:type="dxa"/>
            </w:tcMar>
            <w:vAlign w:val="center"/>
          </w:tcPr>
          <w:p>
            <w:pPr>
              <w:pStyle w:val="TableText"/>
              <w:jc w:val="center"/>
            </w:pPr>
            <w:r>
              <w:rPr>
                <w:sz w:val="17"/>
              </w:rPr>
              <w:t>Static cadence variables</w:t>
            </w:r>
          </w:p>
        </w:tc>
        <w:tc>
          <w:tcPr>
            <w:tcW w:type="dxa" w:w="3744"/>
            <w:shd w:fill="EAF1F8"/>
            <w:tcMar>
              <w:top w:w="85" w:type="dxa"/>
              <w:start w:w="100" w:type="dxa"/>
              <w:bottom w:w="85" w:type="dxa"/>
              <w:end w:w="100" w:type="dxa"/>
            </w:tcMar>
            <w:vAlign w:val="center"/>
          </w:tcPr>
          <w:p>
            <w:pPr>
              <w:pStyle w:val="TableText"/>
              <w:jc w:val="left"/>
            </w:pPr>
            <w:r>
              <w:rPr>
                <w:sz w:val="17"/>
              </w:rPr>
              <w:t>Do not adopt</w:t>
            </w:r>
          </w:p>
        </w:tc>
        <w:tc>
          <w:tcPr>
            <w:tcW w:type="dxa" w:w="4176"/>
            <w:shd w:fill="EAF1F8"/>
            <w:tcMar>
              <w:top w:w="85" w:type="dxa"/>
              <w:start w:w="100" w:type="dxa"/>
              <w:bottom w:w="85" w:type="dxa"/>
              <w:end w:w="100" w:type="dxa"/>
            </w:tcMar>
            <w:vAlign w:val="center"/>
          </w:tcPr>
          <w:p>
            <w:pPr>
              <w:pStyle w:val="TableText"/>
              <w:jc w:val="left"/>
            </w:pPr>
            <w:r>
              <w:rPr>
                <w:sz w:val="17"/>
              </w:rPr>
              <w:t>Store cadence and restart state in Runtime and serialize it</w:t>
            </w:r>
          </w:p>
        </w:tc>
      </w:tr>
    </w:tbl>
    <w:p>
      <w:pPr>
        <w:pStyle w:val="Heading1"/>
      </w:pPr>
      <w:r>
        <w:t>2 Model Scope and Physical Boundaries</w:t>
      </w:r>
    </w:p>
    <w:p>
      <w:pPr>
        <w:pStyle w:val="Heading2"/>
      </w:pPr>
      <w:r>
        <w:t>1 Production Scope</w:t>
      </w:r>
    </w:p>
    <w:p>
      <w:pPr>
        <w:pStyle w:val="ListBullet"/>
        <w:spacing w:after="50"/>
      </w:pPr>
      <w:r>
        <w:t>A true three-dimensional Cartesian AMPS domain extending from the inner heliospheric boundary to Earth or Mars orbital distance.</w:t>
      </w:r>
    </w:p>
    <w:p>
      <w:pPr>
        <w:pStyle w:val="ListBullet"/>
        <w:spacing w:after="50"/>
      </w:pPr>
      <w:r>
        <w:t>A Parker transport solver for nearly isotropic distributions.</w:t>
      </w:r>
    </w:p>
    <w:p>
      <w:pPr>
        <w:pStyle w:val="ListBullet"/>
        <w:spacing w:after="50"/>
      </w:pPr>
      <w:r>
        <w:t>A focused transport solver that advances position, momentum, and pitch-angle cosine.</w:t>
      </w:r>
    </w:p>
    <w:p>
      <w:pPr>
        <w:pStyle w:val="ListBullet"/>
        <w:spacing w:after="50"/>
      </w:pPr>
      <w:r>
        <w:t>Analytic Parker-spiral and time-dependent SWMF AWSoM ambient backgrounds through the same provider contract.</w:t>
      </w:r>
    </w:p>
    <w:p>
      <w:pPr>
        <w:pStyle w:val="ListBullet"/>
        <w:spacing w:after="50"/>
      </w:pPr>
      <w:r>
        <w:t>Pitch-angle scattering and diffusion coefficients derived from prescribed or SWMF Alfvén turbulence.</w:t>
      </w:r>
    </w:p>
    <w:p>
      <w:pPr>
        <w:pStyle w:val="ListBullet"/>
        <w:spacing w:after="50"/>
      </w:pPr>
      <w:r>
        <w:t>Shock geometry and injection parameters supplied by the shared SWCME model.</w:t>
      </w:r>
    </w:p>
    <w:p>
      <w:pPr>
        <w:pStyle w:val="ListBullet"/>
        <w:spacing w:after="50"/>
      </w:pPr>
      <w:r>
        <w:t>Virtual-spacecraft, cell, shell, spectrum, anisotropy, and shock-source diagnostics.</w:t>
      </w:r>
    </w:p>
    <w:p>
      <w:pPr>
        <w:pStyle w:val="ListBullet"/>
        <w:spacing w:after="50"/>
      </w:pPr>
      <w:r>
        <w:t>Deterministic restart, configuration fingerprints, and reproducible stochastic streams.</w:t>
      </w:r>
    </w:p>
    <w:p>
      <w:pPr>
        <w:pStyle w:val="Heading2"/>
      </w:pPr>
      <w:r>
        <w:t>2 Separation from srcSEP</w:t>
      </w:r>
    </w:p>
    <w:p>
      <w:r>
        <w:t>srcSEP remains the field-line application with the three approved production movers Parker  focused transport using Dμμ  and focused transport using mean free path. It retains the self-consistent one-dimensional Alfvén turbulence option. srcSEP3D shares numerical kernels and physical parameterizations but does not attach particles to a field-line segment. Its particles sample the local three-dimensional state at their current mesh location.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2232"/>
            <w:shd w:fill="17365D"/>
            <w:tcMar>
              <w:top w:w="100" w:type="dxa"/>
              <w:start w:w="110" w:type="dxa"/>
              <w:bottom w:w="100" w:type="dxa"/>
              <w:end w:w="110" w:type="dxa"/>
            </w:tcMar>
            <w:vAlign w:val="center"/>
          </w:tcPr>
          <w:p>
            <w:pPr>
              <w:pStyle w:val="TableText"/>
              <w:jc w:val="center"/>
            </w:pPr>
            <w:r>
              <w:rPr>
                <w:b/>
                <w:color w:val="FFFFFF"/>
                <w:sz w:val="17"/>
              </w:rPr>
              <w:t>Capability</w:t>
            </w:r>
          </w:p>
        </w:tc>
        <w:tc>
          <w:tcPr>
            <w:tcW w:type="dxa" w:w="3816"/>
            <w:shd w:fill="17365D"/>
            <w:tcMar>
              <w:top w:w="100" w:type="dxa"/>
              <w:start w:w="110" w:type="dxa"/>
              <w:bottom w:w="100" w:type="dxa"/>
              <w:end w:w="110" w:type="dxa"/>
            </w:tcMar>
            <w:vAlign w:val="center"/>
          </w:tcPr>
          <w:p>
            <w:pPr>
              <w:pStyle w:val="TableText"/>
              <w:jc w:val="center"/>
            </w:pPr>
            <w:r>
              <w:rPr>
                <w:b/>
                <w:color w:val="FFFFFF"/>
                <w:sz w:val="17"/>
              </w:rPr>
              <w:t>srcSEP</w:t>
            </w:r>
          </w:p>
        </w:tc>
        <w:tc>
          <w:tcPr>
            <w:tcW w:type="dxa" w:w="4176"/>
            <w:shd w:fill="17365D"/>
            <w:tcMar>
              <w:top w:w="100" w:type="dxa"/>
              <w:start w:w="110" w:type="dxa"/>
              <w:bottom w:w="100" w:type="dxa"/>
              <w:end w:w="110" w:type="dxa"/>
            </w:tcMar>
            <w:vAlign w:val="center"/>
          </w:tcPr>
          <w:p>
            <w:pPr>
              <w:pStyle w:val="TableText"/>
              <w:jc w:val="center"/>
            </w:pPr>
            <w:r>
              <w:rPr>
                <w:b/>
                <w:color w:val="FFFFFF"/>
                <w:sz w:val="17"/>
              </w:rPr>
              <w:t>srcSEP3D</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Particle geometry</w:t>
            </w:r>
          </w:p>
        </w:tc>
        <w:tc>
          <w:tcPr>
            <w:tcW w:type="dxa" w:w="3816"/>
            <w:shd w:fill="FFFFFF"/>
            <w:tcMar>
              <w:top w:w="85" w:type="dxa"/>
              <w:start w:w="100" w:type="dxa"/>
              <w:bottom w:w="85" w:type="dxa"/>
              <w:end w:w="100" w:type="dxa"/>
            </w:tcMar>
            <w:vAlign w:val="center"/>
          </w:tcPr>
          <w:p>
            <w:pPr>
              <w:pStyle w:val="TableText"/>
              <w:jc w:val="left"/>
            </w:pPr>
            <w:r>
              <w:rPr>
                <w:sz w:val="17"/>
              </w:rPr>
              <w:t>One-dimensional coordinate on a selected three-dimensional field line</w:t>
            </w:r>
          </w:p>
        </w:tc>
        <w:tc>
          <w:tcPr>
            <w:tcW w:type="dxa" w:w="4176"/>
            <w:shd w:fill="FFFFFF"/>
            <w:tcMar>
              <w:top w:w="85" w:type="dxa"/>
              <w:start w:w="100" w:type="dxa"/>
              <w:bottom w:w="85" w:type="dxa"/>
              <w:end w:w="100" w:type="dxa"/>
            </w:tcMar>
            <w:vAlign w:val="center"/>
          </w:tcPr>
          <w:p>
            <w:pPr>
              <w:pStyle w:val="TableText"/>
              <w:jc w:val="left"/>
            </w:pPr>
            <w:r>
              <w:rPr>
                <w:sz w:val="17"/>
              </w:rPr>
              <w:t>Three-dimensional position on the AMPS mesh</w:t>
            </w:r>
          </w:p>
        </w:tc>
      </w:tr>
      <w:tr>
        <w:trPr>
          <w:cantSplit/>
        </w:trPr>
        <w:tc>
          <w:tcPr>
            <w:tcW w:type="dxa" w:w="2232"/>
            <w:shd w:fill="EAF1F8"/>
            <w:tcMar>
              <w:top w:w="85" w:type="dxa"/>
              <w:start w:w="100" w:type="dxa"/>
              <w:bottom w:w="85" w:type="dxa"/>
              <w:end w:w="100" w:type="dxa"/>
            </w:tcMar>
            <w:vAlign w:val="center"/>
          </w:tcPr>
          <w:p>
            <w:pPr>
              <w:pStyle w:val="TableText"/>
              <w:jc w:val="center"/>
            </w:pPr>
            <w:r>
              <w:rPr>
                <w:sz w:val="17"/>
              </w:rPr>
              <w:t>Magnetic connectivity</w:t>
            </w:r>
          </w:p>
        </w:tc>
        <w:tc>
          <w:tcPr>
            <w:tcW w:type="dxa" w:w="3816"/>
            <w:shd w:fill="EAF1F8"/>
            <w:tcMar>
              <w:top w:w="85" w:type="dxa"/>
              <w:start w:w="100" w:type="dxa"/>
              <w:bottom w:w="85" w:type="dxa"/>
              <w:end w:w="100" w:type="dxa"/>
            </w:tcMar>
            <w:vAlign w:val="center"/>
          </w:tcPr>
          <w:p>
            <w:pPr>
              <w:pStyle w:val="TableText"/>
              <w:jc w:val="left"/>
            </w:pPr>
            <w:r>
              <w:rPr>
                <w:sz w:val="17"/>
              </w:rPr>
              <w:t>Fixed to a selected field line during a run</w:t>
            </w:r>
          </w:p>
        </w:tc>
        <w:tc>
          <w:tcPr>
            <w:tcW w:type="dxa" w:w="4176"/>
            <w:shd w:fill="EAF1F8"/>
            <w:tcMar>
              <w:top w:w="85" w:type="dxa"/>
              <w:start w:w="100" w:type="dxa"/>
              <w:bottom w:w="85" w:type="dxa"/>
              <w:end w:w="100" w:type="dxa"/>
            </w:tcMar>
            <w:vAlign w:val="center"/>
          </w:tcPr>
          <w:p>
            <w:pPr>
              <w:pStyle w:val="TableText"/>
              <w:jc w:val="left"/>
            </w:pPr>
            <w:r>
              <w:rPr>
                <w:sz w:val="17"/>
              </w:rPr>
              <w:t>Changes continuously as particles move and the coupled field evolves</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Parallel scattering</w:t>
            </w:r>
          </w:p>
        </w:tc>
        <w:tc>
          <w:tcPr>
            <w:tcW w:type="dxa" w:w="3816"/>
            <w:shd w:fill="FFFFFF"/>
            <w:tcMar>
              <w:top w:w="85" w:type="dxa"/>
              <w:start w:w="100" w:type="dxa"/>
              <w:bottom w:w="85" w:type="dxa"/>
              <w:end w:w="100" w:type="dxa"/>
            </w:tcMar>
            <w:vAlign w:val="center"/>
          </w:tcPr>
          <w:p>
            <w:pPr>
              <w:pStyle w:val="TableText"/>
              <w:jc w:val="left"/>
            </w:pPr>
            <w:r>
              <w:rPr>
                <w:sz w:val="17"/>
              </w:rPr>
              <w:t>Production</w:t>
            </w:r>
          </w:p>
        </w:tc>
        <w:tc>
          <w:tcPr>
            <w:tcW w:type="dxa" w:w="4176"/>
            <w:shd w:fill="FFFFFF"/>
            <w:tcMar>
              <w:top w:w="85" w:type="dxa"/>
              <w:start w:w="100" w:type="dxa"/>
              <w:bottom w:w="85" w:type="dxa"/>
              <w:end w:w="100" w:type="dxa"/>
            </w:tcMar>
            <w:vAlign w:val="center"/>
          </w:tcPr>
          <w:p>
            <w:pPr>
              <w:pStyle w:val="TableText"/>
              <w:jc w:val="left"/>
            </w:pPr>
            <w:r>
              <w:rPr>
                <w:sz w:val="17"/>
              </w:rPr>
              <w:t>Production</w:t>
            </w:r>
          </w:p>
        </w:tc>
      </w:tr>
      <w:tr>
        <w:trPr>
          <w:cantSplit/>
        </w:trPr>
        <w:tc>
          <w:tcPr>
            <w:tcW w:type="dxa" w:w="2232"/>
            <w:shd w:fill="EAF1F8"/>
            <w:tcMar>
              <w:top w:w="85" w:type="dxa"/>
              <w:start w:w="100" w:type="dxa"/>
              <w:bottom w:w="85" w:type="dxa"/>
              <w:end w:w="100" w:type="dxa"/>
            </w:tcMar>
            <w:vAlign w:val="center"/>
          </w:tcPr>
          <w:p>
            <w:pPr>
              <w:pStyle w:val="TableText"/>
              <w:jc w:val="center"/>
            </w:pPr>
            <w:r>
              <w:rPr>
                <w:sz w:val="17"/>
              </w:rPr>
              <w:t>Perpendicular transport</w:t>
            </w:r>
          </w:p>
        </w:tc>
        <w:tc>
          <w:tcPr>
            <w:tcW w:type="dxa" w:w="3816"/>
            <w:shd w:fill="EAF1F8"/>
            <w:tcMar>
              <w:top w:w="85" w:type="dxa"/>
              <w:start w:w="100" w:type="dxa"/>
              <w:bottom w:w="85" w:type="dxa"/>
              <w:end w:w="100" w:type="dxa"/>
            </w:tcMar>
            <w:vAlign w:val="center"/>
          </w:tcPr>
          <w:p>
            <w:pPr>
              <w:pStyle w:val="TableText"/>
              <w:jc w:val="left"/>
            </w:pPr>
            <w:r>
              <w:rPr>
                <w:sz w:val="17"/>
              </w:rPr>
              <w:t>Outside the production mover set</w:t>
            </w:r>
          </w:p>
        </w:tc>
        <w:tc>
          <w:tcPr>
            <w:tcW w:type="dxa" w:w="4176"/>
            <w:shd w:fill="EAF1F8"/>
            <w:tcMar>
              <w:top w:w="85" w:type="dxa"/>
              <w:start w:w="100" w:type="dxa"/>
              <w:bottom w:w="85" w:type="dxa"/>
              <w:end w:w="100" w:type="dxa"/>
            </w:tcMar>
            <w:vAlign w:val="center"/>
          </w:tcPr>
          <w:p>
            <w:pPr>
              <w:pStyle w:val="TableText"/>
              <w:jc w:val="left"/>
            </w:pPr>
            <w:r>
              <w:rPr>
                <w:sz w:val="17"/>
              </w:rPr>
              <w:t>Reserved initially and enabled after the parallel release baseline</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Self-consistent turbulence</w:t>
            </w:r>
          </w:p>
        </w:tc>
        <w:tc>
          <w:tcPr>
            <w:tcW w:type="dxa" w:w="3816"/>
            <w:shd w:fill="FFFFFF"/>
            <w:tcMar>
              <w:top w:w="85" w:type="dxa"/>
              <w:start w:w="100" w:type="dxa"/>
              <w:bottom w:w="85" w:type="dxa"/>
              <w:end w:w="100" w:type="dxa"/>
            </w:tcMar>
            <w:vAlign w:val="center"/>
          </w:tcPr>
          <w:p>
            <w:pPr>
              <w:pStyle w:val="TableText"/>
              <w:jc w:val="left"/>
            </w:pPr>
            <w:r>
              <w:rPr>
                <w:sz w:val="17"/>
              </w:rPr>
              <w:t>Available in one dimension</w:t>
            </w:r>
          </w:p>
        </w:tc>
        <w:tc>
          <w:tcPr>
            <w:tcW w:type="dxa" w:w="4176"/>
            <w:shd w:fill="FFFFFF"/>
            <w:tcMar>
              <w:top w:w="85" w:type="dxa"/>
              <w:start w:w="100" w:type="dxa"/>
              <w:bottom w:w="85" w:type="dxa"/>
              <w:end w:w="100" w:type="dxa"/>
            </w:tcMar>
            <w:vAlign w:val="center"/>
          </w:tcPr>
          <w:p>
            <w:pPr>
              <w:pStyle w:val="TableText"/>
              <w:jc w:val="left"/>
            </w:pPr>
            <w:r>
              <w:rPr>
                <w:sz w:val="17"/>
              </w:rPr>
              <w:t>Future extension unless a mesh-based wave-energy closure is implemented</w:t>
            </w:r>
          </w:p>
        </w:tc>
      </w:tr>
      <w:tr>
        <w:trPr>
          <w:cantSplit/>
        </w:trPr>
        <w:tc>
          <w:tcPr>
            <w:tcW w:type="dxa" w:w="2232"/>
            <w:shd w:fill="EAF1F8"/>
            <w:tcMar>
              <w:top w:w="85" w:type="dxa"/>
              <w:start w:w="100" w:type="dxa"/>
              <w:bottom w:w="85" w:type="dxa"/>
              <w:end w:w="100" w:type="dxa"/>
            </w:tcMar>
            <w:vAlign w:val="center"/>
          </w:tcPr>
          <w:p>
            <w:pPr>
              <w:pStyle w:val="TableText"/>
              <w:jc w:val="center"/>
            </w:pPr>
            <w:r>
              <w:rPr>
                <w:sz w:val="17"/>
              </w:rPr>
              <w:t>Primary validation</w:t>
            </w:r>
          </w:p>
        </w:tc>
        <w:tc>
          <w:tcPr>
            <w:tcW w:type="dxa" w:w="3816"/>
            <w:shd w:fill="EAF1F8"/>
            <w:tcMar>
              <w:top w:w="85" w:type="dxa"/>
              <w:start w:w="100" w:type="dxa"/>
              <w:bottom w:w="85" w:type="dxa"/>
              <w:end w:w="100" w:type="dxa"/>
            </w:tcMar>
            <w:vAlign w:val="center"/>
          </w:tcPr>
          <w:p>
            <w:pPr>
              <w:pStyle w:val="TableText"/>
              <w:jc w:val="left"/>
            </w:pPr>
            <w:r>
              <w:rPr>
                <w:sz w:val="17"/>
              </w:rPr>
              <w:t>Analytic one-dimensional and field-line event cases</w:t>
            </w:r>
          </w:p>
        </w:tc>
        <w:tc>
          <w:tcPr>
            <w:tcW w:type="dxa" w:w="4176"/>
            <w:shd w:fill="EAF1F8"/>
            <w:tcMar>
              <w:top w:w="85" w:type="dxa"/>
              <w:start w:w="100" w:type="dxa"/>
              <w:bottom w:w="85" w:type="dxa"/>
              <w:end w:w="100" w:type="dxa"/>
            </w:tcMar>
            <w:vAlign w:val="center"/>
          </w:tcPr>
          <w:p>
            <w:pPr>
              <w:pStyle w:val="TableText"/>
              <w:jc w:val="left"/>
            </w:pPr>
            <w:r>
              <w:rPr>
                <w:sz w:val="17"/>
              </w:rPr>
              <w:t>Reduction to srcSEP plus genuinely three-dimensional multi-spacecraft cases</w:t>
            </w:r>
          </w:p>
        </w:tc>
      </w:tr>
    </w:tbl>
    <w:p>
      <w:pPr>
        <w:pStyle w:val="Heading2"/>
      </w:pPr>
      <w:r>
        <w:t>3 Release Boundaries</w:t>
      </w:r>
    </w:p>
    <w:p>
      <w:r>
        <w:t>The first validated release implements parallel diffusion and pitch-angle scattering with perpendicular diffusion and drift velocities set exactly to zero. The provider interfaces and random-number purpose tags may reserve these extensions, but their names must be rejected until implementation and validation are complete. This prevents an inert placeholder from being mistaken for active physics.</w:t>
      </w:r>
    </w:p>
    <w:p>
      <w:pPr>
        <w:pStyle w:val="Heading1"/>
      </w:pPr>
      <w:r>
        <w:t>3 Target Software Architecture</w:t>
      </w:r>
    </w:p>
    <w:p>
      <w:pPr>
        <w:pStyle w:val="Heading2"/>
      </w:pPr>
      <w:r>
        <w:t>1 Layering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152"/>
            <w:shd w:fill="17365D"/>
            <w:tcMar>
              <w:top w:w="100" w:type="dxa"/>
              <w:start w:w="110" w:type="dxa"/>
              <w:bottom w:w="100" w:type="dxa"/>
              <w:end w:w="110" w:type="dxa"/>
            </w:tcMar>
            <w:vAlign w:val="center"/>
          </w:tcPr>
          <w:p>
            <w:pPr>
              <w:pStyle w:val="TableText"/>
              <w:jc w:val="center"/>
            </w:pPr>
            <w:r>
              <w:rPr>
                <w:b/>
                <w:color w:val="FFFFFF"/>
                <w:sz w:val="17"/>
              </w:rPr>
              <w:t>Layer</w:t>
            </w:r>
          </w:p>
        </w:tc>
        <w:tc>
          <w:tcPr>
            <w:tcW w:type="dxa" w:w="3311"/>
            <w:shd w:fill="17365D"/>
            <w:tcMar>
              <w:top w:w="100" w:type="dxa"/>
              <w:start w:w="110" w:type="dxa"/>
              <w:bottom w:w="100" w:type="dxa"/>
              <w:end w:w="110" w:type="dxa"/>
            </w:tcMar>
            <w:vAlign w:val="center"/>
          </w:tcPr>
          <w:p>
            <w:pPr>
              <w:pStyle w:val="TableText"/>
              <w:jc w:val="center"/>
            </w:pPr>
            <w:r>
              <w:rPr>
                <w:b/>
                <w:color w:val="FFFFFF"/>
                <w:sz w:val="17"/>
              </w:rPr>
              <w:t>Primary content</w:t>
            </w:r>
          </w:p>
        </w:tc>
        <w:tc>
          <w:tcPr>
            <w:tcW w:type="dxa" w:w="2736"/>
            <w:shd w:fill="17365D"/>
            <w:tcMar>
              <w:top w:w="100" w:type="dxa"/>
              <w:start w:w="110" w:type="dxa"/>
              <w:bottom w:w="100" w:type="dxa"/>
              <w:end w:w="110" w:type="dxa"/>
            </w:tcMar>
            <w:vAlign w:val="center"/>
          </w:tcPr>
          <w:p>
            <w:pPr>
              <w:pStyle w:val="TableText"/>
              <w:jc w:val="center"/>
            </w:pPr>
            <w:r>
              <w:rPr>
                <w:b/>
                <w:color w:val="FFFFFF"/>
                <w:sz w:val="17"/>
              </w:rPr>
              <w:t>Dependencies</w:t>
            </w:r>
          </w:p>
        </w:tc>
        <w:tc>
          <w:tcPr>
            <w:tcW w:type="dxa" w:w="3024"/>
            <w:shd w:fill="17365D"/>
            <w:tcMar>
              <w:top w:w="100" w:type="dxa"/>
              <w:start w:w="110" w:type="dxa"/>
              <w:bottom w:w="100" w:type="dxa"/>
              <w:end w:w="110" w:type="dxa"/>
            </w:tcMar>
            <w:vAlign w:val="center"/>
          </w:tcPr>
          <w:p>
            <w:pPr>
              <w:pStyle w:val="TableText"/>
              <w:jc w:val="center"/>
            </w:pPr>
            <w:r>
              <w:rPr>
                <w:b/>
                <w:color w:val="FFFFFF"/>
                <w:sz w:val="17"/>
              </w:rPr>
              <w:t>Rule</w:t>
            </w:r>
          </w:p>
        </w:tc>
      </w:tr>
      <w:tr>
        <w:trPr>
          <w:cantSplit/>
        </w:trPr>
        <w:tc>
          <w:tcPr>
            <w:tcW w:type="dxa" w:w="1152"/>
            <w:shd w:fill="FFFFFF"/>
            <w:tcMar>
              <w:top w:w="85" w:type="dxa"/>
              <w:start w:w="100" w:type="dxa"/>
              <w:bottom w:w="85" w:type="dxa"/>
              <w:end w:w="100" w:type="dxa"/>
            </w:tcMar>
            <w:vAlign w:val="center"/>
          </w:tcPr>
          <w:p>
            <w:pPr>
              <w:pStyle w:val="TableText"/>
              <w:jc w:val="center"/>
            </w:pPr>
            <w:r>
              <w:rPr>
                <w:sz w:val="17"/>
              </w:rPr>
              <w:t>L0 Core</w:t>
            </w:r>
          </w:p>
        </w:tc>
        <w:tc>
          <w:tcPr>
            <w:tcW w:type="dxa" w:w="3311"/>
            <w:shd w:fill="FFFFFF"/>
            <w:tcMar>
              <w:top w:w="85" w:type="dxa"/>
              <w:start w:w="100" w:type="dxa"/>
              <w:bottom w:w="85" w:type="dxa"/>
              <w:end w:w="100" w:type="dxa"/>
            </w:tcMar>
            <w:vAlign w:val="center"/>
          </w:tcPr>
          <w:p>
            <w:pPr>
              <w:pStyle w:val="TableText"/>
              <w:jc w:val="left"/>
            </w:pPr>
            <w:r>
              <w:rPr>
                <w:sz w:val="17"/>
              </w:rPr>
              <w:t>Types, units, RNG keys, transport kernels, mesh laws, test registry</w:t>
            </w:r>
          </w:p>
        </w:tc>
        <w:tc>
          <w:tcPr>
            <w:tcW w:type="dxa" w:w="2736"/>
            <w:shd w:fill="FFFFFF"/>
            <w:tcMar>
              <w:top w:w="85" w:type="dxa"/>
              <w:start w:w="100" w:type="dxa"/>
              <w:bottom w:w="85" w:type="dxa"/>
              <w:end w:w="100" w:type="dxa"/>
            </w:tcMar>
            <w:vAlign w:val="center"/>
          </w:tcPr>
          <w:p>
            <w:pPr>
              <w:pStyle w:val="TableText"/>
              <w:jc w:val="left"/>
            </w:pPr>
            <w:r>
              <w:rPr>
                <w:sz w:val="17"/>
              </w:rPr>
              <w:t>C++ standard library</w:t>
            </w:r>
          </w:p>
        </w:tc>
        <w:tc>
          <w:tcPr>
            <w:tcW w:type="dxa" w:w="3024"/>
            <w:shd w:fill="FFFFFF"/>
            <w:tcMar>
              <w:top w:w="85" w:type="dxa"/>
              <w:start w:w="100" w:type="dxa"/>
              <w:bottom w:w="85" w:type="dxa"/>
              <w:end w:w="100" w:type="dxa"/>
            </w:tcMar>
            <w:vAlign w:val="center"/>
          </w:tcPr>
          <w:p>
            <w:pPr>
              <w:pStyle w:val="TableText"/>
              <w:jc w:val="left"/>
            </w:pPr>
            <w:r>
              <w:rPr>
                <w:sz w:val="17"/>
              </w:rPr>
              <w:t>Must not include pic.h or mpi.h</w:t>
            </w:r>
          </w:p>
        </w:tc>
      </w:tr>
      <w:tr>
        <w:trPr>
          <w:cantSplit/>
        </w:trPr>
        <w:tc>
          <w:tcPr>
            <w:tcW w:type="dxa" w:w="1152"/>
            <w:shd w:fill="EAF1F8"/>
            <w:tcMar>
              <w:top w:w="85" w:type="dxa"/>
              <w:start w:w="100" w:type="dxa"/>
              <w:bottom w:w="85" w:type="dxa"/>
              <w:end w:w="100" w:type="dxa"/>
            </w:tcMar>
            <w:vAlign w:val="center"/>
          </w:tcPr>
          <w:p>
            <w:pPr>
              <w:pStyle w:val="TableText"/>
              <w:jc w:val="center"/>
            </w:pPr>
            <w:r>
              <w:rPr>
                <w:sz w:val="17"/>
              </w:rPr>
              <w:t>L1 Physics providers</w:t>
            </w:r>
          </w:p>
        </w:tc>
        <w:tc>
          <w:tcPr>
            <w:tcW w:type="dxa" w:w="3311"/>
            <w:shd w:fill="EAF1F8"/>
            <w:tcMar>
              <w:top w:w="85" w:type="dxa"/>
              <w:start w:w="100" w:type="dxa"/>
              <w:bottom w:w="85" w:type="dxa"/>
              <w:end w:w="100" w:type="dxa"/>
            </w:tcMar>
            <w:vAlign w:val="center"/>
          </w:tcPr>
          <w:p>
            <w:pPr>
              <w:pStyle w:val="TableText"/>
              <w:jc w:val="left"/>
            </w:pPr>
            <w:r>
              <w:rPr>
                <w:sz w:val="17"/>
              </w:rPr>
              <w:t>Parker background, turbulence models, coefficient registry, shock adapter</w:t>
            </w:r>
          </w:p>
        </w:tc>
        <w:tc>
          <w:tcPr>
            <w:tcW w:type="dxa" w:w="2736"/>
            <w:shd w:fill="EAF1F8"/>
            <w:tcMar>
              <w:top w:w="85" w:type="dxa"/>
              <w:start w:w="100" w:type="dxa"/>
              <w:bottom w:w="85" w:type="dxa"/>
              <w:end w:w="100" w:type="dxa"/>
            </w:tcMar>
            <w:vAlign w:val="center"/>
          </w:tcPr>
          <w:p>
            <w:pPr>
              <w:pStyle w:val="TableText"/>
              <w:jc w:val="left"/>
            </w:pPr>
            <w:r>
              <w:rPr>
                <w:sz w:val="17"/>
              </w:rPr>
              <w:t>L0 and shared sep_util or SWCME APIs</w:t>
            </w:r>
          </w:p>
        </w:tc>
        <w:tc>
          <w:tcPr>
            <w:tcW w:type="dxa" w:w="3024"/>
            <w:shd w:fill="EAF1F8"/>
            <w:tcMar>
              <w:top w:w="85" w:type="dxa"/>
              <w:start w:w="100" w:type="dxa"/>
              <w:bottom w:w="85" w:type="dxa"/>
              <w:end w:w="100" w:type="dxa"/>
            </w:tcMar>
            <w:vAlign w:val="center"/>
          </w:tcPr>
          <w:p>
            <w:pPr>
              <w:pStyle w:val="TableText"/>
              <w:jc w:val="left"/>
            </w:pPr>
            <w:r>
              <w:rPr>
                <w:sz w:val="17"/>
              </w:rPr>
              <w:t>Must not access AMPS global state</w:t>
            </w:r>
          </w:p>
        </w:tc>
      </w:tr>
      <w:tr>
        <w:trPr>
          <w:cantSplit/>
        </w:trPr>
        <w:tc>
          <w:tcPr>
            <w:tcW w:type="dxa" w:w="1152"/>
            <w:shd w:fill="FFFFFF"/>
            <w:tcMar>
              <w:top w:w="85" w:type="dxa"/>
              <w:start w:w="100" w:type="dxa"/>
              <w:bottom w:w="85" w:type="dxa"/>
              <w:end w:w="100" w:type="dxa"/>
            </w:tcMar>
            <w:vAlign w:val="center"/>
          </w:tcPr>
          <w:p>
            <w:pPr>
              <w:pStyle w:val="TableText"/>
              <w:jc w:val="center"/>
            </w:pPr>
            <w:r>
              <w:rPr>
                <w:sz w:val="17"/>
              </w:rPr>
              <w:t>L2 AMPS adapters</w:t>
            </w:r>
          </w:p>
        </w:tc>
        <w:tc>
          <w:tcPr>
            <w:tcW w:type="dxa" w:w="3311"/>
            <w:shd w:fill="FFFFFF"/>
            <w:tcMar>
              <w:top w:w="85" w:type="dxa"/>
              <w:start w:w="100" w:type="dxa"/>
              <w:bottom w:w="85" w:type="dxa"/>
              <w:end w:w="100" w:type="dxa"/>
            </w:tcMar>
            <w:vAlign w:val="center"/>
          </w:tcPr>
          <w:p>
            <w:pPr>
              <w:pStyle w:val="TableText"/>
              <w:jc w:val="left"/>
            </w:pPr>
            <w:r>
              <w:rPr>
                <w:sz w:val="17"/>
              </w:rPr>
              <w:t>Mesh storage, particle buffer bridge, PIC CPLR interpolation, MPI reductions</w:t>
            </w:r>
          </w:p>
        </w:tc>
        <w:tc>
          <w:tcPr>
            <w:tcW w:type="dxa" w:w="2736"/>
            <w:shd w:fill="FFFFFF"/>
            <w:tcMar>
              <w:top w:w="85" w:type="dxa"/>
              <w:start w:w="100" w:type="dxa"/>
              <w:bottom w:w="85" w:type="dxa"/>
              <w:end w:w="100" w:type="dxa"/>
            </w:tcMar>
            <w:vAlign w:val="center"/>
          </w:tcPr>
          <w:p>
            <w:pPr>
              <w:pStyle w:val="TableText"/>
              <w:jc w:val="left"/>
            </w:pPr>
            <w:r>
              <w:rPr>
                <w:sz w:val="17"/>
              </w:rPr>
              <w:t>L0 L1 AMPS MPI</w:t>
            </w:r>
          </w:p>
        </w:tc>
        <w:tc>
          <w:tcPr>
            <w:tcW w:type="dxa" w:w="3024"/>
            <w:shd w:fill="FFFFFF"/>
            <w:tcMar>
              <w:top w:w="85" w:type="dxa"/>
              <w:start w:w="100" w:type="dxa"/>
              <w:bottom w:w="85" w:type="dxa"/>
              <w:end w:w="100" w:type="dxa"/>
            </w:tcMar>
            <w:vAlign w:val="center"/>
          </w:tcPr>
          <w:p>
            <w:pPr>
              <w:pStyle w:val="TableText"/>
              <w:jc w:val="left"/>
            </w:pPr>
            <w:r>
              <w:rPr>
                <w:sz w:val="17"/>
              </w:rPr>
              <w:t>Contains every translation between typed model state and AMPS storage</w:t>
            </w:r>
          </w:p>
        </w:tc>
      </w:tr>
      <w:tr>
        <w:trPr>
          <w:cantSplit/>
        </w:trPr>
        <w:tc>
          <w:tcPr>
            <w:tcW w:type="dxa" w:w="1152"/>
            <w:shd w:fill="EAF1F8"/>
            <w:tcMar>
              <w:top w:w="85" w:type="dxa"/>
              <w:start w:w="100" w:type="dxa"/>
              <w:bottom w:w="85" w:type="dxa"/>
              <w:end w:w="100" w:type="dxa"/>
            </w:tcMar>
            <w:vAlign w:val="center"/>
          </w:tcPr>
          <w:p>
            <w:pPr>
              <w:pStyle w:val="TableText"/>
              <w:jc w:val="center"/>
            </w:pPr>
            <w:r>
              <w:rPr>
                <w:sz w:val="17"/>
              </w:rPr>
              <w:t>L3 Application</w:t>
            </w:r>
          </w:p>
        </w:tc>
        <w:tc>
          <w:tcPr>
            <w:tcW w:type="dxa" w:w="3311"/>
            <w:shd w:fill="EAF1F8"/>
            <w:tcMar>
              <w:top w:w="85" w:type="dxa"/>
              <w:start w:w="100" w:type="dxa"/>
              <w:bottom w:w="85" w:type="dxa"/>
              <w:end w:w="100" w:type="dxa"/>
            </w:tcMar>
            <w:vAlign w:val="center"/>
          </w:tcPr>
          <w:p>
            <w:pPr>
              <w:pStyle w:val="TableText"/>
              <w:jc w:val="left"/>
            </w:pPr>
            <w:r>
              <w:rPr>
                <w:sz w:val="17"/>
              </w:rPr>
              <w:t>Runtime lifecycle, main_lib entry points, CLI configuration, orchestration</w:t>
            </w:r>
          </w:p>
        </w:tc>
        <w:tc>
          <w:tcPr>
            <w:tcW w:type="dxa" w:w="2736"/>
            <w:shd w:fill="EAF1F8"/>
            <w:tcMar>
              <w:top w:w="85" w:type="dxa"/>
              <w:start w:w="100" w:type="dxa"/>
              <w:bottom w:w="85" w:type="dxa"/>
              <w:end w:w="100" w:type="dxa"/>
            </w:tcMar>
            <w:vAlign w:val="center"/>
          </w:tcPr>
          <w:p>
            <w:pPr>
              <w:pStyle w:val="TableText"/>
              <w:jc w:val="left"/>
            </w:pPr>
            <w:r>
              <w:rPr>
                <w:sz w:val="17"/>
              </w:rPr>
              <w:t>All lower layers</w:t>
            </w:r>
          </w:p>
        </w:tc>
        <w:tc>
          <w:tcPr>
            <w:tcW w:type="dxa" w:w="3024"/>
            <w:shd w:fill="EAF1F8"/>
            <w:tcMar>
              <w:top w:w="85" w:type="dxa"/>
              <w:start w:w="100" w:type="dxa"/>
              <w:bottom w:w="85" w:type="dxa"/>
              <w:end w:w="100" w:type="dxa"/>
            </w:tcMar>
            <w:vAlign w:val="center"/>
          </w:tcPr>
          <w:p>
            <w:pPr>
              <w:pStyle w:val="TableText"/>
              <w:jc w:val="left"/>
            </w:pPr>
            <w:r>
              <w:rPr>
                <w:sz w:val="17"/>
              </w:rPr>
              <w:t>Contains no transport equation implementation</w:t>
            </w:r>
          </w:p>
        </w:tc>
      </w:tr>
    </w:tbl>
    <w:p>
      <w:pPr>
        <w:pStyle w:val="Heading2"/>
      </w:pPr>
      <w:r>
        <w:t>2 Runtime and Front Ends</w:t>
      </w:r>
    </w:p>
    <w:p>
      <w:r>
        <w:t>One SEP3D Runtime owns configuration, provider selection, snapshots, counters, sources, sampling, and restart state. The standalone and coupled entry points call the same Runtime methods. Only the background acquisition differs.</w:t>
      </w:r>
    </w:p>
    <w:p>
      <w:pPr>
        <w:pStyle w:val="CodeText"/>
      </w:pPr>
      <w:r>
        <w:t>StandaloneAdapter to SEP3D Runtime to transport providers and SWCME</w:t>
      </w:r>
    </w:p>
    <w:p>
      <w:pPr>
        <w:pStyle w:val="CodeText"/>
      </w:pPr>
      <w:r>
        <w:t>SWMFAdapter to SEP3D Runtime to the same transport providers and SWCME</w:t>
      </w:r>
    </w:p>
    <w:p>
      <w:pPr>
        <w:pStyle w:val="Heading2"/>
      </w:pPr>
      <w:r>
        <w:t>3 Required Ownership Rules</w:t>
      </w:r>
    </w:p>
    <w:p>
      <w:pPr>
        <w:pStyle w:val="ListBullet"/>
        <w:spacing w:after="50"/>
      </w:pPr>
      <w:r>
        <w:t>Runtime is the only owner allowed to publish a new active snapshot.</w:t>
      </w:r>
    </w:p>
    <w:p>
      <w:pPr>
        <w:pStyle w:val="ListBullet"/>
        <w:spacing w:after="50"/>
      </w:pPr>
      <w:r>
        <w:t>The SWMF adapter is the only code allowed to read SWMF offsets and coupling flags.</w:t>
      </w:r>
    </w:p>
    <w:p>
      <w:pPr>
        <w:pStyle w:val="ListBullet"/>
        <w:spacing w:after="50"/>
      </w:pPr>
      <w:r>
        <w:t>The SWCME service is the only code allowed to prepare or replace shock state.</w:t>
      </w:r>
    </w:p>
    <w:p>
      <w:pPr>
        <w:pStyle w:val="ListBullet"/>
        <w:spacing w:after="50"/>
      </w:pPr>
      <w:r>
        <w:t>Movers receive read-only snapshot views and never call a background prepare function.</w:t>
      </w:r>
    </w:p>
    <w:p>
      <w:pPr>
        <w:pStyle w:val="ListBullet"/>
        <w:spacing w:after="50"/>
      </w:pPr>
      <w:r>
        <w:t>Sampling receives the same snapshot identifier used by the mover step.</w:t>
      </w:r>
    </w:p>
    <w:p>
      <w:pPr>
        <w:pStyle w:val="ListBullet"/>
        <w:spacing w:after="50"/>
      </w:pPr>
      <w:r>
        <w:t>Configuration is immutable after storage layout and mesh creation begin.</w:t>
      </w:r>
    </w:p>
    <w:p>
      <w:pPr>
        <w:pStyle w:val="Heading2"/>
      </w:pPr>
      <w:r>
        <w:t>4 Source Authority Map</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944"/>
            <w:shd w:fill="17365D"/>
            <w:tcMar>
              <w:top w:w="100" w:type="dxa"/>
              <w:start w:w="110" w:type="dxa"/>
              <w:bottom w:w="100" w:type="dxa"/>
              <w:end w:w="110" w:type="dxa"/>
            </w:tcMar>
            <w:vAlign w:val="center"/>
          </w:tcPr>
          <w:p>
            <w:pPr>
              <w:pStyle w:val="TableText"/>
              <w:jc w:val="center"/>
            </w:pPr>
            <w:r>
              <w:rPr>
                <w:b/>
                <w:color w:val="FFFFFF"/>
                <w:sz w:val="17"/>
              </w:rPr>
              <w:t>Quantity</w:t>
            </w:r>
          </w:p>
        </w:tc>
        <w:tc>
          <w:tcPr>
            <w:tcW w:type="dxa" w:w="2592"/>
            <w:shd w:fill="17365D"/>
            <w:tcMar>
              <w:top w:w="100" w:type="dxa"/>
              <w:start w:w="110" w:type="dxa"/>
              <w:bottom w:w="100" w:type="dxa"/>
              <w:end w:w="110" w:type="dxa"/>
            </w:tcMar>
            <w:vAlign w:val="center"/>
          </w:tcPr>
          <w:p>
            <w:pPr>
              <w:pStyle w:val="TableText"/>
              <w:jc w:val="center"/>
            </w:pPr>
            <w:r>
              <w:rPr>
                <w:b/>
                <w:color w:val="FFFFFF"/>
                <w:sz w:val="17"/>
              </w:rPr>
              <w:t>Standalone authority</w:t>
            </w:r>
          </w:p>
        </w:tc>
        <w:tc>
          <w:tcPr>
            <w:tcW w:type="dxa" w:w="2592"/>
            <w:shd w:fill="17365D"/>
            <w:tcMar>
              <w:top w:w="100" w:type="dxa"/>
              <w:start w:w="110" w:type="dxa"/>
              <w:bottom w:w="100" w:type="dxa"/>
              <w:end w:w="110" w:type="dxa"/>
            </w:tcMar>
            <w:vAlign w:val="center"/>
          </w:tcPr>
          <w:p>
            <w:pPr>
              <w:pStyle w:val="TableText"/>
              <w:jc w:val="center"/>
            </w:pPr>
            <w:r>
              <w:rPr>
                <w:b/>
                <w:color w:val="FFFFFF"/>
                <w:sz w:val="17"/>
              </w:rPr>
              <w:t>Coupled authority</w:t>
            </w:r>
          </w:p>
        </w:tc>
        <w:tc>
          <w:tcPr>
            <w:tcW w:type="dxa" w:w="3096"/>
            <w:shd w:fill="17365D"/>
            <w:tcMar>
              <w:top w:w="100" w:type="dxa"/>
              <w:start w:w="110" w:type="dxa"/>
              <w:bottom w:w="100" w:type="dxa"/>
              <w:end w:w="110" w:type="dxa"/>
            </w:tcMar>
            <w:vAlign w:val="center"/>
          </w:tcPr>
          <w:p>
            <w:pPr>
              <w:pStyle w:val="TableText"/>
              <w:jc w:val="center"/>
            </w:pPr>
            <w:r>
              <w:rPr>
                <w:b/>
                <w:color w:val="FFFFFF"/>
                <w:sz w:val="17"/>
              </w:rPr>
              <w:t>Fallback policy</w:t>
            </w:r>
          </w:p>
        </w:tc>
      </w:tr>
      <w:tr>
        <w:trPr>
          <w:cantSplit/>
        </w:trPr>
        <w:tc>
          <w:tcPr>
            <w:tcW w:type="dxa" w:w="1944"/>
            <w:shd w:fill="FFFFFF"/>
            <w:tcMar>
              <w:top w:w="85" w:type="dxa"/>
              <w:start w:w="100" w:type="dxa"/>
              <w:bottom w:w="85" w:type="dxa"/>
              <w:end w:w="100" w:type="dxa"/>
            </w:tcMar>
            <w:vAlign w:val="center"/>
          </w:tcPr>
          <w:p>
            <w:pPr>
              <w:pStyle w:val="TableText"/>
              <w:jc w:val="center"/>
            </w:pPr>
            <w:r>
              <w:rPr>
                <w:sz w:val="17"/>
              </w:rPr>
              <w:t>Magnetic field</w:t>
            </w:r>
          </w:p>
        </w:tc>
        <w:tc>
          <w:tcPr>
            <w:tcW w:type="dxa" w:w="2592"/>
            <w:shd w:fill="FFFFFF"/>
            <w:tcMar>
              <w:top w:w="85" w:type="dxa"/>
              <w:start w:w="100" w:type="dxa"/>
              <w:bottom w:w="85" w:type="dxa"/>
              <w:end w:w="100" w:type="dxa"/>
            </w:tcMar>
            <w:vAlign w:val="center"/>
          </w:tcPr>
          <w:p>
            <w:pPr>
              <w:pStyle w:val="TableText"/>
              <w:jc w:val="left"/>
            </w:pPr>
            <w:r>
              <w:rPr>
                <w:sz w:val="17"/>
              </w:rPr>
              <w:t>Analytic Parker provider</w:t>
            </w:r>
          </w:p>
        </w:tc>
        <w:tc>
          <w:tcPr>
            <w:tcW w:type="dxa" w:w="2592"/>
            <w:shd w:fill="FFFFFF"/>
            <w:tcMar>
              <w:top w:w="85" w:type="dxa"/>
              <w:start w:w="100" w:type="dxa"/>
              <w:bottom w:w="85" w:type="dxa"/>
              <w:end w:w="100" w:type="dxa"/>
            </w:tcMar>
            <w:vAlign w:val="center"/>
          </w:tcPr>
          <w:p>
            <w:pPr>
              <w:pStyle w:val="TableText"/>
              <w:jc w:val="left"/>
            </w:pPr>
            <w:r>
              <w:rPr>
                <w:sz w:val="17"/>
              </w:rPr>
              <w:t>SWMF AWSoM</w:t>
            </w:r>
          </w:p>
        </w:tc>
        <w:tc>
          <w:tcPr>
            <w:tcW w:type="dxa" w:w="3096"/>
            <w:shd w:fill="FFFFFF"/>
            <w:tcMar>
              <w:top w:w="85" w:type="dxa"/>
              <w:start w:w="100" w:type="dxa"/>
              <w:bottom w:w="85" w:type="dxa"/>
              <w:end w:w="100" w:type="dxa"/>
            </w:tcMar>
            <w:vAlign w:val="center"/>
          </w:tcPr>
          <w:p>
            <w:pPr>
              <w:pStyle w:val="TableText"/>
              <w:jc w:val="left"/>
            </w:pPr>
            <w:r>
              <w:rPr>
                <w:sz w:val="17"/>
              </w:rPr>
              <w:t>No fallback after run start</w:t>
            </w:r>
          </w:p>
        </w:tc>
      </w:tr>
      <w:tr>
        <w:trPr>
          <w:cantSplit/>
        </w:trPr>
        <w:tc>
          <w:tcPr>
            <w:tcW w:type="dxa" w:w="1944"/>
            <w:shd w:fill="EAF1F8"/>
            <w:tcMar>
              <w:top w:w="85" w:type="dxa"/>
              <w:start w:w="100" w:type="dxa"/>
              <w:bottom w:w="85" w:type="dxa"/>
              <w:end w:w="100" w:type="dxa"/>
            </w:tcMar>
            <w:vAlign w:val="center"/>
          </w:tcPr>
          <w:p>
            <w:pPr>
              <w:pStyle w:val="TableText"/>
              <w:jc w:val="center"/>
            </w:pPr>
            <w:r>
              <w:rPr>
                <w:sz w:val="17"/>
              </w:rPr>
              <w:t>Solar wind velocity and density</w:t>
            </w:r>
          </w:p>
        </w:tc>
        <w:tc>
          <w:tcPr>
            <w:tcW w:type="dxa" w:w="2592"/>
            <w:shd w:fill="EAF1F8"/>
            <w:tcMar>
              <w:top w:w="85" w:type="dxa"/>
              <w:start w:w="100" w:type="dxa"/>
              <w:bottom w:w="85" w:type="dxa"/>
              <w:end w:w="100" w:type="dxa"/>
            </w:tcMar>
            <w:vAlign w:val="center"/>
          </w:tcPr>
          <w:p>
            <w:pPr>
              <w:pStyle w:val="TableText"/>
              <w:jc w:val="left"/>
            </w:pPr>
            <w:r>
              <w:rPr>
                <w:sz w:val="17"/>
              </w:rPr>
              <w:t>Analytic solar-wind provider</w:t>
            </w:r>
          </w:p>
        </w:tc>
        <w:tc>
          <w:tcPr>
            <w:tcW w:type="dxa" w:w="2592"/>
            <w:shd w:fill="EAF1F8"/>
            <w:tcMar>
              <w:top w:w="85" w:type="dxa"/>
              <w:start w:w="100" w:type="dxa"/>
              <w:bottom w:w="85" w:type="dxa"/>
              <w:end w:w="100" w:type="dxa"/>
            </w:tcMar>
            <w:vAlign w:val="center"/>
          </w:tcPr>
          <w:p>
            <w:pPr>
              <w:pStyle w:val="TableText"/>
              <w:jc w:val="left"/>
            </w:pPr>
            <w:r>
              <w:rPr>
                <w:sz w:val="17"/>
              </w:rPr>
              <w:t>SWMF AWSoM</w:t>
            </w:r>
          </w:p>
        </w:tc>
        <w:tc>
          <w:tcPr>
            <w:tcW w:type="dxa" w:w="3096"/>
            <w:shd w:fill="EAF1F8"/>
            <w:tcMar>
              <w:top w:w="85" w:type="dxa"/>
              <w:start w:w="100" w:type="dxa"/>
              <w:bottom w:w="85" w:type="dxa"/>
              <w:end w:w="100" w:type="dxa"/>
            </w:tcMar>
            <w:vAlign w:val="center"/>
          </w:tcPr>
          <w:p>
            <w:pPr>
              <w:pStyle w:val="TableText"/>
              <w:jc w:val="left"/>
            </w:pPr>
            <w:r>
              <w:rPr>
                <w:sz w:val="17"/>
              </w:rPr>
              <w:t>Missing values invalidate the sample</w:t>
            </w:r>
          </w:p>
        </w:tc>
      </w:tr>
      <w:tr>
        <w:trPr>
          <w:cantSplit/>
        </w:trPr>
        <w:tc>
          <w:tcPr>
            <w:tcW w:type="dxa" w:w="1944"/>
            <w:shd w:fill="FFFFFF"/>
            <w:tcMar>
              <w:top w:w="85" w:type="dxa"/>
              <w:start w:w="100" w:type="dxa"/>
              <w:bottom w:w="85" w:type="dxa"/>
              <w:end w:w="100" w:type="dxa"/>
            </w:tcMar>
            <w:vAlign w:val="center"/>
          </w:tcPr>
          <w:p>
            <w:pPr>
              <w:pStyle w:val="TableText"/>
              <w:jc w:val="center"/>
            </w:pPr>
            <w:r>
              <w:rPr>
                <w:sz w:val="17"/>
              </w:rPr>
              <w:t>Velocity divergence and gradient</w:t>
            </w:r>
          </w:p>
        </w:tc>
        <w:tc>
          <w:tcPr>
            <w:tcW w:type="dxa" w:w="2592"/>
            <w:shd w:fill="FFFFFF"/>
            <w:tcMar>
              <w:top w:w="85" w:type="dxa"/>
              <w:start w:w="100" w:type="dxa"/>
              <w:bottom w:w="85" w:type="dxa"/>
              <w:end w:w="100" w:type="dxa"/>
            </w:tcMar>
            <w:vAlign w:val="center"/>
          </w:tcPr>
          <w:p>
            <w:pPr>
              <w:pStyle w:val="TableText"/>
              <w:jc w:val="left"/>
            </w:pPr>
            <w:r>
              <w:rPr>
                <w:sz w:val="17"/>
              </w:rPr>
              <w:t>Analytic provider or verified differentiation</w:t>
            </w:r>
          </w:p>
        </w:tc>
        <w:tc>
          <w:tcPr>
            <w:tcW w:type="dxa" w:w="2592"/>
            <w:shd w:fill="FFFFFF"/>
            <w:tcMar>
              <w:top w:w="85" w:type="dxa"/>
              <w:start w:w="100" w:type="dxa"/>
              <w:bottom w:w="85" w:type="dxa"/>
              <w:end w:w="100" w:type="dxa"/>
            </w:tcMar>
            <w:vAlign w:val="center"/>
          </w:tcPr>
          <w:p>
            <w:pPr>
              <w:pStyle w:val="TableText"/>
              <w:jc w:val="left"/>
            </w:pPr>
            <w:r>
              <w:rPr>
                <w:sz w:val="17"/>
              </w:rPr>
              <w:t>Received from SWMF or derived by the adapter under one declared method</w:t>
            </w:r>
          </w:p>
        </w:tc>
        <w:tc>
          <w:tcPr>
            <w:tcW w:type="dxa" w:w="3096"/>
            <w:shd w:fill="FFFFFF"/>
            <w:tcMar>
              <w:top w:w="85" w:type="dxa"/>
              <w:start w:w="100" w:type="dxa"/>
              <w:bottom w:w="85" w:type="dxa"/>
              <w:end w:w="100" w:type="dxa"/>
            </w:tcMar>
            <w:vAlign w:val="center"/>
          </w:tcPr>
          <w:p>
            <w:pPr>
              <w:pStyle w:val="TableText"/>
              <w:jc w:val="left"/>
            </w:pPr>
            <w:r>
              <w:rPr>
                <w:sz w:val="17"/>
              </w:rPr>
              <w:t>No substitution with zero</w:t>
            </w:r>
          </w:p>
        </w:tc>
      </w:tr>
      <w:tr>
        <w:trPr>
          <w:cantSplit/>
        </w:trPr>
        <w:tc>
          <w:tcPr>
            <w:tcW w:type="dxa" w:w="1944"/>
            <w:shd w:fill="EAF1F8"/>
            <w:tcMar>
              <w:top w:w="85" w:type="dxa"/>
              <w:start w:w="100" w:type="dxa"/>
              <w:bottom w:w="85" w:type="dxa"/>
              <w:end w:w="100" w:type="dxa"/>
            </w:tcMar>
            <w:vAlign w:val="center"/>
          </w:tcPr>
          <w:p>
            <w:pPr>
              <w:pStyle w:val="TableText"/>
              <w:jc w:val="center"/>
            </w:pPr>
            <w:r>
              <w:rPr>
                <w:sz w:val="17"/>
              </w:rPr>
              <w:t>Alfvén turbulence</w:t>
            </w:r>
          </w:p>
        </w:tc>
        <w:tc>
          <w:tcPr>
            <w:tcW w:type="dxa" w:w="2592"/>
            <w:shd w:fill="EAF1F8"/>
            <w:tcMar>
              <w:top w:w="85" w:type="dxa"/>
              <w:start w:w="100" w:type="dxa"/>
              <w:bottom w:w="85" w:type="dxa"/>
              <w:end w:w="100" w:type="dxa"/>
            </w:tcMar>
            <w:vAlign w:val="center"/>
          </w:tcPr>
          <w:p>
            <w:pPr>
              <w:pStyle w:val="TableText"/>
              <w:jc w:val="left"/>
            </w:pPr>
            <w:r>
              <w:rPr>
                <w:sz w:val="17"/>
              </w:rPr>
              <w:t>Prescribed spectrum or declared analytic wave model</w:t>
            </w:r>
          </w:p>
        </w:tc>
        <w:tc>
          <w:tcPr>
            <w:tcW w:type="dxa" w:w="2592"/>
            <w:shd w:fill="EAF1F8"/>
            <w:tcMar>
              <w:top w:w="85" w:type="dxa"/>
              <w:start w:w="100" w:type="dxa"/>
              <w:bottom w:w="85" w:type="dxa"/>
              <w:end w:w="100" w:type="dxa"/>
            </w:tcMar>
            <w:vAlign w:val="center"/>
          </w:tcPr>
          <w:p>
            <w:pPr>
              <w:pStyle w:val="TableText"/>
              <w:jc w:val="left"/>
            </w:pPr>
            <w:r>
              <w:rPr>
                <w:sz w:val="17"/>
              </w:rPr>
              <w:t>SWMF AWSoM wave variables</w:t>
            </w:r>
          </w:p>
        </w:tc>
        <w:tc>
          <w:tcPr>
            <w:tcW w:type="dxa" w:w="3096"/>
            <w:shd w:fill="EAF1F8"/>
            <w:tcMar>
              <w:top w:w="85" w:type="dxa"/>
              <w:start w:w="100" w:type="dxa"/>
              <w:bottom w:w="85" w:type="dxa"/>
              <w:end w:w="100" w:type="dxa"/>
            </w:tcMar>
            <w:vAlign w:val="center"/>
          </w:tcPr>
          <w:p>
            <w:pPr>
              <w:pStyle w:val="TableText"/>
              <w:jc w:val="left"/>
            </w:pPr>
            <w:r>
              <w:rPr>
                <w:sz w:val="17"/>
              </w:rPr>
              <w:t>Missing waves invalidate scattering unless ballistic policy was explicitly selected</w:t>
            </w:r>
          </w:p>
        </w:tc>
      </w:tr>
      <w:tr>
        <w:trPr>
          <w:cantSplit/>
        </w:trPr>
        <w:tc>
          <w:tcPr>
            <w:tcW w:type="dxa" w:w="1944"/>
            <w:shd w:fill="FFFFFF"/>
            <w:tcMar>
              <w:top w:w="85" w:type="dxa"/>
              <w:start w:w="100" w:type="dxa"/>
              <w:bottom w:w="85" w:type="dxa"/>
              <w:end w:w="100" w:type="dxa"/>
            </w:tcMar>
            <w:vAlign w:val="center"/>
          </w:tcPr>
          <w:p>
            <w:pPr>
              <w:pStyle w:val="TableText"/>
              <w:jc w:val="center"/>
            </w:pPr>
            <w:r>
              <w:rPr>
                <w:sz w:val="17"/>
              </w:rPr>
              <w:t>Shock surface and parameters</w:t>
            </w:r>
          </w:p>
        </w:tc>
        <w:tc>
          <w:tcPr>
            <w:tcW w:type="dxa" w:w="2592"/>
            <w:shd w:fill="FFFFFF"/>
            <w:tcMar>
              <w:top w:w="85" w:type="dxa"/>
              <w:start w:w="100" w:type="dxa"/>
              <w:bottom w:w="85" w:type="dxa"/>
              <w:end w:w="100" w:type="dxa"/>
            </w:tcMar>
            <w:vAlign w:val="center"/>
          </w:tcPr>
          <w:p>
            <w:pPr>
              <w:pStyle w:val="TableText"/>
              <w:jc w:val="left"/>
            </w:pPr>
            <w:r>
              <w:rPr>
                <w:sz w:val="17"/>
              </w:rPr>
              <w:t>SWCME</w:t>
            </w:r>
          </w:p>
        </w:tc>
        <w:tc>
          <w:tcPr>
            <w:tcW w:type="dxa" w:w="2592"/>
            <w:shd w:fill="FFFFFF"/>
            <w:tcMar>
              <w:top w:w="85" w:type="dxa"/>
              <w:start w:w="100" w:type="dxa"/>
              <w:bottom w:w="85" w:type="dxa"/>
              <w:end w:w="100" w:type="dxa"/>
            </w:tcMar>
            <w:vAlign w:val="center"/>
          </w:tcPr>
          <w:p>
            <w:pPr>
              <w:pStyle w:val="TableText"/>
              <w:jc w:val="left"/>
            </w:pPr>
            <w:r>
              <w:rPr>
                <w:sz w:val="17"/>
              </w:rPr>
              <w:t>SWCME synchronized to coupled time</w:t>
            </w:r>
          </w:p>
        </w:tc>
        <w:tc>
          <w:tcPr>
            <w:tcW w:type="dxa" w:w="3096"/>
            <w:shd w:fill="FFFFFF"/>
            <w:tcMar>
              <w:top w:w="85" w:type="dxa"/>
              <w:start w:w="100" w:type="dxa"/>
              <w:bottom w:w="85" w:type="dxa"/>
              <w:end w:w="100" w:type="dxa"/>
            </w:tcMar>
            <w:vAlign w:val="center"/>
          </w:tcPr>
          <w:p>
            <w:pPr>
              <w:pStyle w:val="TableText"/>
              <w:jc w:val="left"/>
            </w:pPr>
            <w:r>
              <w:rPr>
                <w:sz w:val="17"/>
              </w:rPr>
              <w:t>No implicit shock</w:t>
            </w:r>
          </w:p>
        </w:tc>
      </w:tr>
      <w:tr>
        <w:trPr>
          <w:cantSplit/>
        </w:trPr>
        <w:tc>
          <w:tcPr>
            <w:tcW w:type="dxa" w:w="1944"/>
            <w:shd w:fill="EAF1F8"/>
            <w:tcMar>
              <w:top w:w="85" w:type="dxa"/>
              <w:start w:w="100" w:type="dxa"/>
              <w:bottom w:w="85" w:type="dxa"/>
              <w:end w:w="100" w:type="dxa"/>
            </w:tcMar>
            <w:vAlign w:val="center"/>
          </w:tcPr>
          <w:p>
            <w:pPr>
              <w:pStyle w:val="TableText"/>
              <w:jc w:val="center"/>
            </w:pPr>
            <w:r>
              <w:rPr>
                <w:sz w:val="17"/>
              </w:rPr>
              <w:t>Particle source spectrum</w:t>
            </w:r>
          </w:p>
        </w:tc>
        <w:tc>
          <w:tcPr>
            <w:tcW w:type="dxa" w:w="2592"/>
            <w:shd w:fill="EAF1F8"/>
            <w:tcMar>
              <w:top w:w="85" w:type="dxa"/>
              <w:start w:w="100" w:type="dxa"/>
              <w:bottom w:w="85" w:type="dxa"/>
              <w:end w:w="100" w:type="dxa"/>
            </w:tcMar>
            <w:vAlign w:val="center"/>
          </w:tcPr>
          <w:p>
            <w:pPr>
              <w:pStyle w:val="TableText"/>
              <w:jc w:val="left"/>
            </w:pPr>
            <w:r>
              <w:rPr>
                <w:sz w:val="17"/>
              </w:rPr>
              <w:t>Shared srcSEP kernel</w:t>
            </w:r>
          </w:p>
        </w:tc>
        <w:tc>
          <w:tcPr>
            <w:tcW w:type="dxa" w:w="2592"/>
            <w:shd w:fill="EAF1F8"/>
            <w:tcMar>
              <w:top w:w="85" w:type="dxa"/>
              <w:start w:w="100" w:type="dxa"/>
              <w:bottom w:w="85" w:type="dxa"/>
              <w:end w:w="100" w:type="dxa"/>
            </w:tcMar>
            <w:vAlign w:val="center"/>
          </w:tcPr>
          <w:p>
            <w:pPr>
              <w:pStyle w:val="TableText"/>
              <w:jc w:val="left"/>
            </w:pPr>
            <w:r>
              <w:rPr>
                <w:sz w:val="17"/>
              </w:rPr>
              <w:t>Shared srcSEP kernel with SWCME source record</w:t>
            </w:r>
          </w:p>
        </w:tc>
        <w:tc>
          <w:tcPr>
            <w:tcW w:type="dxa" w:w="3096"/>
            <w:shd w:fill="EAF1F8"/>
            <w:tcMar>
              <w:top w:w="85" w:type="dxa"/>
              <w:start w:w="100" w:type="dxa"/>
              <w:bottom w:w="85" w:type="dxa"/>
              <w:end w:w="100" w:type="dxa"/>
            </w:tcMar>
            <w:vAlign w:val="center"/>
          </w:tcPr>
          <w:p>
            <w:pPr>
              <w:pStyle w:val="TableText"/>
              <w:jc w:val="left"/>
            </w:pPr>
            <w:r>
              <w:rPr>
                <w:sz w:val="17"/>
              </w:rPr>
              <w:t>Reject inconsistent species or units</w:t>
            </w:r>
          </w:p>
        </w:tc>
      </w:tr>
    </w:tbl>
    <w:p>
      <w:pPr>
        <w:pStyle w:val="Heading1"/>
      </w:pPr>
      <w:r>
        <w:t>4 SWMF Coupling and Snapshot Contract</w:t>
      </w:r>
    </w:p>
    <w:p>
      <w:pPr>
        <w:pStyle w:val="Heading2"/>
      </w:pPr>
      <w:r>
        <w:t>1 Lifecycle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1800"/>
            <w:shd w:fill="17365D"/>
            <w:tcMar>
              <w:top w:w="100" w:type="dxa"/>
              <w:start w:w="110" w:type="dxa"/>
              <w:bottom w:w="100" w:type="dxa"/>
              <w:end w:w="110" w:type="dxa"/>
            </w:tcMar>
            <w:vAlign w:val="center"/>
          </w:tcPr>
          <w:p>
            <w:pPr>
              <w:pStyle w:val="TableText"/>
              <w:jc w:val="center"/>
            </w:pPr>
            <w:r>
              <w:rPr>
                <w:b/>
                <w:color w:val="FFFFFF"/>
                <w:sz w:val="17"/>
              </w:rPr>
              <w:t>State</w:t>
            </w:r>
          </w:p>
        </w:tc>
        <w:tc>
          <w:tcPr>
            <w:tcW w:type="dxa" w:w="4176"/>
            <w:shd w:fill="17365D"/>
            <w:tcMar>
              <w:top w:w="100" w:type="dxa"/>
              <w:start w:w="110" w:type="dxa"/>
              <w:bottom w:w="100" w:type="dxa"/>
              <w:end w:w="110" w:type="dxa"/>
            </w:tcMar>
            <w:vAlign w:val="center"/>
          </w:tcPr>
          <w:p>
            <w:pPr>
              <w:pStyle w:val="TableText"/>
              <w:jc w:val="center"/>
            </w:pPr>
            <w:r>
              <w:rPr>
                <w:b/>
                <w:color w:val="FFFFFF"/>
                <w:sz w:val="17"/>
              </w:rPr>
              <w:t>Allowed operation</w:t>
            </w:r>
          </w:p>
        </w:tc>
        <w:tc>
          <w:tcPr>
            <w:tcW w:type="dxa" w:w="4248"/>
            <w:shd w:fill="17365D"/>
            <w:tcMar>
              <w:top w:w="100" w:type="dxa"/>
              <w:start w:w="110" w:type="dxa"/>
              <w:bottom w:w="100" w:type="dxa"/>
              <w:end w:w="110" w:type="dxa"/>
            </w:tcMar>
            <w:vAlign w:val="center"/>
          </w:tcPr>
          <w:p>
            <w:pPr>
              <w:pStyle w:val="TableText"/>
              <w:jc w:val="center"/>
            </w:pPr>
            <w:r>
              <w:rPr>
                <w:b/>
                <w:color w:val="FFFFFF"/>
                <w:sz w:val="17"/>
              </w:rPr>
              <w:t>Transition requirement</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Created</w:t>
            </w:r>
          </w:p>
        </w:tc>
        <w:tc>
          <w:tcPr>
            <w:tcW w:type="dxa" w:w="4176"/>
            <w:shd w:fill="FFFFFF"/>
            <w:tcMar>
              <w:top w:w="85" w:type="dxa"/>
              <w:start w:w="100" w:type="dxa"/>
              <w:bottom w:w="85" w:type="dxa"/>
              <w:end w:w="100" w:type="dxa"/>
            </w:tcMar>
            <w:vAlign w:val="center"/>
          </w:tcPr>
          <w:p>
            <w:pPr>
              <w:pStyle w:val="TableText"/>
              <w:jc w:val="left"/>
            </w:pPr>
            <w:r>
              <w:rPr>
                <w:sz w:val="17"/>
              </w:rPr>
              <w:t>Construct Runtime</w:t>
            </w:r>
          </w:p>
        </w:tc>
        <w:tc>
          <w:tcPr>
            <w:tcW w:type="dxa" w:w="4248"/>
            <w:shd w:fill="FFFFFF"/>
            <w:tcMar>
              <w:top w:w="85" w:type="dxa"/>
              <w:start w:w="100" w:type="dxa"/>
              <w:bottom w:w="85" w:type="dxa"/>
              <w:end w:w="100" w:type="dxa"/>
            </w:tcMar>
            <w:vAlign w:val="center"/>
          </w:tcPr>
          <w:p>
            <w:pPr>
              <w:pStyle w:val="TableText"/>
              <w:jc w:val="left"/>
            </w:pPr>
            <w:r>
              <w:rPr>
                <w:sz w:val="17"/>
              </w:rPr>
              <w:t>No model state exists</w:t>
            </w:r>
          </w:p>
        </w:tc>
      </w:tr>
      <w:tr>
        <w:trPr>
          <w:cantSplit/>
        </w:trPr>
        <w:tc>
          <w:tcPr>
            <w:tcW w:type="dxa" w:w="1800"/>
            <w:shd w:fill="EAF1F8"/>
            <w:tcMar>
              <w:top w:w="85" w:type="dxa"/>
              <w:start w:w="100" w:type="dxa"/>
              <w:bottom w:w="85" w:type="dxa"/>
              <w:end w:w="100" w:type="dxa"/>
            </w:tcMar>
            <w:vAlign w:val="center"/>
          </w:tcPr>
          <w:p>
            <w:pPr>
              <w:pStyle w:val="TableText"/>
              <w:jc w:val="center"/>
            </w:pPr>
            <w:r>
              <w:rPr>
                <w:sz w:val="17"/>
              </w:rPr>
              <w:t>Configured</w:t>
            </w:r>
          </w:p>
        </w:tc>
        <w:tc>
          <w:tcPr>
            <w:tcW w:type="dxa" w:w="4176"/>
            <w:shd w:fill="EAF1F8"/>
            <w:tcMar>
              <w:top w:w="85" w:type="dxa"/>
              <w:start w:w="100" w:type="dxa"/>
              <w:bottom w:w="85" w:type="dxa"/>
              <w:end w:w="100" w:type="dxa"/>
            </w:tcMar>
            <w:vAlign w:val="center"/>
          </w:tcPr>
          <w:p>
            <w:pPr>
              <w:pStyle w:val="TableText"/>
              <w:jc w:val="left"/>
            </w:pPr>
            <w:r>
              <w:rPr>
                <w:sz w:val="17"/>
              </w:rPr>
              <w:t>Resolve providers and storage layout</w:t>
            </w:r>
          </w:p>
        </w:tc>
        <w:tc>
          <w:tcPr>
            <w:tcW w:type="dxa" w:w="4248"/>
            <w:shd w:fill="EAF1F8"/>
            <w:tcMar>
              <w:top w:w="85" w:type="dxa"/>
              <w:start w:w="100" w:type="dxa"/>
              <w:bottom w:w="85" w:type="dxa"/>
              <w:end w:w="100" w:type="dxa"/>
            </w:tcMar>
            <w:vAlign w:val="center"/>
          </w:tcPr>
          <w:p>
            <w:pPr>
              <w:pStyle w:val="TableText"/>
              <w:jc w:val="left"/>
            </w:pPr>
            <w:r>
              <w:rPr>
                <w:sz w:val="17"/>
              </w:rPr>
              <w:t>Validated immutable configuration</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MeshReady</w:t>
            </w:r>
          </w:p>
        </w:tc>
        <w:tc>
          <w:tcPr>
            <w:tcW w:type="dxa" w:w="4176"/>
            <w:shd w:fill="FFFFFF"/>
            <w:tcMar>
              <w:top w:w="85" w:type="dxa"/>
              <w:start w:w="100" w:type="dxa"/>
              <w:bottom w:w="85" w:type="dxa"/>
              <w:end w:w="100" w:type="dxa"/>
            </w:tcMar>
            <w:vAlign w:val="center"/>
          </w:tcPr>
          <w:p>
            <w:pPr>
              <w:pStyle w:val="TableText"/>
              <w:jc w:val="left"/>
            </w:pPr>
            <w:r>
              <w:rPr>
                <w:sz w:val="17"/>
              </w:rPr>
              <w:t>Bind AMPS storage and interpolation</w:t>
            </w:r>
          </w:p>
        </w:tc>
        <w:tc>
          <w:tcPr>
            <w:tcW w:type="dxa" w:w="4248"/>
            <w:shd w:fill="FFFFFF"/>
            <w:tcMar>
              <w:top w:w="85" w:type="dxa"/>
              <w:start w:w="100" w:type="dxa"/>
              <w:bottom w:w="85" w:type="dxa"/>
              <w:end w:w="100" w:type="dxa"/>
            </w:tcMar>
            <w:vAlign w:val="center"/>
          </w:tcPr>
          <w:p>
            <w:pPr>
              <w:pStyle w:val="TableText"/>
              <w:jc w:val="left"/>
            </w:pPr>
            <w:r>
              <w:rPr>
                <w:sz w:val="17"/>
              </w:rPr>
              <w:t>Mesh and sampling buffers allocated with the requested layout</w:t>
            </w:r>
          </w:p>
        </w:tc>
      </w:tr>
      <w:tr>
        <w:trPr>
          <w:cantSplit/>
        </w:trPr>
        <w:tc>
          <w:tcPr>
            <w:tcW w:type="dxa" w:w="1800"/>
            <w:shd w:fill="EAF1F8"/>
            <w:tcMar>
              <w:top w:w="85" w:type="dxa"/>
              <w:start w:w="100" w:type="dxa"/>
              <w:bottom w:w="85" w:type="dxa"/>
              <w:end w:w="100" w:type="dxa"/>
            </w:tcMar>
            <w:vAlign w:val="center"/>
          </w:tcPr>
          <w:p>
            <w:pPr>
              <w:pStyle w:val="TableText"/>
              <w:jc w:val="center"/>
            </w:pPr>
            <w:r>
              <w:rPr>
                <w:sz w:val="17"/>
              </w:rPr>
              <w:t>WaitingForSnapshot</w:t>
            </w:r>
          </w:p>
        </w:tc>
        <w:tc>
          <w:tcPr>
            <w:tcW w:type="dxa" w:w="4176"/>
            <w:shd w:fill="EAF1F8"/>
            <w:tcMar>
              <w:top w:w="85" w:type="dxa"/>
              <w:start w:w="100" w:type="dxa"/>
              <w:bottom w:w="85" w:type="dxa"/>
              <w:end w:w="100" w:type="dxa"/>
            </w:tcMar>
            <w:vAlign w:val="center"/>
          </w:tcPr>
          <w:p>
            <w:pPr>
              <w:pStyle w:val="TableText"/>
              <w:jc w:val="left"/>
            </w:pPr>
            <w:r>
              <w:rPr>
                <w:sz w:val="17"/>
              </w:rPr>
              <w:t>Receive or evaluate background</w:t>
            </w:r>
          </w:p>
        </w:tc>
        <w:tc>
          <w:tcPr>
            <w:tcW w:type="dxa" w:w="4248"/>
            <w:shd w:fill="EAF1F8"/>
            <w:tcMar>
              <w:top w:w="85" w:type="dxa"/>
              <w:start w:w="100" w:type="dxa"/>
              <w:bottom w:w="85" w:type="dxa"/>
              <w:end w:w="100" w:type="dxa"/>
            </w:tcMar>
            <w:vAlign w:val="center"/>
          </w:tcPr>
          <w:p>
            <w:pPr>
              <w:pStyle w:val="TableText"/>
              <w:jc w:val="left"/>
            </w:pPr>
            <w:r>
              <w:rPr>
                <w:sz w:val="17"/>
              </w:rPr>
              <w:t>All adapters initialized</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SnapshotReady</w:t>
            </w:r>
          </w:p>
        </w:tc>
        <w:tc>
          <w:tcPr>
            <w:tcW w:type="dxa" w:w="4176"/>
            <w:shd w:fill="FFFFFF"/>
            <w:tcMar>
              <w:top w:w="85" w:type="dxa"/>
              <w:start w:w="100" w:type="dxa"/>
              <w:bottom w:w="85" w:type="dxa"/>
              <w:end w:w="100" w:type="dxa"/>
            </w:tcMar>
            <w:vAlign w:val="center"/>
          </w:tcPr>
          <w:p>
            <w:pPr>
              <w:pStyle w:val="TableText"/>
              <w:jc w:val="left"/>
            </w:pPr>
            <w:r>
              <w:rPr>
                <w:sz w:val="17"/>
              </w:rPr>
              <w:t>Publish a complete immutable snapshot</w:t>
            </w:r>
          </w:p>
        </w:tc>
        <w:tc>
          <w:tcPr>
            <w:tcW w:type="dxa" w:w="4248"/>
            <w:shd w:fill="FFFFFF"/>
            <w:tcMar>
              <w:top w:w="85" w:type="dxa"/>
              <w:start w:w="100" w:type="dxa"/>
              <w:bottom w:w="85" w:type="dxa"/>
              <w:end w:w="100" w:type="dxa"/>
            </w:tcMar>
            <w:vAlign w:val="center"/>
          </w:tcPr>
          <w:p>
            <w:pPr>
              <w:pStyle w:val="TableText"/>
              <w:jc w:val="left"/>
            </w:pPr>
            <w:r>
              <w:rPr>
                <w:sz w:val="17"/>
              </w:rPr>
              <w:t>Collective completeness and epoch checks pass</w:t>
            </w:r>
          </w:p>
        </w:tc>
      </w:tr>
      <w:tr>
        <w:trPr>
          <w:cantSplit/>
        </w:trPr>
        <w:tc>
          <w:tcPr>
            <w:tcW w:type="dxa" w:w="1800"/>
            <w:shd w:fill="EAF1F8"/>
            <w:tcMar>
              <w:top w:w="85" w:type="dxa"/>
              <w:start w:w="100" w:type="dxa"/>
              <w:bottom w:w="85" w:type="dxa"/>
              <w:end w:w="100" w:type="dxa"/>
            </w:tcMar>
            <w:vAlign w:val="center"/>
          </w:tcPr>
          <w:p>
            <w:pPr>
              <w:pStyle w:val="TableText"/>
              <w:jc w:val="center"/>
            </w:pPr>
            <w:r>
              <w:rPr>
                <w:sz w:val="17"/>
              </w:rPr>
              <w:t>Running</w:t>
            </w:r>
          </w:p>
        </w:tc>
        <w:tc>
          <w:tcPr>
            <w:tcW w:type="dxa" w:w="4176"/>
            <w:shd w:fill="EAF1F8"/>
            <w:tcMar>
              <w:top w:w="85" w:type="dxa"/>
              <w:start w:w="100" w:type="dxa"/>
              <w:bottom w:w="85" w:type="dxa"/>
              <w:end w:w="100" w:type="dxa"/>
            </w:tcMar>
            <w:vAlign w:val="center"/>
          </w:tcPr>
          <w:p>
            <w:pPr>
              <w:pStyle w:val="TableText"/>
              <w:jc w:val="left"/>
            </w:pPr>
            <w:r>
              <w:rPr>
                <w:sz w:val="17"/>
              </w:rPr>
              <w:t>Advance particles and sample products</w:t>
            </w:r>
          </w:p>
        </w:tc>
        <w:tc>
          <w:tcPr>
            <w:tcW w:type="dxa" w:w="4248"/>
            <w:shd w:fill="EAF1F8"/>
            <w:tcMar>
              <w:top w:w="85" w:type="dxa"/>
              <w:start w:w="100" w:type="dxa"/>
              <w:bottom w:w="85" w:type="dxa"/>
              <w:end w:w="100" w:type="dxa"/>
            </w:tcMar>
            <w:vAlign w:val="center"/>
          </w:tcPr>
          <w:p>
            <w:pPr>
              <w:pStyle w:val="TableText"/>
              <w:jc w:val="left"/>
            </w:pPr>
            <w:r>
              <w:rPr>
                <w:sz w:val="17"/>
              </w:rPr>
              <w:t>A read-only snapshot is pinned for the complete step</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Checkpointing</w:t>
            </w:r>
          </w:p>
        </w:tc>
        <w:tc>
          <w:tcPr>
            <w:tcW w:type="dxa" w:w="4176"/>
            <w:shd w:fill="FFFFFF"/>
            <w:tcMar>
              <w:top w:w="85" w:type="dxa"/>
              <w:start w:w="100" w:type="dxa"/>
              <w:bottom w:w="85" w:type="dxa"/>
              <w:end w:w="100" w:type="dxa"/>
            </w:tcMar>
            <w:vAlign w:val="center"/>
          </w:tcPr>
          <w:p>
            <w:pPr>
              <w:pStyle w:val="TableText"/>
              <w:jc w:val="left"/>
            </w:pPr>
            <w:r>
              <w:rPr>
                <w:sz w:val="17"/>
              </w:rPr>
              <w:t>Serialize particles, Runtime, RNG, and snapshot metadata</w:t>
            </w:r>
          </w:p>
        </w:tc>
        <w:tc>
          <w:tcPr>
            <w:tcW w:type="dxa" w:w="4248"/>
            <w:shd w:fill="FFFFFF"/>
            <w:tcMar>
              <w:top w:w="85" w:type="dxa"/>
              <w:start w:w="100" w:type="dxa"/>
              <w:bottom w:w="85" w:type="dxa"/>
              <w:end w:w="100" w:type="dxa"/>
            </w:tcMar>
            <w:vAlign w:val="center"/>
          </w:tcPr>
          <w:p>
            <w:pPr>
              <w:pStyle w:val="TableText"/>
              <w:jc w:val="left"/>
            </w:pPr>
            <w:r>
              <w:rPr>
                <w:sz w:val="17"/>
              </w:rPr>
              <w:t>No particle step is active</w:t>
            </w:r>
          </w:p>
        </w:tc>
      </w:tr>
      <w:tr>
        <w:trPr>
          <w:cantSplit/>
        </w:trPr>
        <w:tc>
          <w:tcPr>
            <w:tcW w:type="dxa" w:w="1800"/>
            <w:shd w:fill="EAF1F8"/>
            <w:tcMar>
              <w:top w:w="85" w:type="dxa"/>
              <w:start w:w="100" w:type="dxa"/>
              <w:bottom w:w="85" w:type="dxa"/>
              <w:end w:w="100" w:type="dxa"/>
            </w:tcMar>
            <w:vAlign w:val="center"/>
          </w:tcPr>
          <w:p>
            <w:pPr>
              <w:pStyle w:val="TableText"/>
              <w:jc w:val="center"/>
            </w:pPr>
            <w:r>
              <w:rPr>
                <w:sz w:val="17"/>
              </w:rPr>
              <w:t>Finalized</w:t>
            </w:r>
          </w:p>
        </w:tc>
        <w:tc>
          <w:tcPr>
            <w:tcW w:type="dxa" w:w="4176"/>
            <w:shd w:fill="EAF1F8"/>
            <w:tcMar>
              <w:top w:w="85" w:type="dxa"/>
              <w:start w:w="100" w:type="dxa"/>
              <w:bottom w:w="85" w:type="dxa"/>
              <w:end w:w="100" w:type="dxa"/>
            </w:tcMar>
            <w:vAlign w:val="center"/>
          </w:tcPr>
          <w:p>
            <w:pPr>
              <w:pStyle w:val="TableText"/>
              <w:jc w:val="left"/>
            </w:pPr>
            <w:r>
              <w:rPr>
                <w:sz w:val="17"/>
              </w:rPr>
              <w:t>Flush output and release resources</w:t>
            </w:r>
          </w:p>
        </w:tc>
        <w:tc>
          <w:tcPr>
            <w:tcW w:type="dxa" w:w="4248"/>
            <w:shd w:fill="EAF1F8"/>
            <w:tcMar>
              <w:top w:w="85" w:type="dxa"/>
              <w:start w:w="100" w:type="dxa"/>
              <w:bottom w:w="85" w:type="dxa"/>
              <w:end w:w="100" w:type="dxa"/>
            </w:tcMar>
            <w:vAlign w:val="center"/>
          </w:tcPr>
          <w:p>
            <w:pPr>
              <w:pStyle w:val="TableText"/>
              <w:jc w:val="left"/>
            </w:pPr>
            <w:r>
              <w:rPr>
                <w:sz w:val="17"/>
              </w:rPr>
              <w:t>All ranks agree on termination</w:t>
            </w:r>
          </w:p>
        </w:tc>
      </w:tr>
    </w:tbl>
    <w:p>
      <w:pPr>
        <w:pStyle w:val="Heading2"/>
      </w:pPr>
      <w:r>
        <w:t>2 Two Phase Initialization</w:t>
      </w:r>
    </w:p>
    <w:p>
      <w:pPr>
        <w:pStyle w:val="ListNumber"/>
        <w:spacing w:after="50"/>
      </w:pPr>
      <w:r>
        <w:t>Before mesh creation, validate configuration, select providers, declare every requested cell field and sampling buffer, set domain and resolution policy, and register any storage-size callbacks.</w:t>
      </w:r>
    </w:p>
    <w:p>
      <w:pPr>
        <w:pStyle w:val="ListNumber"/>
        <w:spacing w:after="50"/>
      </w:pPr>
      <w:r>
        <w:t>Build the mesh and allocate AMPS cell data using the frozen layout.</w:t>
      </w:r>
    </w:p>
    <w:p>
      <w:pPr>
        <w:pStyle w:val="ListNumber"/>
        <w:spacing w:after="50"/>
      </w:pPr>
      <w:r>
        <w:t>After PIC initialization, bind field offsets, register mover and source callbacks, initialize particle weights and time-step policies, and transition to WaitingForSnapshot.</w:t>
      </w:r>
    </w:p>
    <w:p>
      <w:pPr>
        <w:pStyle w:val="ListNumber"/>
        <w:spacing w:after="50"/>
      </w:pPr>
      <w:r>
        <w:t>For a standalone Parker run, evaluate and publish snapshot zero. For a coupled run, wait collectively until the first complete SWMF and SWCME state is available.</w:t>
      </w:r>
    </w:p>
    <w:p>
      <w:pPr>
        <w:pStyle w:val="Heading2"/>
      </w:pPr>
      <w:r>
        <w:t>3 Snapshot Publication</w:t>
      </w:r>
    </w:p>
    <w:p>
      <w:r>
        <w:t>A coupled receive first populates a candidate snapshot. Validation checks units, finite values, source epochs, coordinate frame, field completeness, ownership, and generation counters. MPI ranks then agree collectively on success. Only after the collective check does Runtime atomically publish the candidate as the active snapshot. A failed candidate leaves the previous snapshot unchanged and returns a status that the host can report or act upon.</w:t>
      </w:r>
    </w:p>
    <w:p>
      <w:pPr>
        <w:pStyle w:val="ListBullet"/>
        <w:spacing w:after="50"/>
      </w:pPr>
      <w:r>
        <w:t>Particle steps pin one snapshot identifier for their entire duration.</w:t>
      </w:r>
    </w:p>
    <w:p>
      <w:pPr>
        <w:pStyle w:val="ListBullet"/>
        <w:spacing w:after="50"/>
      </w:pPr>
      <w:r>
        <w:t>Current and next snapshots may be retained for declared linear time interpolation.</w:t>
      </w:r>
    </w:p>
    <w:p>
      <w:pPr>
        <w:pStyle w:val="ListBullet"/>
        <w:spacing w:after="50"/>
      </w:pPr>
      <w:r>
        <w:t>Interpolation is permitted only when both snapshots share layout, units, frame, and provider identities.</w:t>
      </w:r>
    </w:p>
    <w:p>
      <w:pPr>
        <w:pStyle w:val="ListBullet"/>
        <w:spacing w:after="50"/>
      </w:pPr>
      <w:r>
        <w:t>Extrapolation beyond the declared validity interval is rejected unless a named policy explicitly allows it.</w:t>
      </w:r>
    </w:p>
    <w:p>
      <w:pPr>
        <w:pStyle w:val="ListBullet"/>
        <w:spacing w:after="50"/>
      </w:pPr>
      <w:r>
        <w:t>No NaN, nonfinite divergence, or missing wave intensity may be silently replaced with zero.</w:t>
      </w:r>
    </w:p>
    <w:p>
      <w:pPr>
        <w:pStyle w:val="Heading2"/>
      </w:pPr>
      <w:r>
        <w:t>4 Restart Contract</w:t>
      </w:r>
    </w:p>
    <w:p>
      <w:r>
        <w:t>A restart records the configuration fingerprint, lifecycle state, active and queued snapshot identifiers, coupling time, particle state, keyed RNG counters, source counters, sampling accumulators, output sequence numbers, and SWCME prepared-state identity. Restart is rejected before mutation when the executable configuration or field layout is incompatible.</w:t>
      </w:r>
    </w:p>
    <w:p>
      <w:pPr>
        <w:pStyle w:val="Heading1"/>
      </w:pPr>
      <w:r>
        <w:t>5 Updated Development Sequence</w:t>
      </w:r>
    </w:p>
    <w:p>
      <w:r>
        <w:t>The sequence below supersedes the claim that the project is complete through Step 4. Each phase has an executable exit gate. A later phase may develop on a branch, but it cannot be accepted until every earlier gate passes.</w:t>
      </w:r>
    </w:p>
    <w:p>
      <w:pPr>
        <w:pStyle w:val="Heading2"/>
      </w:pPr>
      <w:r>
        <w:t>Phase R0 Rebaseline the Production Tree</w:t>
      </w:r>
    </w:p>
    <w:p>
      <w:r>
        <w:rPr>
          <w:b/>
        </w:rPr>
        <w:t>Objective</w:t>
      </w:r>
      <w:r>
        <w:t xml:space="preserve">  Establish one compile-clean source of truth before adding physics.</w:t>
      </w:r>
    </w:p>
    <w:p>
      <w:r>
        <w:rPr>
          <w:b/>
        </w:rPr>
        <w:t>Implementation actions</w:t>
      </w:r>
    </w:p>
    <w:p>
      <w:pPr>
        <w:pStyle w:val="ListBullet"/>
        <w:spacing w:after="50"/>
      </w:pPr>
      <w:r>
        <w:t>Remove the obsolete SEP3D.cpp implementation from the production source list or replace it with the new Runtime implementation.</w:t>
      </w:r>
    </w:p>
    <w:p>
      <w:pPr>
        <w:pStyle w:val="ListBullet"/>
        <w:spacing w:after="50"/>
      </w:pPr>
      <w:r>
        <w:t>Move any retained prototype code under an explicitly excluded legacy directory.</w:t>
      </w:r>
    </w:p>
    <w:p>
      <w:pPr>
        <w:pStyle w:val="ListBullet"/>
        <w:spacing w:after="50"/>
      </w:pPr>
      <w:r>
        <w:t>Correct the mover return-code boundary and add static assertions in the AMPS adapter.</w:t>
      </w:r>
    </w:p>
    <w:p>
      <w:pPr>
        <w:pStyle w:val="ListBullet"/>
        <w:spacing w:after="50"/>
      </w:pPr>
      <w:r>
        <w:t>Add a production compile and link target that builds main_lib and every production object.</w:t>
      </w:r>
    </w:p>
    <w:p>
      <w:pPr>
        <w:pStyle w:val="ListBullet"/>
        <w:spacing w:after="50"/>
      </w:pPr>
      <w:r>
        <w:t>Update the README and migration manifest so completion claims match executable evidence.</w:t>
      </w:r>
    </w:p>
    <w:p>
      <w:r>
        <w:rPr>
          <w:b/>
        </w:rPr>
        <w:t>Exit criteria</w:t>
      </w:r>
    </w:p>
    <w:p>
      <w:pPr>
        <w:pStyle w:val="ListBullet"/>
        <w:spacing w:after="50"/>
      </w:pPr>
      <w:r>
        <w:t>The production library builds with strict warnings.</w:t>
      </w:r>
    </w:p>
    <w:p>
      <w:pPr>
        <w:pStyle w:val="ListBullet"/>
        <w:spacing w:after="50"/>
      </w:pPr>
      <w:r>
        <w:t>No retired mover symbol is present.</w:t>
      </w:r>
    </w:p>
    <w:p>
      <w:pPr>
        <w:pStyle w:val="ListBullet"/>
        <w:spacing w:after="50"/>
      </w:pPr>
      <w:r>
        <w:t>Stage-1 and production smoke tests pass.</w:t>
      </w:r>
    </w:p>
    <w:p>
      <w:pPr>
        <w:pStyle w:val="Heading2"/>
      </w:pPr>
      <w:r>
        <w:t>Phase R1 Complete Shared Kernel and SWCME Integration</w:t>
      </w:r>
    </w:p>
    <w:p>
      <w:r>
        <w:rPr>
          <w:b/>
        </w:rPr>
        <w:t>Objective</w:t>
      </w:r>
      <w:r>
        <w:t xml:space="preserve">  Make shared numerical and shock physics single-source.</w:t>
      </w:r>
    </w:p>
    <w:p>
      <w:r>
        <w:rPr>
          <w:b/>
        </w:rPr>
        <w:t>Implementation actions</w:t>
      </w:r>
    </w:p>
    <w:p>
      <w:pPr>
        <w:pStyle w:val="ListBullet"/>
        <w:spacing w:after="50"/>
      </w:pPr>
      <w:r>
        <w:t>Build sep_util once and link it from srcSEP and srcSEP3D.</w:t>
      </w:r>
    </w:p>
    <w:p>
      <w:pPr>
        <w:pStyle w:val="ListBullet"/>
        <w:spacing w:after="50"/>
      </w:pPr>
      <w:r>
        <w:t>Remove duplicate utility objects from both application makefiles.</w:t>
      </w:r>
    </w:p>
    <w:p>
      <w:pPr>
        <w:pStyle w:val="ListBullet"/>
        <w:spacing w:after="50"/>
      </w:pPr>
      <w:r>
        <w:t>Build SWCME once from src/models/swcme.</w:t>
      </w:r>
    </w:p>
    <w:p>
      <w:pPr>
        <w:pStyle w:val="ListBullet"/>
        <w:spacing w:after="50"/>
      </w:pPr>
      <w:r>
        <w:t>Provide temporary compatibility forwarding headers for srcSEP and define their removal date.</w:t>
      </w:r>
    </w:p>
    <w:p>
      <w:pPr>
        <w:pStyle w:val="ListBullet"/>
        <w:spacing w:after="50"/>
      </w:pPr>
      <w:r>
        <w:t>Restore a working SWCME test runner from the relocated directory.</w:t>
      </w:r>
    </w:p>
    <w:p>
      <w:r>
        <w:rPr>
          <w:b/>
        </w:rPr>
        <w:t>Exit criteria</w:t>
      </w:r>
    </w:p>
    <w:p>
      <w:pPr>
        <w:pStyle w:val="ListBullet"/>
        <w:spacing w:after="50"/>
      </w:pPr>
      <w:r>
        <w:t>Archive symbol inspection finds one definition of each shared kernel.</w:t>
      </w:r>
    </w:p>
    <w:p>
      <w:pPr>
        <w:pStyle w:val="ListBullet"/>
        <w:spacing w:after="50"/>
      </w:pPr>
      <w:r>
        <w:t>srcSEP tests remain unchanged and pass.</w:t>
      </w:r>
    </w:p>
    <w:p>
      <w:pPr>
        <w:pStyle w:val="ListBullet"/>
        <w:spacing w:after="50"/>
      </w:pPr>
      <w:r>
        <w:t>SWCME common 1-D and 3-D tests pass from the new path.</w:t>
      </w:r>
    </w:p>
    <w:p>
      <w:pPr>
        <w:pStyle w:val="Heading2"/>
      </w:pPr>
      <w:r>
        <w:t>Phase R2 Implement Runtime and Lifecycle</w:t>
      </w:r>
    </w:p>
    <w:p>
      <w:r>
        <w:rPr>
          <w:b/>
        </w:rPr>
        <w:t>Objective</w:t>
      </w:r>
      <w:r>
        <w:t xml:space="preserve">  Replace ordering-dependent global initialization with explicit state transitions.</w:t>
      </w:r>
    </w:p>
    <w:p>
      <w:r>
        <w:rPr>
          <w:b/>
        </w:rPr>
        <w:t>Implementation actions</w:t>
      </w:r>
    </w:p>
    <w:p>
      <w:pPr>
        <w:pStyle w:val="ListBullet"/>
        <w:spacing w:after="50"/>
      </w:pPr>
      <w:r>
        <w:t>Implement immutable RunConfiguration3D and its physics fingerprint.</w:t>
      </w:r>
    </w:p>
    <w:p>
      <w:pPr>
        <w:pStyle w:val="ListBullet"/>
        <w:spacing w:after="50"/>
      </w:pPr>
      <w:r>
        <w:t>Implement Runtime state transitions and typed status returns.</w:t>
      </w:r>
    </w:p>
    <w:p>
      <w:pPr>
        <w:pStyle w:val="ListBullet"/>
        <w:spacing w:after="50"/>
      </w:pPr>
      <w:r>
        <w:t>Create standalone and SWMF adapters with identical Runtime calls.</w:t>
      </w:r>
    </w:p>
    <w:p>
      <w:pPr>
        <w:pStyle w:val="ListBullet"/>
        <w:spacing w:after="50"/>
      </w:pPr>
      <w:r>
        <w:t>Move cadence, output sequence, and restartable counters out of static locals.</w:t>
      </w:r>
    </w:p>
    <w:p>
      <w:pPr>
        <w:pStyle w:val="ListBullet"/>
        <w:spacing w:after="50"/>
      </w:pPr>
      <w:r>
        <w:t>Make invalid ordering fail before allocating or mutating model state.</w:t>
      </w:r>
    </w:p>
    <w:p>
      <w:r>
        <w:rPr>
          <w:b/>
        </w:rPr>
        <w:t>Exit criteria</w:t>
      </w:r>
    </w:p>
    <w:p>
      <w:pPr>
        <w:pStyle w:val="ListBullet"/>
        <w:spacing w:after="50"/>
      </w:pPr>
      <w:r>
        <w:t>Lifecycle unit tests cover every legal and illegal transition.</w:t>
      </w:r>
    </w:p>
    <w:p>
      <w:pPr>
        <w:pStyle w:val="ListBullet"/>
        <w:spacing w:after="50"/>
      </w:pPr>
      <w:r>
        <w:t>The coupled entry points do not parse process arguments or AMPS_PARAM.in.</w:t>
      </w:r>
    </w:p>
    <w:p>
      <w:pPr>
        <w:pStyle w:val="ListBullet"/>
        <w:spacing w:after="50"/>
      </w:pPr>
      <w:r>
        <w:t>A minimal Parker snapshot reaches SnapshotReady without AMPS.</w:t>
      </w:r>
    </w:p>
    <w:p>
      <w:pPr>
        <w:pStyle w:val="Heading2"/>
      </w:pPr>
      <w:r>
        <w:t>Phase M Mesh and Storage</w:t>
      </w:r>
    </w:p>
    <w:p>
      <w:r>
        <w:rPr>
          <w:b/>
        </w:rPr>
        <w:t>Objective</w:t>
      </w:r>
      <w:r>
        <w:t xml:space="preserve">  Build the Sun to Earth or Mars AMR domain and declare stable cell storage.</w:t>
      </w:r>
    </w:p>
    <w:p>
      <w:r>
        <w:rPr>
          <w:b/>
        </w:rPr>
        <w:t>Implementation actions</w:t>
      </w:r>
    </w:p>
    <w:p>
      <w:pPr>
        <w:pStyle w:val="ListBullet"/>
        <w:spacing w:after="50"/>
      </w:pPr>
      <w:r>
        <w:t>Implement domain presets and the radial plus optional tube refinement law.</w:t>
      </w:r>
    </w:p>
    <w:p>
      <w:pPr>
        <w:pStyle w:val="ListBullet"/>
        <w:spacing w:after="50"/>
      </w:pPr>
      <w:r>
        <w:t>Retain the standalone octree emulator and startup memory estimate.</w:t>
      </w:r>
    </w:p>
    <w:p>
      <w:pPr>
        <w:pStyle w:val="ListBullet"/>
        <w:spacing w:after="50"/>
      </w:pPr>
      <w:r>
        <w:t>Register background and sampling offsets before mesh cell buffers are allocated.</w:t>
      </w:r>
    </w:p>
    <w:p>
      <w:pPr>
        <w:pStyle w:val="ListBullet"/>
        <w:spacing w:after="50"/>
      </w:pPr>
      <w:r>
        <w:t>Implement deterministic global cell identity and owner-only filling.</w:t>
      </w:r>
    </w:p>
    <w:p>
      <w:pPr>
        <w:pStyle w:val="ListBullet"/>
        <w:spacing w:after="50"/>
      </w:pPr>
      <w:r>
        <w:t>Add refinement-boundary gradient tests before relying on differenced derivatives.</w:t>
      </w:r>
    </w:p>
    <w:p>
      <w:r>
        <w:rPr>
          <w:b/>
        </w:rPr>
        <w:t>Exit criteria</w:t>
      </w:r>
    </w:p>
    <w:p>
      <w:pPr>
        <w:pStyle w:val="ListBullet"/>
        <w:spacing w:after="50"/>
      </w:pPr>
      <w:r>
        <w:t>Standalone and AMPS leaf counts and level histograms agree.</w:t>
      </w:r>
    </w:p>
    <w:p>
      <w:pPr>
        <w:pStyle w:val="ListBullet"/>
        <w:spacing w:after="50"/>
      </w:pPr>
      <w:r>
        <w:t>Neighboring blocks satisfy the AMR balance rule.</w:t>
      </w:r>
    </w:p>
    <w:p>
      <w:pPr>
        <w:pStyle w:val="ListBullet"/>
        <w:spacing w:after="50"/>
      </w:pPr>
      <w:r>
        <w:t>The reference configuration stays within its declared memory budget.</w:t>
      </w:r>
    </w:p>
    <w:p>
      <w:pPr>
        <w:pStyle w:val="Heading2"/>
      </w:pPr>
      <w:r>
        <w:t>Phase B Background Providers and Snapshots</w:t>
      </w:r>
    </w:p>
    <w:p>
      <w:r>
        <w:rPr>
          <w:b/>
        </w:rPr>
        <w:t>Objective</w:t>
      </w:r>
      <w:r>
        <w:t xml:space="preserve">  Provide complete and validated ambient states through one contract.</w:t>
      </w:r>
    </w:p>
    <w:p>
      <w:r>
        <w:rPr>
          <w:b/>
        </w:rPr>
        <w:t>Implementation actions</w:t>
      </w:r>
    </w:p>
    <w:p>
      <w:pPr>
        <w:pStyle w:val="ListBullet"/>
        <w:spacing w:after="50"/>
      </w:pPr>
      <w:r>
        <w:t>Implement the analytic Parker provider first, including magnetic field, flow, density, divergence, gradients, focusing quantities, and time validity.</w:t>
      </w:r>
    </w:p>
    <w:p>
      <w:pPr>
        <w:pStyle w:val="ListBullet"/>
        <w:spacing w:after="50"/>
      </w:pPr>
      <w:r>
        <w:t>Implement BackgroundSnapshotBuilder independently of AMPS storage.</w:t>
      </w:r>
    </w:p>
    <w:p>
      <w:pPr>
        <w:pStyle w:val="ListBullet"/>
        <w:spacing w:after="50"/>
      </w:pPr>
      <w:r>
        <w:t>Implement the SWMF AWSoM adapter for field mapping, unit conversion, frame declaration, ownership, and epoch checks.</w:t>
      </w:r>
    </w:p>
    <w:p>
      <w:pPr>
        <w:pStyle w:val="ListBullet"/>
        <w:spacing w:after="50"/>
      </w:pPr>
      <w:r>
        <w:t>Add current and next buffering only after frozen-snapshot behavior passes.</w:t>
      </w:r>
    </w:p>
    <w:p>
      <w:pPr>
        <w:pStyle w:val="ListBullet"/>
        <w:spacing w:after="50"/>
      </w:pPr>
      <w:r>
        <w:t>Make EvaluateBatch preserve per-sample status instead of replacing failed samples with plausible values.</w:t>
      </w:r>
    </w:p>
    <w:p>
      <w:r>
        <w:rPr>
          <w:b/>
        </w:rPr>
        <w:t>Exit criteria</w:t>
      </w:r>
    </w:p>
    <w:p>
      <w:pPr>
        <w:pStyle w:val="ListBullet"/>
        <w:spacing w:after="50"/>
      </w:pPr>
      <w:r>
        <w:t>Analytic Parker identities and derivative convergence tests pass.</w:t>
      </w:r>
    </w:p>
    <w:p>
      <w:pPr>
        <w:pStyle w:val="ListBullet"/>
        <w:spacing w:after="50"/>
      </w:pPr>
      <w:r>
        <w:t>Candidate snapshot failure is atomic.</w:t>
      </w:r>
    </w:p>
    <w:p>
      <w:pPr>
        <w:pStyle w:val="ListBullet"/>
        <w:spacing w:after="50"/>
      </w:pPr>
      <w:r>
        <w:t>Frozen Parker and frozen SWMF snapshots use the same Runtime path.</w:t>
      </w:r>
    </w:p>
    <w:p>
      <w:pPr>
        <w:pStyle w:val="Heading2"/>
      </w:pPr>
      <w:r>
        <w:t>Phase T Turbulence and Scattering Inputs</w:t>
      </w:r>
    </w:p>
    <w:p>
      <w:r>
        <w:rPr>
          <w:b/>
        </w:rPr>
        <w:t>Objective</w:t>
      </w:r>
      <w:r>
        <w:t xml:space="preserve">  Make scattering authority explicit and validate every conversion.</w:t>
      </w:r>
    </w:p>
    <w:p>
      <w:r>
        <w:rPr>
          <w:b/>
        </w:rPr>
        <w:t>Implementation actions</w:t>
      </w:r>
    </w:p>
    <w:p>
      <w:pPr>
        <w:pStyle w:val="ListBullet"/>
        <w:spacing w:after="50"/>
      </w:pPr>
      <w:r>
        <w:t>Define TurbulenceProvider separately from BackgroundProvider.</w:t>
      </w:r>
    </w:p>
    <w:p>
      <w:pPr>
        <w:pStyle w:val="ListBullet"/>
        <w:spacing w:after="50"/>
      </w:pPr>
      <w:r>
        <w:t>Implement prescribed Kolmogorov or other selected analytic spectrum for standalone tests.</w:t>
      </w:r>
    </w:p>
    <w:p>
      <w:pPr>
        <w:pStyle w:val="ListBullet"/>
        <w:spacing w:after="50"/>
      </w:pPr>
      <w:r>
        <w:t>Map the AWSoM forward and backward wave variables with explicit units and sign conventions.</w:t>
      </w:r>
    </w:p>
    <w:p>
      <w:pPr>
        <w:pStyle w:val="ListBullet"/>
        <w:spacing w:after="50"/>
      </w:pPr>
      <w:r>
        <w:t>Reuse srcSEP coefficient kernels for Dμμ  mean free path  and parallel diffusion conversions.</w:t>
      </w:r>
    </w:p>
    <w:p>
      <w:pPr>
        <w:pStyle w:val="ListBullet"/>
        <w:spacing w:after="50"/>
      </w:pPr>
      <w:r>
        <w:t>Reserve self-consistent three-dimensional turbulence until a mesh wave-energy equation and conservation tests exist.</w:t>
      </w:r>
    </w:p>
    <w:p>
      <w:r>
        <w:rPr>
          <w:b/>
        </w:rPr>
        <w:t>Exit criteria</w:t>
      </w:r>
    </w:p>
    <w:p>
      <w:pPr>
        <w:pStyle w:val="ListBullet"/>
        <w:spacing w:after="50"/>
      </w:pPr>
      <w:r>
        <w:t>Coefficient round trips pass over the supported species and energy range.</w:t>
      </w:r>
    </w:p>
    <w:p>
      <w:pPr>
        <w:pStyle w:val="ListBullet"/>
        <w:spacing w:after="50"/>
      </w:pPr>
      <w:r>
        <w:t>The same local state gives the same coefficients in srcSEP and srcSEP3D.</w:t>
      </w:r>
    </w:p>
    <w:p>
      <w:pPr>
        <w:pStyle w:val="ListBullet"/>
        <w:spacing w:after="50"/>
      </w:pPr>
      <w:r>
        <w:t>Missing turbulence fails or enters explicitly selected ballistic mode.</w:t>
      </w:r>
    </w:p>
    <w:p>
      <w:pPr>
        <w:pStyle w:val="Heading2"/>
      </w:pPr>
      <w:r>
        <w:t>Phase P Transport Cores</w:t>
      </w:r>
    </w:p>
    <w:p>
      <w:r>
        <w:rPr>
          <w:b/>
        </w:rPr>
        <w:t>Objective</w:t>
      </w:r>
      <w:r>
        <w:t xml:space="preserve">  Implement and validate the AMPS-independent Parker and focused transport steps.</w:t>
      </w:r>
    </w:p>
    <w:p>
      <w:r>
        <w:rPr>
          <w:b/>
        </w:rPr>
        <w:t>Implementation actions</w:t>
      </w:r>
    </w:p>
    <w:p>
      <w:pPr>
        <w:pStyle w:val="ListBullet"/>
        <w:spacing w:after="50"/>
      </w:pPr>
      <w:r>
        <w:t>Implement the tensor Parker stochastic step with the complete Ito drift.</w:t>
      </w:r>
    </w:p>
    <w:p>
      <w:pPr>
        <w:pStyle w:val="ListBullet"/>
        <w:spacing w:after="50"/>
      </w:pPr>
      <w:r>
        <w:t>Implement the focused transport split step with bounded pitch angle and declared stochastic scheme.</w:t>
      </w:r>
    </w:p>
    <w:p>
      <w:pPr>
        <w:pStyle w:val="ListBullet"/>
        <w:spacing w:after="50"/>
      </w:pPr>
      <w:r>
        <w:t>Use named time-step limits for cell crossing  diffusion  focusing  cooling  field variation  shock crossing  and snapshot boundaries.</w:t>
      </w:r>
    </w:p>
    <w:p>
      <w:pPr>
        <w:pStyle w:val="ListBullet"/>
        <w:spacing w:after="50"/>
      </w:pPr>
      <w:r>
        <w:t>Use keyed random streams independent of particle ordering  MPI ownership  and optional future physics streams.</w:t>
      </w:r>
    </w:p>
    <w:p>
      <w:pPr>
        <w:pStyle w:val="ListBullet"/>
        <w:spacing w:after="50"/>
      </w:pPr>
      <w:r>
        <w:t>Keep perpendicular diffusion and drifts exactly zero until their own release gates are passed.</w:t>
      </w:r>
    </w:p>
    <w:p>
      <w:r>
        <w:rPr>
          <w:b/>
        </w:rPr>
        <w:t>Exit criteria</w:t>
      </w:r>
    </w:p>
    <w:p>
      <w:pPr>
        <w:pStyle w:val="ListBullet"/>
        <w:spacing w:after="50"/>
      </w:pPr>
      <w:r>
        <w:t>Analytic moment  characteristic  boundary  and scattering tests pass.</w:t>
      </w:r>
    </w:p>
    <w:p>
      <w:pPr>
        <w:pStyle w:val="ListBullet"/>
        <w:spacing w:after="50"/>
      </w:pPr>
      <w:r>
        <w:t>Parker and focused solvers agree in the strong-scattering limit.</w:t>
      </w:r>
    </w:p>
    <w:p>
      <w:pPr>
        <w:pStyle w:val="ListBullet"/>
        <w:spacing w:after="50"/>
      </w:pPr>
      <w:r>
        <w:t>Fixed-seed results are bitwise reproducible across supported thread counts.</w:t>
      </w:r>
    </w:p>
    <w:p>
      <w:pPr>
        <w:pStyle w:val="Heading2"/>
      </w:pPr>
      <w:r>
        <w:t>Phase A AMPS Mover and Source Adapters</w:t>
      </w:r>
    </w:p>
    <w:p>
      <w:r>
        <w:rPr>
          <w:b/>
        </w:rPr>
        <w:t>Objective</w:t>
      </w:r>
      <w:r>
        <w:t xml:space="preserve">  Connect validated transport cores to AMPS without duplicating physics.</w:t>
      </w:r>
    </w:p>
    <w:p>
      <w:r>
        <w:rPr>
          <w:b/>
        </w:rPr>
        <w:t>Implementation actions</w:t>
      </w:r>
    </w:p>
    <w:p>
      <w:pPr>
        <w:pStyle w:val="ListBullet"/>
        <w:spacing w:after="50"/>
      </w:pPr>
      <w:r>
        <w:t>Implement particle-buffer translation and one validating dispatch adapter.</w:t>
      </w:r>
    </w:p>
    <w:p>
      <w:pPr>
        <w:pStyle w:val="ListBullet"/>
        <w:spacing w:after="50"/>
      </w:pPr>
      <w:r>
        <w:t>Register exactly the intended three-dimensional production movers.</w:t>
      </w:r>
    </w:p>
    <w:p>
      <w:pPr>
        <w:pStyle w:val="ListBullet"/>
        <w:spacing w:after="50"/>
      </w:pPr>
      <w:r>
        <w:t>Implement inner  outer  invalid-background  and shock-crossing boundary outcomes.</w:t>
      </w:r>
    </w:p>
    <w:p>
      <w:pPr>
        <w:pStyle w:val="ListBullet"/>
        <w:spacing w:after="50"/>
      </w:pPr>
      <w:r>
        <w:t>Connect SWCME shock state to the shared injection-spectrum kernel.</w:t>
      </w:r>
    </w:p>
    <w:p>
      <w:pPr>
        <w:pStyle w:val="ListBullet"/>
        <w:spacing w:after="50"/>
      </w:pPr>
      <w:r>
        <w:t>Record a particle ledger for injected  active  escaped  absorbed  and failed states.</w:t>
      </w:r>
    </w:p>
    <w:p>
      <w:r>
        <w:rPr>
          <w:b/>
        </w:rPr>
        <w:t>Exit criteria</w:t>
      </w:r>
    </w:p>
    <w:p>
      <w:pPr>
        <w:pStyle w:val="ListBullet"/>
        <w:spacing w:after="50"/>
      </w:pPr>
      <w:r>
        <w:t>AMPS return codes and particle-list bookkeeping pass linked tests.</w:t>
      </w:r>
    </w:p>
    <w:p>
      <w:pPr>
        <w:pStyle w:val="ListBullet"/>
        <w:spacing w:after="50"/>
      </w:pPr>
      <w:r>
        <w:t>The particle ledger closes exactly per species and time step.</w:t>
      </w:r>
    </w:p>
    <w:p>
      <w:pPr>
        <w:pStyle w:val="ListBullet"/>
        <w:spacing w:after="50"/>
      </w:pPr>
      <w:r>
        <w:t>A shock source record is identical between the 1-D and 3-D adapters for the same input state.</w:t>
      </w:r>
    </w:p>
    <w:p>
      <w:pPr>
        <w:pStyle w:val="Heading2"/>
      </w:pPr>
      <w:r>
        <w:t>Phase O Sampling Output and Restart</w:t>
      </w:r>
    </w:p>
    <w:p>
      <w:r>
        <w:rPr>
          <w:b/>
        </w:rPr>
        <w:t>Objective</w:t>
      </w:r>
      <w:r>
        <w:t xml:space="preserve">  Produce traceable products without modifying model state.</w:t>
      </w:r>
    </w:p>
    <w:p>
      <w:r>
        <w:rPr>
          <w:b/>
        </w:rPr>
        <w:t>Implementation actions</w:t>
      </w:r>
    </w:p>
    <w:p>
      <w:pPr>
        <w:pStyle w:val="ListBullet"/>
        <w:spacing w:after="50"/>
      </w:pPr>
      <w:r>
        <w:t>Implement cell moments  virtual spacecraft  spectra  anisotropy  field-line projections  and shock diagnostics.</w:t>
      </w:r>
    </w:p>
    <w:p>
      <w:pPr>
        <w:pStyle w:val="ListBullet"/>
        <w:spacing w:after="50"/>
      </w:pPr>
      <w:r>
        <w:t>Use transactional output with staging files and atomic publication.</w:t>
      </w:r>
    </w:p>
    <w:p>
      <w:pPr>
        <w:pStyle w:val="ListBullet"/>
        <w:spacing w:after="50"/>
      </w:pPr>
      <w:r>
        <w:t>Write unit-bearing variable names and a manifest containing configuration  code version  snapshot IDs  and artifact hashes.</w:t>
      </w:r>
    </w:p>
    <w:p>
      <w:pPr>
        <w:pStyle w:val="ListBullet"/>
        <w:spacing w:after="50"/>
      </w:pPr>
      <w:r>
        <w:t>Serialize all restart-critical Runtime and stochastic state.</w:t>
      </w:r>
    </w:p>
    <w:p>
      <w:r>
        <w:rPr>
          <w:b/>
        </w:rPr>
        <w:t>Exit criteria</w:t>
      </w:r>
    </w:p>
    <w:p>
      <w:pPr>
        <w:pStyle w:val="ListBullet"/>
        <w:spacing w:after="50"/>
      </w:pPr>
      <w:r>
        <w:t>Sampling is read-only and reproducible.</w:t>
      </w:r>
    </w:p>
    <w:p>
      <w:pPr>
        <w:pStyle w:val="ListBullet"/>
        <w:spacing w:after="50"/>
      </w:pPr>
      <w:r>
        <w:t>All outputs pass an independent schema parser.</w:t>
      </w:r>
    </w:p>
    <w:p>
      <w:pPr>
        <w:pStyle w:val="ListBullet"/>
        <w:spacing w:after="50"/>
      </w:pPr>
      <w:r>
        <w:t>Interrupted and uninterrupted runs agree at the final checkpoint.</w:t>
      </w:r>
    </w:p>
    <w:p>
      <w:pPr>
        <w:pStyle w:val="Heading2"/>
      </w:pPr>
      <w:r>
        <w:t>Phase V Integration and Scientific Validation</w:t>
      </w:r>
    </w:p>
    <w:p>
      <w:r>
        <w:rPr>
          <w:b/>
        </w:rPr>
        <w:t>Objective</w:t>
      </w:r>
      <w:r>
        <w:t xml:space="preserve">  Demonstrate numerical correctness and the intended physical advantage over the field-line model.</w:t>
      </w:r>
    </w:p>
    <w:p>
      <w:r>
        <w:rPr>
          <w:b/>
        </w:rPr>
        <w:t>Implementation actions</w:t>
      </w:r>
    </w:p>
    <w:p>
      <w:pPr>
        <w:pStyle w:val="ListBullet"/>
        <w:spacing w:after="50"/>
      </w:pPr>
      <w:r>
        <w:t>Run matched 1-D and 3-D reductions before interpreting event results.</w:t>
      </w:r>
    </w:p>
    <w:p>
      <w:pPr>
        <w:pStyle w:val="ListBullet"/>
        <w:spacing w:after="50"/>
      </w:pPr>
      <w:r>
        <w:t>Complete resolution  time-step  particle-number  and stochastic convergence studies.</w:t>
      </w:r>
    </w:p>
    <w:p>
      <w:pPr>
        <w:pStyle w:val="ListBullet"/>
        <w:spacing w:after="50"/>
      </w:pPr>
      <w:r>
        <w:t>Validate frozen and time-dependent coupled backgrounds.</w:t>
      </w:r>
    </w:p>
    <w:p>
      <w:pPr>
        <w:pStyle w:val="ListBullet"/>
        <w:spacing w:after="50"/>
      </w:pPr>
      <w:r>
        <w:t>Run multi-spacecraft event cases only after analytic and cross-model gates pass.</w:t>
      </w:r>
    </w:p>
    <w:p>
      <w:pPr>
        <w:pStyle w:val="ListBullet"/>
        <w:spacing w:after="50"/>
      </w:pPr>
      <w:r>
        <w:t>Promote perpendicular diffusion or drifts only through separate implementation and validation plans.</w:t>
      </w:r>
    </w:p>
    <w:p>
      <w:r>
        <w:rPr>
          <w:b/>
        </w:rPr>
        <w:t>Exit criteria</w:t>
      </w:r>
    </w:p>
    <w:p>
      <w:pPr>
        <w:pStyle w:val="ListBullet"/>
        <w:spacing w:after="50"/>
      </w:pPr>
      <w:r>
        <w:t>All release-gate cases pass with archived evidence.</w:t>
      </w:r>
    </w:p>
    <w:p>
      <w:pPr>
        <w:pStyle w:val="ListBullet"/>
        <w:spacing w:after="50"/>
      </w:pPr>
      <w:r>
        <w:t>No diagnostic case is used as a release claim.</w:t>
      </w:r>
    </w:p>
    <w:p>
      <w:pPr>
        <w:pStyle w:val="ListBullet"/>
        <w:spacing w:after="50"/>
      </w:pPr>
      <w:r>
        <w:t>The release manifest links every product to its inputs and configuration fingerprint.</w:t>
      </w:r>
    </w:p>
    <w:p>
      <w:pPr>
        <w:pStyle w:val="Heading1"/>
      </w:pPr>
      <w:r>
        <w:t>6 Verification and Validation Strategy</w:t>
      </w:r>
    </w:p>
    <w:p>
      <w:pPr>
        <w:pStyle w:val="Heading2"/>
      </w:pPr>
      <w:r>
        <w:t>1 Test Classes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2088"/>
            <w:shd w:fill="17365D"/>
            <w:tcMar>
              <w:top w:w="100" w:type="dxa"/>
              <w:start w:w="110" w:type="dxa"/>
              <w:bottom w:w="100" w:type="dxa"/>
              <w:end w:w="110" w:type="dxa"/>
            </w:tcMar>
            <w:vAlign w:val="center"/>
          </w:tcPr>
          <w:p>
            <w:pPr>
              <w:pStyle w:val="TableText"/>
              <w:jc w:val="center"/>
            </w:pPr>
            <w:r>
              <w:rPr>
                <w:b/>
                <w:color w:val="FFFFFF"/>
                <w:sz w:val="17"/>
              </w:rPr>
              <w:t>Class</w:t>
            </w:r>
          </w:p>
        </w:tc>
        <w:tc>
          <w:tcPr>
            <w:tcW w:type="dxa" w:w="2088"/>
            <w:shd w:fill="17365D"/>
            <w:tcMar>
              <w:top w:w="100" w:type="dxa"/>
              <w:start w:w="110" w:type="dxa"/>
              <w:bottom w:w="100" w:type="dxa"/>
              <w:end w:w="110" w:type="dxa"/>
            </w:tcMar>
            <w:vAlign w:val="center"/>
          </w:tcPr>
          <w:p>
            <w:pPr>
              <w:pStyle w:val="TableText"/>
              <w:jc w:val="center"/>
            </w:pPr>
            <w:r>
              <w:rPr>
                <w:b/>
                <w:color w:val="FFFFFF"/>
                <w:sz w:val="17"/>
              </w:rPr>
              <w:t>Link requirement</w:t>
            </w:r>
          </w:p>
        </w:tc>
        <w:tc>
          <w:tcPr>
            <w:tcW w:type="dxa" w:w="3600"/>
            <w:shd w:fill="17365D"/>
            <w:tcMar>
              <w:top w:w="100" w:type="dxa"/>
              <w:start w:w="110" w:type="dxa"/>
              <w:bottom w:w="100" w:type="dxa"/>
              <w:end w:w="110" w:type="dxa"/>
            </w:tcMar>
            <w:vAlign w:val="center"/>
          </w:tcPr>
          <w:p>
            <w:pPr>
              <w:pStyle w:val="TableText"/>
              <w:jc w:val="center"/>
            </w:pPr>
            <w:r>
              <w:rPr>
                <w:b/>
                <w:color w:val="FFFFFF"/>
                <w:sz w:val="17"/>
              </w:rPr>
              <w:t>Purpose</w:t>
            </w:r>
          </w:p>
        </w:tc>
        <w:tc>
          <w:tcPr>
            <w:tcW w:type="dxa" w:w="2232"/>
            <w:shd w:fill="17365D"/>
            <w:tcMar>
              <w:top w:w="100" w:type="dxa"/>
              <w:start w:w="110" w:type="dxa"/>
              <w:bottom w:w="100" w:type="dxa"/>
              <w:end w:w="110" w:type="dxa"/>
            </w:tcMar>
            <w:vAlign w:val="center"/>
          </w:tcPr>
          <w:p>
            <w:pPr>
              <w:pStyle w:val="TableText"/>
              <w:jc w:val="center"/>
            </w:pPr>
            <w:r>
              <w:rPr>
                <w:b/>
                <w:color w:val="FFFFFF"/>
                <w:sz w:val="17"/>
              </w:rPr>
              <w:t>Execution frequency</w:t>
            </w:r>
          </w:p>
        </w:tc>
      </w:tr>
      <w:tr>
        <w:trPr>
          <w:cantSplit/>
        </w:trPr>
        <w:tc>
          <w:tcPr>
            <w:tcW w:type="dxa" w:w="2088"/>
            <w:shd w:fill="FFFFFF"/>
            <w:tcMar>
              <w:top w:w="85" w:type="dxa"/>
              <w:start w:w="100" w:type="dxa"/>
              <w:bottom w:w="85" w:type="dxa"/>
              <w:end w:w="100" w:type="dxa"/>
            </w:tcMar>
            <w:vAlign w:val="center"/>
          </w:tcPr>
          <w:p>
            <w:pPr>
              <w:pStyle w:val="TableText"/>
              <w:jc w:val="center"/>
            </w:pPr>
            <w:r>
              <w:rPr>
                <w:sz w:val="17"/>
              </w:rPr>
              <w:t>Standalone unit and manufactured tests</w:t>
            </w:r>
          </w:p>
        </w:tc>
        <w:tc>
          <w:tcPr>
            <w:tcW w:type="dxa" w:w="2088"/>
            <w:shd w:fill="FFFFFF"/>
            <w:tcMar>
              <w:top w:w="85" w:type="dxa"/>
              <w:start w:w="100" w:type="dxa"/>
              <w:bottom w:w="85" w:type="dxa"/>
              <w:end w:w="100" w:type="dxa"/>
            </w:tcMar>
            <w:vAlign w:val="center"/>
          </w:tcPr>
          <w:p>
            <w:pPr>
              <w:pStyle w:val="TableText"/>
              <w:jc w:val="left"/>
            </w:pPr>
            <w:r>
              <w:rPr>
                <w:sz w:val="17"/>
              </w:rPr>
              <w:t>No AMPS or MPI link</w:t>
            </w:r>
          </w:p>
        </w:tc>
        <w:tc>
          <w:tcPr>
            <w:tcW w:type="dxa" w:w="3600"/>
            <w:shd w:fill="FFFFFF"/>
            <w:tcMar>
              <w:top w:w="85" w:type="dxa"/>
              <w:start w:w="100" w:type="dxa"/>
              <w:bottom w:w="85" w:type="dxa"/>
              <w:end w:w="100" w:type="dxa"/>
            </w:tcMar>
            <w:vAlign w:val="center"/>
          </w:tcPr>
          <w:p>
            <w:pPr>
              <w:pStyle w:val="TableText"/>
              <w:jc w:val="left"/>
            </w:pPr>
            <w:r>
              <w:rPr>
                <w:sz w:val="17"/>
              </w:rPr>
              <w:t>Equations  providers  configuration  mesh laws  serialization</w:t>
            </w:r>
          </w:p>
        </w:tc>
        <w:tc>
          <w:tcPr>
            <w:tcW w:type="dxa" w:w="2232"/>
            <w:shd w:fill="FFFFFF"/>
            <w:tcMar>
              <w:top w:w="85" w:type="dxa"/>
              <w:start w:w="100" w:type="dxa"/>
              <w:bottom w:w="85" w:type="dxa"/>
              <w:end w:w="100" w:type="dxa"/>
            </w:tcMar>
            <w:vAlign w:val="center"/>
          </w:tcPr>
          <w:p>
            <w:pPr>
              <w:pStyle w:val="TableText"/>
              <w:jc w:val="left"/>
            </w:pPr>
            <w:r>
              <w:rPr>
                <w:sz w:val="17"/>
              </w:rPr>
              <w:t>Every commit</w:t>
            </w:r>
          </w:p>
        </w:tc>
      </w:tr>
      <w:tr>
        <w:trPr>
          <w:cantSplit/>
        </w:trPr>
        <w:tc>
          <w:tcPr>
            <w:tcW w:type="dxa" w:w="2088"/>
            <w:shd w:fill="EAF1F8"/>
            <w:tcMar>
              <w:top w:w="85" w:type="dxa"/>
              <w:start w:w="100" w:type="dxa"/>
              <w:bottom w:w="85" w:type="dxa"/>
              <w:end w:w="100" w:type="dxa"/>
            </w:tcMar>
            <w:vAlign w:val="center"/>
          </w:tcPr>
          <w:p>
            <w:pPr>
              <w:pStyle w:val="TableText"/>
              <w:jc w:val="center"/>
            </w:pPr>
            <w:r>
              <w:rPr>
                <w:sz w:val="17"/>
              </w:rPr>
              <w:t>Production compile tests</w:t>
            </w:r>
          </w:p>
        </w:tc>
        <w:tc>
          <w:tcPr>
            <w:tcW w:type="dxa" w:w="2088"/>
            <w:shd w:fill="EAF1F8"/>
            <w:tcMar>
              <w:top w:w="85" w:type="dxa"/>
              <w:start w:w="100" w:type="dxa"/>
              <w:bottom w:w="85" w:type="dxa"/>
              <w:end w:w="100" w:type="dxa"/>
            </w:tcMar>
            <w:vAlign w:val="center"/>
          </w:tcPr>
          <w:p>
            <w:pPr>
              <w:pStyle w:val="TableText"/>
              <w:jc w:val="left"/>
            </w:pPr>
            <w:r>
              <w:rPr>
                <w:sz w:val="17"/>
              </w:rPr>
              <w:t>Full AMPS headers and libraries</w:t>
            </w:r>
          </w:p>
        </w:tc>
        <w:tc>
          <w:tcPr>
            <w:tcW w:type="dxa" w:w="3600"/>
            <w:shd w:fill="EAF1F8"/>
            <w:tcMar>
              <w:top w:w="85" w:type="dxa"/>
              <w:start w:w="100" w:type="dxa"/>
              <w:bottom w:w="85" w:type="dxa"/>
              <w:end w:w="100" w:type="dxa"/>
            </w:tcMar>
            <w:vAlign w:val="center"/>
          </w:tcPr>
          <w:p>
            <w:pPr>
              <w:pStyle w:val="TableText"/>
              <w:jc w:val="left"/>
            </w:pPr>
            <w:r>
              <w:rPr>
                <w:sz w:val="17"/>
              </w:rPr>
              <w:t>Catch stale source  symbols  offsets  and return-code mismatches</w:t>
            </w:r>
          </w:p>
        </w:tc>
        <w:tc>
          <w:tcPr>
            <w:tcW w:type="dxa" w:w="2232"/>
            <w:shd w:fill="EAF1F8"/>
            <w:tcMar>
              <w:top w:w="85" w:type="dxa"/>
              <w:start w:w="100" w:type="dxa"/>
              <w:bottom w:w="85" w:type="dxa"/>
              <w:end w:w="100" w:type="dxa"/>
            </w:tcMar>
            <w:vAlign w:val="center"/>
          </w:tcPr>
          <w:p>
            <w:pPr>
              <w:pStyle w:val="TableText"/>
              <w:jc w:val="left"/>
            </w:pPr>
            <w:r>
              <w:rPr>
                <w:sz w:val="17"/>
              </w:rPr>
              <w:t>Every commit in the AMPS tree</w:t>
            </w:r>
          </w:p>
        </w:tc>
      </w:tr>
      <w:tr>
        <w:trPr>
          <w:cantSplit/>
        </w:trPr>
        <w:tc>
          <w:tcPr>
            <w:tcW w:type="dxa" w:w="2088"/>
            <w:shd w:fill="FFFFFF"/>
            <w:tcMar>
              <w:top w:w="85" w:type="dxa"/>
              <w:start w:w="100" w:type="dxa"/>
              <w:bottom w:w="85" w:type="dxa"/>
              <w:end w:w="100" w:type="dxa"/>
            </w:tcMar>
            <w:vAlign w:val="center"/>
          </w:tcPr>
          <w:p>
            <w:pPr>
              <w:pStyle w:val="TableText"/>
              <w:jc w:val="center"/>
            </w:pPr>
            <w:r>
              <w:rPr>
                <w:sz w:val="17"/>
              </w:rPr>
              <w:t>Linked integration tests</w:t>
            </w:r>
          </w:p>
        </w:tc>
        <w:tc>
          <w:tcPr>
            <w:tcW w:type="dxa" w:w="2088"/>
            <w:shd w:fill="FFFFFF"/>
            <w:tcMar>
              <w:top w:w="85" w:type="dxa"/>
              <w:start w:w="100" w:type="dxa"/>
              <w:bottom w:w="85" w:type="dxa"/>
              <w:end w:w="100" w:type="dxa"/>
            </w:tcMar>
            <w:vAlign w:val="center"/>
          </w:tcPr>
          <w:p>
            <w:pPr>
              <w:pStyle w:val="TableText"/>
              <w:jc w:val="left"/>
            </w:pPr>
            <w:r>
              <w:rPr>
                <w:sz w:val="17"/>
              </w:rPr>
              <w:t>AMPS and MPI</w:t>
            </w:r>
          </w:p>
        </w:tc>
        <w:tc>
          <w:tcPr>
            <w:tcW w:type="dxa" w:w="3600"/>
            <w:shd w:fill="FFFFFF"/>
            <w:tcMar>
              <w:top w:w="85" w:type="dxa"/>
              <w:start w:w="100" w:type="dxa"/>
              <w:bottom w:w="85" w:type="dxa"/>
              <w:end w:w="100" w:type="dxa"/>
            </w:tcMar>
            <w:vAlign w:val="center"/>
          </w:tcPr>
          <w:p>
            <w:pPr>
              <w:pStyle w:val="TableText"/>
              <w:jc w:val="left"/>
            </w:pPr>
            <w:r>
              <w:rPr>
                <w:sz w:val="17"/>
              </w:rPr>
              <w:t>Mesh storage  movers  sources  sampling  conservation</w:t>
            </w:r>
          </w:p>
        </w:tc>
        <w:tc>
          <w:tcPr>
            <w:tcW w:type="dxa" w:w="2232"/>
            <w:shd w:fill="FFFFFF"/>
            <w:tcMar>
              <w:top w:w="85" w:type="dxa"/>
              <w:start w:w="100" w:type="dxa"/>
              <w:bottom w:w="85" w:type="dxa"/>
              <w:end w:w="100" w:type="dxa"/>
            </w:tcMar>
            <w:vAlign w:val="center"/>
          </w:tcPr>
          <w:p>
            <w:pPr>
              <w:pStyle w:val="TableText"/>
              <w:jc w:val="left"/>
            </w:pPr>
            <w:r>
              <w:rPr>
                <w:sz w:val="17"/>
              </w:rPr>
              <w:t>Pull request and nightly</w:t>
            </w:r>
          </w:p>
        </w:tc>
      </w:tr>
      <w:tr>
        <w:trPr>
          <w:cantSplit/>
        </w:trPr>
        <w:tc>
          <w:tcPr>
            <w:tcW w:type="dxa" w:w="2088"/>
            <w:shd w:fill="EAF1F8"/>
            <w:tcMar>
              <w:top w:w="85" w:type="dxa"/>
              <w:start w:w="100" w:type="dxa"/>
              <w:bottom w:w="85" w:type="dxa"/>
              <w:end w:w="100" w:type="dxa"/>
            </w:tcMar>
            <w:vAlign w:val="center"/>
          </w:tcPr>
          <w:p>
            <w:pPr>
              <w:pStyle w:val="TableText"/>
              <w:jc w:val="center"/>
            </w:pPr>
            <w:r>
              <w:rPr>
                <w:sz w:val="17"/>
              </w:rPr>
              <w:t>SWMF coupling tests</w:t>
            </w:r>
          </w:p>
        </w:tc>
        <w:tc>
          <w:tcPr>
            <w:tcW w:type="dxa" w:w="2088"/>
            <w:shd w:fill="EAF1F8"/>
            <w:tcMar>
              <w:top w:w="85" w:type="dxa"/>
              <w:start w:w="100" w:type="dxa"/>
              <w:bottom w:w="85" w:type="dxa"/>
              <w:end w:w="100" w:type="dxa"/>
            </w:tcMar>
            <w:vAlign w:val="center"/>
          </w:tcPr>
          <w:p>
            <w:pPr>
              <w:pStyle w:val="TableText"/>
              <w:jc w:val="left"/>
            </w:pPr>
            <w:r>
              <w:rPr>
                <w:sz w:val="17"/>
              </w:rPr>
              <w:t>AMPS SWMF coupler or deterministic receiver fixture</w:t>
            </w:r>
          </w:p>
        </w:tc>
        <w:tc>
          <w:tcPr>
            <w:tcW w:type="dxa" w:w="3600"/>
            <w:shd w:fill="EAF1F8"/>
            <w:tcMar>
              <w:top w:w="85" w:type="dxa"/>
              <w:start w:w="100" w:type="dxa"/>
              <w:bottom w:w="85" w:type="dxa"/>
              <w:end w:w="100" w:type="dxa"/>
            </w:tcMar>
            <w:vAlign w:val="center"/>
          </w:tcPr>
          <w:p>
            <w:pPr>
              <w:pStyle w:val="TableText"/>
              <w:jc w:val="left"/>
            </w:pPr>
            <w:r>
              <w:rPr>
                <w:sz w:val="17"/>
              </w:rPr>
              <w:t>Lifecycle  field mapping  completeness  epoch and ownership</w:t>
            </w:r>
          </w:p>
        </w:tc>
        <w:tc>
          <w:tcPr>
            <w:tcW w:type="dxa" w:w="2232"/>
            <w:shd w:fill="EAF1F8"/>
            <w:tcMar>
              <w:top w:w="85" w:type="dxa"/>
              <w:start w:w="100" w:type="dxa"/>
              <w:bottom w:w="85" w:type="dxa"/>
              <w:end w:w="100" w:type="dxa"/>
            </w:tcMar>
            <w:vAlign w:val="center"/>
          </w:tcPr>
          <w:p>
            <w:pPr>
              <w:pStyle w:val="TableText"/>
              <w:jc w:val="left"/>
            </w:pPr>
            <w:r>
              <w:rPr>
                <w:sz w:val="17"/>
              </w:rPr>
              <w:t>Nightly</w:t>
            </w:r>
          </w:p>
        </w:tc>
      </w:tr>
      <w:tr>
        <w:trPr>
          <w:cantSplit/>
        </w:trPr>
        <w:tc>
          <w:tcPr>
            <w:tcW w:type="dxa" w:w="2088"/>
            <w:shd w:fill="FFFFFF"/>
            <w:tcMar>
              <w:top w:w="85" w:type="dxa"/>
              <w:start w:w="100" w:type="dxa"/>
              <w:bottom w:w="85" w:type="dxa"/>
              <w:end w:w="100" w:type="dxa"/>
            </w:tcMar>
            <w:vAlign w:val="center"/>
          </w:tcPr>
          <w:p>
            <w:pPr>
              <w:pStyle w:val="TableText"/>
              <w:jc w:val="center"/>
            </w:pPr>
            <w:r>
              <w:rPr>
                <w:sz w:val="17"/>
              </w:rPr>
              <w:t>Cross-model validation</w:t>
            </w:r>
          </w:p>
        </w:tc>
        <w:tc>
          <w:tcPr>
            <w:tcW w:type="dxa" w:w="2088"/>
            <w:shd w:fill="FFFFFF"/>
            <w:tcMar>
              <w:top w:w="85" w:type="dxa"/>
              <w:start w:w="100" w:type="dxa"/>
              <w:bottom w:w="85" w:type="dxa"/>
              <w:end w:w="100" w:type="dxa"/>
            </w:tcMar>
            <w:vAlign w:val="center"/>
          </w:tcPr>
          <w:p>
            <w:pPr>
              <w:pStyle w:val="TableText"/>
              <w:jc w:val="left"/>
            </w:pPr>
            <w:r>
              <w:rPr>
                <w:sz w:val="17"/>
              </w:rPr>
              <w:t>srcSEP and srcSEP3D executables</w:t>
            </w:r>
          </w:p>
        </w:tc>
        <w:tc>
          <w:tcPr>
            <w:tcW w:type="dxa" w:w="3600"/>
            <w:shd w:fill="FFFFFF"/>
            <w:tcMar>
              <w:top w:w="85" w:type="dxa"/>
              <w:start w:w="100" w:type="dxa"/>
              <w:bottom w:w="85" w:type="dxa"/>
              <w:end w:w="100" w:type="dxa"/>
            </w:tcMar>
            <w:vAlign w:val="center"/>
          </w:tcPr>
          <w:p>
            <w:pPr>
              <w:pStyle w:val="TableText"/>
              <w:jc w:val="left"/>
            </w:pPr>
            <w:r>
              <w:rPr>
                <w:sz w:val="17"/>
              </w:rPr>
              <w:t>One-dimensional reduction and shared source identity</w:t>
            </w:r>
          </w:p>
        </w:tc>
        <w:tc>
          <w:tcPr>
            <w:tcW w:type="dxa" w:w="2232"/>
            <w:shd w:fill="FFFFFF"/>
            <w:tcMar>
              <w:top w:w="85" w:type="dxa"/>
              <w:start w:w="100" w:type="dxa"/>
              <w:bottom w:w="85" w:type="dxa"/>
              <w:end w:w="100" w:type="dxa"/>
            </w:tcMar>
            <w:vAlign w:val="center"/>
          </w:tcPr>
          <w:p>
            <w:pPr>
              <w:pStyle w:val="TableText"/>
              <w:jc w:val="left"/>
            </w:pPr>
            <w:r>
              <w:rPr>
                <w:sz w:val="17"/>
              </w:rPr>
              <w:t>Weekly and release</w:t>
            </w:r>
          </w:p>
        </w:tc>
      </w:tr>
      <w:tr>
        <w:trPr>
          <w:cantSplit/>
        </w:trPr>
        <w:tc>
          <w:tcPr>
            <w:tcW w:type="dxa" w:w="2088"/>
            <w:shd w:fill="EAF1F8"/>
            <w:tcMar>
              <w:top w:w="85" w:type="dxa"/>
              <w:start w:w="100" w:type="dxa"/>
              <w:bottom w:w="85" w:type="dxa"/>
              <w:end w:w="100" w:type="dxa"/>
            </w:tcMar>
            <w:vAlign w:val="center"/>
          </w:tcPr>
          <w:p>
            <w:pPr>
              <w:pStyle w:val="TableText"/>
              <w:jc w:val="center"/>
            </w:pPr>
            <w:r>
              <w:rPr>
                <w:sz w:val="17"/>
              </w:rPr>
              <w:t>Observational validation</w:t>
            </w:r>
          </w:p>
        </w:tc>
        <w:tc>
          <w:tcPr>
            <w:tcW w:type="dxa" w:w="2088"/>
            <w:shd w:fill="EAF1F8"/>
            <w:tcMar>
              <w:top w:w="85" w:type="dxa"/>
              <w:start w:w="100" w:type="dxa"/>
              <w:bottom w:w="85" w:type="dxa"/>
              <w:end w:w="100" w:type="dxa"/>
            </w:tcMar>
            <w:vAlign w:val="center"/>
          </w:tcPr>
          <w:p>
            <w:pPr>
              <w:pStyle w:val="TableText"/>
              <w:jc w:val="left"/>
            </w:pPr>
            <w:r>
              <w:rPr>
                <w:sz w:val="17"/>
              </w:rPr>
              <w:t>Complete applications and reviewed datasets</w:t>
            </w:r>
          </w:p>
        </w:tc>
        <w:tc>
          <w:tcPr>
            <w:tcW w:type="dxa" w:w="3600"/>
            <w:shd w:fill="EAF1F8"/>
            <w:tcMar>
              <w:top w:w="85" w:type="dxa"/>
              <w:start w:w="100" w:type="dxa"/>
              <w:bottom w:w="85" w:type="dxa"/>
              <w:end w:w="100" w:type="dxa"/>
            </w:tcMar>
            <w:vAlign w:val="center"/>
          </w:tcPr>
          <w:p>
            <w:pPr>
              <w:pStyle w:val="TableText"/>
              <w:jc w:val="left"/>
            </w:pPr>
            <w:r>
              <w:rPr>
                <w:sz w:val="17"/>
              </w:rPr>
              <w:t>End-to-end scientific performance</w:t>
            </w:r>
          </w:p>
        </w:tc>
        <w:tc>
          <w:tcPr>
            <w:tcW w:type="dxa" w:w="2232"/>
            <w:shd w:fill="EAF1F8"/>
            <w:tcMar>
              <w:top w:w="85" w:type="dxa"/>
              <w:start w:w="100" w:type="dxa"/>
              <w:bottom w:w="85" w:type="dxa"/>
              <w:end w:w="100" w:type="dxa"/>
            </w:tcMar>
            <w:vAlign w:val="center"/>
          </w:tcPr>
          <w:p>
            <w:pPr>
              <w:pStyle w:val="TableText"/>
              <w:jc w:val="left"/>
            </w:pPr>
            <w:r>
              <w:rPr>
                <w:sz w:val="17"/>
              </w:rPr>
              <w:t>Release campaign</w:t>
            </w:r>
          </w:p>
        </w:tc>
      </w:tr>
    </w:tbl>
    <w:p>
      <w:pPr>
        <w:pStyle w:val="Heading2"/>
      </w:pPr>
      <w:r>
        <w:t>2 Evidence Levels</w:t>
      </w:r>
    </w:p>
    <w:p>
      <w:pPr>
        <w:pStyle w:val="ListBullet"/>
        <w:spacing w:after="50"/>
      </w:pPr>
      <w:r>
        <w:t>Release gate means a failed case blocks the release.</w:t>
      </w:r>
    </w:p>
    <w:p>
      <w:pPr>
        <w:pStyle w:val="ListBullet"/>
        <w:spacing w:after="50"/>
      </w:pPr>
      <w:r>
        <w:t>Diagnostic means the case characterizes a known limitation or future capability and cannot be cited as a passed validation.</w:t>
      </w:r>
    </w:p>
    <w:p>
      <w:pPr>
        <w:pStyle w:val="ListBullet"/>
        <w:spacing w:after="50"/>
      </w:pPr>
      <w:r>
        <w:t>Extended means the case is too expensive for routine execution but must be run for a formal release.</w:t>
      </w:r>
    </w:p>
    <w:p>
      <w:pPr>
        <w:pStyle w:val="ListBullet"/>
        <w:spacing w:after="50"/>
      </w:pPr>
      <w:r>
        <w:t>Negative control means a deliberately corrupted implementation or input must fail, proving that the test is sensitive to the targeted defect.</w:t>
      </w:r>
    </w:p>
    <w:p>
      <w:pPr>
        <w:pStyle w:val="Heading2"/>
      </w:pPr>
      <w:r>
        <w:t>3 Common Test Record</w:t>
      </w:r>
    </w:p>
    <w:p>
      <w:r>
        <w:t>Every test record contains the case identifier  physics purpose  executable and command  complete input fingerprint  code revision  compiler and build flags  rank and thread count  campaign seed  acceptance values  measured values  status  wall time  output hashes  and links to plots or logs. Stochastic tests also record ensemble size and the statistical test used.</w:t>
      </w:r>
    </w:p>
    <w:p>
      <w:pPr>
        <w:pStyle w:val="Heading1"/>
      </w:pPr>
      <w:r>
        <w:t>7 Tests Without an AMPS Link</w:t>
      </w:r>
    </w:p>
    <w:p>
      <w:r>
        <w:t>These tests compile from L0 and L1 sources only. The link command must contain no AMPS archive and no MPI library. Undefined references to PIC  MPI  or application globals are therefore test failures.</w:t>
      </w:r>
    </w:p>
    <w:p>
      <w:pPr>
        <w:pStyle w:val="Heading2"/>
      </w:pPr>
      <w:r>
        <w:t>1 Build Configuration and Architecture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296"/>
            <w:shd w:fill="17365D"/>
            <w:tcMar>
              <w:top w:w="100" w:type="dxa"/>
              <w:start w:w="110" w:type="dxa"/>
              <w:bottom w:w="100" w:type="dxa"/>
              <w:end w:w="110" w:type="dxa"/>
            </w:tcMar>
            <w:vAlign w:val="center"/>
          </w:tcPr>
          <w:p>
            <w:pPr>
              <w:pStyle w:val="TableText"/>
              <w:jc w:val="center"/>
            </w:pPr>
            <w:r>
              <w:rPr>
                <w:b/>
                <w:color w:val="FFFFFF"/>
                <w:sz w:val="17"/>
              </w:rPr>
              <w:t>ID</w:t>
            </w:r>
          </w:p>
        </w:tc>
        <w:tc>
          <w:tcPr>
            <w:tcW w:type="dxa" w:w="2448"/>
            <w:shd w:fill="17365D"/>
            <w:tcMar>
              <w:top w:w="100" w:type="dxa"/>
              <w:start w:w="110" w:type="dxa"/>
              <w:bottom w:w="100" w:type="dxa"/>
              <w:end w:w="110" w:type="dxa"/>
            </w:tcMar>
            <w:vAlign w:val="center"/>
          </w:tcPr>
          <w:p>
            <w:pPr>
              <w:pStyle w:val="TableText"/>
              <w:jc w:val="center"/>
            </w:pPr>
            <w:r>
              <w:rPr>
                <w:b/>
                <w:color w:val="FFFFFF"/>
                <w:sz w:val="17"/>
              </w:rPr>
              <w:t>Purpose</w:t>
            </w:r>
          </w:p>
        </w:tc>
        <w:tc>
          <w:tcPr>
            <w:tcW w:type="dxa" w:w="3528"/>
            <w:shd w:fill="17365D"/>
            <w:tcMar>
              <w:top w:w="100" w:type="dxa"/>
              <w:start w:w="110" w:type="dxa"/>
              <w:bottom w:w="100" w:type="dxa"/>
              <w:end w:w="110" w:type="dxa"/>
            </w:tcMar>
            <w:vAlign w:val="center"/>
          </w:tcPr>
          <w:p>
            <w:pPr>
              <w:pStyle w:val="TableText"/>
              <w:jc w:val="center"/>
            </w:pPr>
            <w:r>
              <w:rPr>
                <w:b/>
                <w:color w:val="FFFFFF"/>
                <w:sz w:val="17"/>
              </w:rPr>
              <w:t>Setup</w:t>
            </w:r>
          </w:p>
        </w:tc>
        <w:tc>
          <w:tcPr>
            <w:tcW w:type="dxa" w:w="2951"/>
            <w:shd w:fill="17365D"/>
            <w:tcMar>
              <w:top w:w="100" w:type="dxa"/>
              <w:start w:w="110" w:type="dxa"/>
              <w:bottom w:w="100" w:type="dxa"/>
              <w:end w:w="110" w:type="dxa"/>
            </w:tcMar>
            <w:vAlign w:val="center"/>
          </w:tcPr>
          <w:p>
            <w:pPr>
              <w:pStyle w:val="TableText"/>
              <w:jc w:val="center"/>
            </w:pPr>
            <w:r>
              <w:rPr>
                <w:b/>
                <w:color w:val="FFFFFF"/>
                <w:sz w:val="17"/>
              </w:rPr>
              <w:t>Acceptance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HARN3D01</w:t>
            </w:r>
          </w:p>
        </w:tc>
        <w:tc>
          <w:tcPr>
            <w:tcW w:type="dxa" w:w="2448"/>
            <w:shd w:fill="FFFFFF"/>
            <w:tcMar>
              <w:top w:w="85" w:type="dxa"/>
              <w:start w:w="100" w:type="dxa"/>
              <w:bottom w:w="85" w:type="dxa"/>
              <w:end w:w="100" w:type="dxa"/>
            </w:tcMar>
            <w:vAlign w:val="center"/>
          </w:tcPr>
          <w:p>
            <w:pPr>
              <w:pStyle w:val="TableText"/>
              <w:jc w:val="left"/>
            </w:pPr>
            <w:r>
              <w:rPr>
                <w:sz w:val="17"/>
              </w:rPr>
              <w:t>Discovery and selection</w:t>
            </w:r>
          </w:p>
        </w:tc>
        <w:tc>
          <w:tcPr>
            <w:tcW w:type="dxa" w:w="3528"/>
            <w:shd w:fill="FFFFFF"/>
            <w:tcMar>
              <w:top w:w="85" w:type="dxa"/>
              <w:start w:w="100" w:type="dxa"/>
              <w:bottom w:w="85" w:type="dxa"/>
              <w:end w:w="100" w:type="dxa"/>
            </w:tcMar>
            <w:vAlign w:val="center"/>
          </w:tcPr>
          <w:p>
            <w:pPr>
              <w:pStyle w:val="TableText"/>
              <w:jc w:val="left"/>
            </w:pPr>
            <w:r>
              <w:rPr>
                <w:sz w:val="17"/>
              </w:rPr>
              <w:t>List tests  run one test  one group  and all tests</w:t>
            </w:r>
          </w:p>
        </w:tc>
        <w:tc>
          <w:tcPr>
            <w:tcW w:type="dxa" w:w="2951"/>
            <w:shd w:fill="FFFFFF"/>
            <w:tcMar>
              <w:top w:w="85" w:type="dxa"/>
              <w:start w:w="100" w:type="dxa"/>
              <w:bottom w:w="85" w:type="dxa"/>
              <w:end w:w="100" w:type="dxa"/>
            </w:tcMar>
            <w:vAlign w:val="center"/>
          </w:tcPr>
          <w:p>
            <w:pPr>
              <w:pStyle w:val="TableText"/>
              <w:jc w:val="left"/>
            </w:pPr>
            <w:r>
              <w:rPr>
                <w:sz w:val="17"/>
              </w:rPr>
              <w:t>Stable ordering and correct exit status</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HARN3D02</w:t>
            </w:r>
          </w:p>
        </w:tc>
        <w:tc>
          <w:tcPr>
            <w:tcW w:type="dxa" w:w="2448"/>
            <w:shd w:fill="EAF1F8"/>
            <w:tcMar>
              <w:top w:w="85" w:type="dxa"/>
              <w:start w:w="100" w:type="dxa"/>
              <w:bottom w:w="85" w:type="dxa"/>
              <w:end w:w="100" w:type="dxa"/>
            </w:tcMar>
            <w:vAlign w:val="center"/>
          </w:tcPr>
          <w:p>
            <w:pPr>
              <w:pStyle w:val="TableText"/>
              <w:jc w:val="left"/>
            </w:pPr>
            <w:r>
              <w:rPr>
                <w:sz w:val="17"/>
              </w:rPr>
              <w:t>Evidence writers</w:t>
            </w:r>
          </w:p>
        </w:tc>
        <w:tc>
          <w:tcPr>
            <w:tcW w:type="dxa" w:w="3528"/>
            <w:shd w:fill="EAF1F8"/>
            <w:tcMar>
              <w:top w:w="85" w:type="dxa"/>
              <w:start w:w="100" w:type="dxa"/>
              <w:bottom w:w="85" w:type="dxa"/>
              <w:end w:w="100" w:type="dxa"/>
            </w:tcMar>
            <w:vAlign w:val="center"/>
          </w:tcPr>
          <w:p>
            <w:pPr>
              <w:pStyle w:val="TableText"/>
              <w:jc w:val="left"/>
            </w:pPr>
            <w:r>
              <w:rPr>
                <w:sz w:val="17"/>
              </w:rPr>
              <w:t>Run one passing  failing  and skipped fixture</w:t>
            </w:r>
          </w:p>
        </w:tc>
        <w:tc>
          <w:tcPr>
            <w:tcW w:type="dxa" w:w="2951"/>
            <w:shd w:fill="EAF1F8"/>
            <w:tcMar>
              <w:top w:w="85" w:type="dxa"/>
              <w:start w:w="100" w:type="dxa"/>
              <w:bottom w:w="85" w:type="dxa"/>
              <w:end w:w="100" w:type="dxa"/>
            </w:tcMar>
            <w:vAlign w:val="center"/>
          </w:tcPr>
          <w:p>
            <w:pPr>
              <w:pStyle w:val="TableText"/>
              <w:jc w:val="left"/>
            </w:pPr>
            <w:r>
              <w:rPr>
                <w:sz w:val="17"/>
              </w:rPr>
              <w:t>JSON and JUnit records preserve status and measurements</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ARCH3D01</w:t>
            </w:r>
          </w:p>
        </w:tc>
        <w:tc>
          <w:tcPr>
            <w:tcW w:type="dxa" w:w="2448"/>
            <w:shd w:fill="FFFFFF"/>
            <w:tcMar>
              <w:top w:w="85" w:type="dxa"/>
              <w:start w:w="100" w:type="dxa"/>
              <w:bottom w:w="85" w:type="dxa"/>
              <w:end w:w="100" w:type="dxa"/>
            </w:tcMar>
            <w:vAlign w:val="center"/>
          </w:tcPr>
          <w:p>
            <w:pPr>
              <w:pStyle w:val="TableText"/>
              <w:jc w:val="left"/>
            </w:pPr>
            <w:r>
              <w:rPr>
                <w:sz w:val="17"/>
              </w:rPr>
              <w:t>Layer guard</w:t>
            </w:r>
          </w:p>
        </w:tc>
        <w:tc>
          <w:tcPr>
            <w:tcW w:type="dxa" w:w="3528"/>
            <w:shd w:fill="FFFFFF"/>
            <w:tcMar>
              <w:top w:w="85" w:type="dxa"/>
              <w:start w:w="100" w:type="dxa"/>
              <w:bottom w:w="85" w:type="dxa"/>
              <w:end w:w="100" w:type="dxa"/>
            </w:tcMar>
            <w:vAlign w:val="center"/>
          </w:tcPr>
          <w:p>
            <w:pPr>
              <w:pStyle w:val="TableText"/>
              <w:jc w:val="left"/>
            </w:pPr>
            <w:r>
              <w:rPr>
                <w:sz w:val="17"/>
              </w:rPr>
              <w:t>Scan core and provider sources for forbidden includes and symbols</w:t>
            </w:r>
          </w:p>
        </w:tc>
        <w:tc>
          <w:tcPr>
            <w:tcW w:type="dxa" w:w="2951"/>
            <w:shd w:fill="FFFFFF"/>
            <w:tcMar>
              <w:top w:w="85" w:type="dxa"/>
              <w:start w:w="100" w:type="dxa"/>
              <w:bottom w:w="85" w:type="dxa"/>
              <w:end w:w="100" w:type="dxa"/>
            </w:tcMar>
            <w:vAlign w:val="center"/>
          </w:tcPr>
          <w:p>
            <w:pPr>
              <w:pStyle w:val="TableText"/>
              <w:jc w:val="left"/>
            </w:pPr>
            <w:r>
              <w:rPr>
                <w:sz w:val="17"/>
              </w:rPr>
              <w:t>No pic.h  mpi.h  PIC namespace  or MPI symbol</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ARCH3D02</w:t>
            </w:r>
          </w:p>
        </w:tc>
        <w:tc>
          <w:tcPr>
            <w:tcW w:type="dxa" w:w="2448"/>
            <w:shd w:fill="EAF1F8"/>
            <w:tcMar>
              <w:top w:w="85" w:type="dxa"/>
              <w:start w:w="100" w:type="dxa"/>
              <w:bottom w:w="85" w:type="dxa"/>
              <w:end w:w="100" w:type="dxa"/>
            </w:tcMar>
            <w:vAlign w:val="center"/>
          </w:tcPr>
          <w:p>
            <w:pPr>
              <w:pStyle w:val="TableText"/>
              <w:jc w:val="left"/>
            </w:pPr>
            <w:r>
              <w:rPr>
                <w:sz w:val="17"/>
              </w:rPr>
              <w:t>Single shared kernels</w:t>
            </w:r>
          </w:p>
        </w:tc>
        <w:tc>
          <w:tcPr>
            <w:tcW w:type="dxa" w:w="3528"/>
            <w:shd w:fill="EAF1F8"/>
            <w:tcMar>
              <w:top w:w="85" w:type="dxa"/>
              <w:start w:w="100" w:type="dxa"/>
              <w:bottom w:w="85" w:type="dxa"/>
              <w:end w:w="100" w:type="dxa"/>
            </w:tcMar>
            <w:vAlign w:val="center"/>
          </w:tcPr>
          <w:p>
            <w:pPr>
              <w:pStyle w:val="TableText"/>
              <w:jc w:val="left"/>
            </w:pPr>
            <w:r>
              <w:rPr>
                <w:sz w:val="17"/>
              </w:rPr>
              <w:t>Inspect planned object manifests and archive members</w:t>
            </w:r>
          </w:p>
        </w:tc>
        <w:tc>
          <w:tcPr>
            <w:tcW w:type="dxa" w:w="2951"/>
            <w:shd w:fill="EAF1F8"/>
            <w:tcMar>
              <w:top w:w="85" w:type="dxa"/>
              <w:start w:w="100" w:type="dxa"/>
              <w:bottom w:w="85" w:type="dxa"/>
              <w:end w:w="100" w:type="dxa"/>
            </w:tcMar>
            <w:vAlign w:val="center"/>
          </w:tcPr>
          <w:p>
            <w:pPr>
              <w:pStyle w:val="TableText"/>
              <w:jc w:val="left"/>
            </w:pPr>
            <w:r>
              <w:rPr>
                <w:sz w:val="17"/>
              </w:rPr>
              <w:t>No srcSEP utility is compiled into an application archive twice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CFG3D01</w:t>
            </w:r>
          </w:p>
        </w:tc>
        <w:tc>
          <w:tcPr>
            <w:tcW w:type="dxa" w:w="2448"/>
            <w:shd w:fill="FFFFFF"/>
            <w:tcMar>
              <w:top w:w="85" w:type="dxa"/>
              <w:start w:w="100" w:type="dxa"/>
              <w:bottom w:w="85" w:type="dxa"/>
              <w:end w:w="100" w:type="dxa"/>
            </w:tcMar>
            <w:vAlign w:val="center"/>
          </w:tcPr>
          <w:p>
            <w:pPr>
              <w:pStyle w:val="TableText"/>
              <w:jc w:val="left"/>
            </w:pPr>
            <w:r>
              <w:rPr>
                <w:sz w:val="17"/>
              </w:rPr>
              <w:t>CLI normalization</w:t>
            </w:r>
          </w:p>
        </w:tc>
        <w:tc>
          <w:tcPr>
            <w:tcW w:type="dxa" w:w="3528"/>
            <w:shd w:fill="FFFFFF"/>
            <w:tcMar>
              <w:top w:w="85" w:type="dxa"/>
              <w:start w:w="100" w:type="dxa"/>
              <w:bottom w:w="85" w:type="dxa"/>
              <w:end w:w="100" w:type="dxa"/>
            </w:tcMar>
            <w:vAlign w:val="center"/>
          </w:tcPr>
          <w:p>
            <w:pPr>
              <w:pStyle w:val="TableText"/>
              <w:jc w:val="left"/>
            </w:pPr>
            <w:r>
              <w:rPr>
                <w:sz w:val="17"/>
              </w:rPr>
              <w:t>Compare name value and name equals value forms and repeated options</w:t>
            </w:r>
          </w:p>
        </w:tc>
        <w:tc>
          <w:tcPr>
            <w:tcW w:type="dxa" w:w="2951"/>
            <w:shd w:fill="FFFFFF"/>
            <w:tcMar>
              <w:top w:w="85" w:type="dxa"/>
              <w:start w:w="100" w:type="dxa"/>
              <w:bottom w:w="85" w:type="dxa"/>
              <w:end w:w="100" w:type="dxa"/>
            </w:tcMar>
            <w:vAlign w:val="center"/>
          </w:tcPr>
          <w:p>
            <w:pPr>
              <w:pStyle w:val="TableText"/>
              <w:jc w:val="left"/>
            </w:pPr>
            <w:r>
              <w:rPr>
                <w:sz w:val="17"/>
              </w:rPr>
              <w:t>Resolved configurations are identical and last value wins</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CFG3D02</w:t>
            </w:r>
          </w:p>
        </w:tc>
        <w:tc>
          <w:tcPr>
            <w:tcW w:type="dxa" w:w="2448"/>
            <w:shd w:fill="EAF1F8"/>
            <w:tcMar>
              <w:top w:w="85" w:type="dxa"/>
              <w:start w:w="100" w:type="dxa"/>
              <w:bottom w:w="85" w:type="dxa"/>
              <w:end w:w="100" w:type="dxa"/>
            </w:tcMar>
            <w:vAlign w:val="center"/>
          </w:tcPr>
          <w:p>
            <w:pPr>
              <w:pStyle w:val="TableText"/>
              <w:jc w:val="left"/>
            </w:pPr>
            <w:r>
              <w:rPr>
                <w:sz w:val="17"/>
              </w:rPr>
              <w:t>Provider authority</w:t>
            </w:r>
          </w:p>
        </w:tc>
        <w:tc>
          <w:tcPr>
            <w:tcW w:type="dxa" w:w="3528"/>
            <w:shd w:fill="EAF1F8"/>
            <w:tcMar>
              <w:top w:w="85" w:type="dxa"/>
              <w:start w:w="100" w:type="dxa"/>
              <w:bottom w:w="85" w:type="dxa"/>
              <w:end w:w="100" w:type="dxa"/>
            </w:tcMar>
            <w:vAlign w:val="center"/>
          </w:tcPr>
          <w:p>
            <w:pPr>
              <w:pStyle w:val="TableText"/>
              <w:jc w:val="left"/>
            </w:pPr>
            <w:r>
              <w:rPr>
                <w:sz w:val="17"/>
              </w:rPr>
              <w:t>Request conflicting background  turbulence  and shock authorities</w:t>
            </w:r>
          </w:p>
        </w:tc>
        <w:tc>
          <w:tcPr>
            <w:tcW w:type="dxa" w:w="2951"/>
            <w:shd w:fill="EAF1F8"/>
            <w:tcMar>
              <w:top w:w="85" w:type="dxa"/>
              <w:start w:w="100" w:type="dxa"/>
              <w:bottom w:w="85" w:type="dxa"/>
              <w:end w:w="100" w:type="dxa"/>
            </w:tcMar>
            <w:vAlign w:val="center"/>
          </w:tcPr>
          <w:p>
            <w:pPr>
              <w:pStyle w:val="TableText"/>
              <w:jc w:val="left"/>
            </w:pPr>
            <w:r>
              <w:rPr>
                <w:sz w:val="17"/>
              </w:rPr>
              <w:t>Rejected before initialization with the conflicting names</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CFG3D03</w:t>
            </w:r>
          </w:p>
        </w:tc>
        <w:tc>
          <w:tcPr>
            <w:tcW w:type="dxa" w:w="2448"/>
            <w:shd w:fill="FFFFFF"/>
            <w:tcMar>
              <w:top w:w="85" w:type="dxa"/>
              <w:start w:w="100" w:type="dxa"/>
              <w:bottom w:w="85" w:type="dxa"/>
              <w:end w:w="100" w:type="dxa"/>
            </w:tcMar>
            <w:vAlign w:val="center"/>
          </w:tcPr>
          <w:p>
            <w:pPr>
              <w:pStyle w:val="TableText"/>
              <w:jc w:val="left"/>
            </w:pPr>
            <w:r>
              <w:rPr>
                <w:sz w:val="17"/>
              </w:rPr>
              <w:t>Fingerprint</w:t>
            </w:r>
          </w:p>
        </w:tc>
        <w:tc>
          <w:tcPr>
            <w:tcW w:type="dxa" w:w="3528"/>
            <w:shd w:fill="FFFFFF"/>
            <w:tcMar>
              <w:top w:w="85" w:type="dxa"/>
              <w:start w:w="100" w:type="dxa"/>
              <w:bottom w:w="85" w:type="dxa"/>
              <w:end w:w="100" w:type="dxa"/>
            </w:tcMar>
            <w:vAlign w:val="center"/>
          </w:tcPr>
          <w:p>
            <w:pPr>
              <w:pStyle w:val="TableText"/>
              <w:jc w:val="left"/>
            </w:pPr>
            <w:r>
              <w:rPr>
                <w:sz w:val="17"/>
              </w:rPr>
              <w:t>Vary each physics-relevant option and each output-only option</w:t>
            </w:r>
          </w:p>
        </w:tc>
        <w:tc>
          <w:tcPr>
            <w:tcW w:type="dxa" w:w="2951"/>
            <w:shd w:fill="FFFFFF"/>
            <w:tcMar>
              <w:top w:w="85" w:type="dxa"/>
              <w:start w:w="100" w:type="dxa"/>
              <w:bottom w:w="85" w:type="dxa"/>
              <w:end w:w="100" w:type="dxa"/>
            </w:tcMar>
            <w:vAlign w:val="center"/>
          </w:tcPr>
          <w:p>
            <w:pPr>
              <w:pStyle w:val="TableText"/>
              <w:jc w:val="left"/>
            </w:pPr>
            <w:r>
              <w:rPr>
                <w:sz w:val="17"/>
              </w:rPr>
              <w:t>Physics changes alter the fingerprint  formatting changes do not</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CFG3D04</w:t>
            </w:r>
          </w:p>
        </w:tc>
        <w:tc>
          <w:tcPr>
            <w:tcW w:type="dxa" w:w="2448"/>
            <w:shd w:fill="EAF1F8"/>
            <w:tcMar>
              <w:top w:w="85" w:type="dxa"/>
              <w:start w:w="100" w:type="dxa"/>
              <w:bottom w:w="85" w:type="dxa"/>
              <w:end w:w="100" w:type="dxa"/>
            </w:tcMar>
            <w:vAlign w:val="center"/>
          </w:tcPr>
          <w:p>
            <w:pPr>
              <w:pStyle w:val="TableText"/>
              <w:jc w:val="left"/>
            </w:pPr>
            <w:r>
              <w:rPr>
                <w:sz w:val="17"/>
              </w:rPr>
              <w:t>Reserved features</w:t>
            </w:r>
          </w:p>
        </w:tc>
        <w:tc>
          <w:tcPr>
            <w:tcW w:type="dxa" w:w="3528"/>
            <w:shd w:fill="EAF1F8"/>
            <w:tcMar>
              <w:top w:w="85" w:type="dxa"/>
              <w:start w:w="100" w:type="dxa"/>
              <w:bottom w:w="85" w:type="dxa"/>
              <w:end w:w="100" w:type="dxa"/>
            </w:tcMar>
            <w:vAlign w:val="center"/>
          </w:tcPr>
          <w:p>
            <w:pPr>
              <w:pStyle w:val="TableText"/>
              <w:jc w:val="left"/>
            </w:pPr>
            <w:r>
              <w:rPr>
                <w:sz w:val="17"/>
              </w:rPr>
              <w:t>Request perpendicular diffusion  drifts  external script  and self-consistent 3-D turbulence</w:t>
            </w:r>
          </w:p>
        </w:tc>
        <w:tc>
          <w:tcPr>
            <w:tcW w:type="dxa" w:w="2951"/>
            <w:shd w:fill="EAF1F8"/>
            <w:tcMar>
              <w:top w:w="85" w:type="dxa"/>
              <w:start w:w="100" w:type="dxa"/>
              <w:bottom w:w="85" w:type="dxa"/>
              <w:end w:w="100" w:type="dxa"/>
            </w:tcMar>
            <w:vAlign w:val="center"/>
          </w:tcPr>
          <w:p>
            <w:pPr>
              <w:pStyle w:val="TableText"/>
              <w:jc w:val="left"/>
            </w:pPr>
            <w:r>
              <w:rPr>
                <w:sz w:val="17"/>
              </w:rPr>
              <w:t>Stable reserved-feature diagnostic until each feature is activated</w:t>
            </w:r>
          </w:p>
        </w:tc>
      </w:tr>
    </w:tbl>
    <w:p>
      <w:pPr>
        <w:pStyle w:val="Heading2"/>
      </w:pPr>
      <w:r>
        <w:t>2 Mesh and Geometry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296"/>
            <w:shd w:fill="17365D"/>
            <w:tcMar>
              <w:top w:w="100" w:type="dxa"/>
              <w:start w:w="110" w:type="dxa"/>
              <w:bottom w:w="100" w:type="dxa"/>
              <w:end w:w="110" w:type="dxa"/>
            </w:tcMar>
            <w:vAlign w:val="center"/>
          </w:tcPr>
          <w:p>
            <w:pPr>
              <w:pStyle w:val="TableText"/>
              <w:jc w:val="center"/>
            </w:pPr>
            <w:r>
              <w:rPr>
                <w:b/>
                <w:color w:val="FFFFFF"/>
                <w:sz w:val="17"/>
              </w:rPr>
              <w:t>ID</w:t>
            </w:r>
          </w:p>
        </w:tc>
        <w:tc>
          <w:tcPr>
            <w:tcW w:type="dxa" w:w="2376"/>
            <w:shd w:fill="17365D"/>
            <w:tcMar>
              <w:top w:w="100" w:type="dxa"/>
              <w:start w:w="110" w:type="dxa"/>
              <w:bottom w:w="100" w:type="dxa"/>
              <w:end w:w="110" w:type="dxa"/>
            </w:tcMar>
            <w:vAlign w:val="center"/>
          </w:tcPr>
          <w:p>
            <w:pPr>
              <w:pStyle w:val="TableText"/>
              <w:jc w:val="center"/>
            </w:pPr>
            <w:r>
              <w:rPr>
                <w:b/>
                <w:color w:val="FFFFFF"/>
                <w:sz w:val="17"/>
              </w:rPr>
              <w:t>Purpose</w:t>
            </w:r>
          </w:p>
        </w:tc>
        <w:tc>
          <w:tcPr>
            <w:tcW w:type="dxa" w:w="3600"/>
            <w:shd w:fill="17365D"/>
            <w:tcMar>
              <w:top w:w="100" w:type="dxa"/>
              <w:start w:w="110" w:type="dxa"/>
              <w:bottom w:w="100" w:type="dxa"/>
              <w:end w:w="110" w:type="dxa"/>
            </w:tcMar>
            <w:vAlign w:val="center"/>
          </w:tcPr>
          <w:p>
            <w:pPr>
              <w:pStyle w:val="TableText"/>
              <w:jc w:val="center"/>
            </w:pPr>
            <w:r>
              <w:rPr>
                <w:b/>
                <w:color w:val="FFFFFF"/>
                <w:sz w:val="17"/>
              </w:rPr>
              <w:t>Setup</w:t>
            </w:r>
          </w:p>
        </w:tc>
        <w:tc>
          <w:tcPr>
            <w:tcW w:type="dxa" w:w="2951"/>
            <w:shd w:fill="17365D"/>
            <w:tcMar>
              <w:top w:w="100" w:type="dxa"/>
              <w:start w:w="110" w:type="dxa"/>
              <w:bottom w:w="100" w:type="dxa"/>
              <w:end w:w="110" w:type="dxa"/>
            </w:tcMar>
            <w:vAlign w:val="center"/>
          </w:tcPr>
          <w:p>
            <w:pPr>
              <w:pStyle w:val="TableText"/>
              <w:jc w:val="center"/>
            </w:pPr>
            <w:r>
              <w:rPr>
                <w:b/>
                <w:color w:val="FFFFFF"/>
                <w:sz w:val="17"/>
              </w:rPr>
              <w:t>Acceptance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MSH3D01</w:t>
            </w:r>
          </w:p>
        </w:tc>
        <w:tc>
          <w:tcPr>
            <w:tcW w:type="dxa" w:w="2376"/>
            <w:shd w:fill="FFFFFF"/>
            <w:tcMar>
              <w:top w:w="85" w:type="dxa"/>
              <w:start w:w="100" w:type="dxa"/>
              <w:bottom w:w="85" w:type="dxa"/>
              <w:end w:w="100" w:type="dxa"/>
            </w:tcMar>
            <w:vAlign w:val="center"/>
          </w:tcPr>
          <w:p>
            <w:pPr>
              <w:pStyle w:val="TableText"/>
              <w:jc w:val="left"/>
            </w:pPr>
            <w:r>
              <w:rPr>
                <w:sz w:val="17"/>
              </w:rPr>
              <w:t>Resolution bounds</w:t>
            </w:r>
          </w:p>
        </w:tc>
        <w:tc>
          <w:tcPr>
            <w:tcW w:type="dxa" w:w="3600"/>
            <w:shd w:fill="FFFFFF"/>
            <w:tcMar>
              <w:top w:w="85" w:type="dxa"/>
              <w:start w:w="100" w:type="dxa"/>
              <w:bottom w:w="85" w:type="dxa"/>
              <w:end w:w="100" w:type="dxa"/>
            </w:tcMar>
            <w:vAlign w:val="center"/>
          </w:tcPr>
          <w:p>
            <w:pPr>
              <w:pStyle w:val="TableText"/>
              <w:jc w:val="left"/>
            </w:pPr>
            <w:r>
              <w:rPr>
                <w:sz w:val="17"/>
              </w:rPr>
              <w:t>Evaluate one million deterministic positions including axes and boundaries</w:t>
            </w:r>
          </w:p>
        </w:tc>
        <w:tc>
          <w:tcPr>
            <w:tcW w:type="dxa" w:w="2951"/>
            <w:shd w:fill="FFFFFF"/>
            <w:tcMar>
              <w:top w:w="85" w:type="dxa"/>
              <w:start w:w="100" w:type="dxa"/>
              <w:bottom w:w="85" w:type="dxa"/>
              <w:end w:w="100" w:type="dxa"/>
            </w:tcMar>
            <w:vAlign w:val="center"/>
          </w:tcPr>
          <w:p>
            <w:pPr>
              <w:pStyle w:val="TableText"/>
              <w:jc w:val="left"/>
            </w:pPr>
            <w:r>
              <w:rPr>
                <w:sz w:val="17"/>
              </w:rPr>
              <w:t>Finite positive resolution within configured floor and background limits</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MSH3D02</w:t>
            </w:r>
          </w:p>
        </w:tc>
        <w:tc>
          <w:tcPr>
            <w:tcW w:type="dxa" w:w="2376"/>
            <w:shd w:fill="EAF1F8"/>
            <w:tcMar>
              <w:top w:w="85" w:type="dxa"/>
              <w:start w:w="100" w:type="dxa"/>
              <w:bottom w:w="85" w:type="dxa"/>
              <w:end w:w="100" w:type="dxa"/>
            </w:tcMar>
            <w:vAlign w:val="center"/>
          </w:tcPr>
          <w:p>
            <w:pPr>
              <w:pStyle w:val="TableText"/>
              <w:jc w:val="left"/>
            </w:pPr>
            <w:r>
              <w:rPr>
                <w:sz w:val="17"/>
              </w:rPr>
              <w:t>Radial closed forms</w:t>
            </w:r>
          </w:p>
        </w:tc>
        <w:tc>
          <w:tcPr>
            <w:tcW w:type="dxa" w:w="3600"/>
            <w:shd w:fill="EAF1F8"/>
            <w:tcMar>
              <w:top w:w="85" w:type="dxa"/>
              <w:start w:w="100" w:type="dxa"/>
              <w:bottom w:w="85" w:type="dxa"/>
              <w:end w:w="100" w:type="dxa"/>
            </w:tcMar>
            <w:vAlign w:val="center"/>
          </w:tcPr>
          <w:p>
            <w:pPr>
              <w:pStyle w:val="TableText"/>
              <w:jc w:val="left"/>
            </w:pPr>
            <w:r>
              <w:rPr>
                <w:sz w:val="17"/>
              </w:rPr>
              <w:t>Test surface value  transition radius  and radial octave behavior</w:t>
            </w:r>
          </w:p>
        </w:tc>
        <w:tc>
          <w:tcPr>
            <w:tcW w:type="dxa" w:w="2951"/>
            <w:shd w:fill="EAF1F8"/>
            <w:tcMar>
              <w:top w:w="85" w:type="dxa"/>
              <w:start w:w="100" w:type="dxa"/>
              <w:bottom w:w="85" w:type="dxa"/>
              <w:end w:w="100" w:type="dxa"/>
            </w:tcMar>
            <w:vAlign w:val="center"/>
          </w:tcPr>
          <w:p>
            <w:pPr>
              <w:pStyle w:val="TableText"/>
              <w:jc w:val="left"/>
            </w:pPr>
            <w:r>
              <w:rPr>
                <w:sz w:val="17"/>
              </w:rPr>
              <w:t>Relative error below 1e-12</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MSH3D03</w:t>
            </w:r>
          </w:p>
        </w:tc>
        <w:tc>
          <w:tcPr>
            <w:tcW w:type="dxa" w:w="2376"/>
            <w:shd w:fill="FFFFFF"/>
            <w:tcMar>
              <w:top w:w="85" w:type="dxa"/>
              <w:start w:w="100" w:type="dxa"/>
              <w:bottom w:w="85" w:type="dxa"/>
              <w:end w:w="100" w:type="dxa"/>
            </w:tcMar>
            <w:vAlign w:val="center"/>
          </w:tcPr>
          <w:p>
            <w:pPr>
              <w:pStyle w:val="TableText"/>
              <w:jc w:val="left"/>
            </w:pPr>
            <w:r>
              <w:rPr>
                <w:sz w:val="17"/>
              </w:rPr>
              <w:t>Tube centreline</w:t>
            </w:r>
          </w:p>
        </w:tc>
        <w:tc>
          <w:tcPr>
            <w:tcW w:type="dxa" w:w="3600"/>
            <w:shd w:fill="FFFFFF"/>
            <w:tcMar>
              <w:top w:w="85" w:type="dxa"/>
              <w:start w:w="100" w:type="dxa"/>
              <w:bottom w:w="85" w:type="dxa"/>
              <w:end w:w="100" w:type="dxa"/>
            </w:tcMar>
            <w:vAlign w:val="center"/>
          </w:tcPr>
          <w:p>
            <w:pPr>
              <w:pStyle w:val="TableText"/>
              <w:jc w:val="left"/>
            </w:pPr>
            <w:r>
              <w:rPr>
                <w:sz w:val="17"/>
              </w:rPr>
              <w:t>Evaluate analytic Parker centreline over radius and polarity</w:t>
            </w:r>
          </w:p>
        </w:tc>
        <w:tc>
          <w:tcPr>
            <w:tcW w:type="dxa" w:w="2951"/>
            <w:shd w:fill="FFFFFF"/>
            <w:tcMar>
              <w:top w:w="85" w:type="dxa"/>
              <w:start w:w="100" w:type="dxa"/>
              <w:bottom w:w="85" w:type="dxa"/>
              <w:end w:w="100" w:type="dxa"/>
            </w:tcMar>
            <w:vAlign w:val="center"/>
          </w:tcPr>
          <w:p>
            <w:pPr>
              <w:pStyle w:val="TableText"/>
              <w:jc w:val="left"/>
            </w:pPr>
            <w:r>
              <w:rPr>
                <w:sz w:val="17"/>
              </w:rPr>
              <w:t>Distance below 1e-9 times radius</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MSH3D04</w:t>
            </w:r>
          </w:p>
        </w:tc>
        <w:tc>
          <w:tcPr>
            <w:tcW w:type="dxa" w:w="2376"/>
            <w:shd w:fill="EAF1F8"/>
            <w:tcMar>
              <w:top w:w="85" w:type="dxa"/>
              <w:start w:w="100" w:type="dxa"/>
              <w:bottom w:w="85" w:type="dxa"/>
              <w:end w:w="100" w:type="dxa"/>
            </w:tcMar>
            <w:vAlign w:val="center"/>
          </w:tcPr>
          <w:p>
            <w:pPr>
              <w:pStyle w:val="TableText"/>
              <w:jc w:val="left"/>
            </w:pPr>
            <w:r>
              <w:rPr>
                <w:sz w:val="17"/>
              </w:rPr>
              <w:t>Tube distance convergence</w:t>
            </w:r>
          </w:p>
        </w:tc>
        <w:tc>
          <w:tcPr>
            <w:tcW w:type="dxa" w:w="3600"/>
            <w:shd w:fill="EAF1F8"/>
            <w:tcMar>
              <w:top w:w="85" w:type="dxa"/>
              <w:start w:w="100" w:type="dxa"/>
              <w:bottom w:w="85" w:type="dxa"/>
              <w:end w:w="100" w:type="dxa"/>
            </w:tcMar>
            <w:vAlign w:val="center"/>
          </w:tcPr>
          <w:p>
            <w:pPr>
              <w:pStyle w:val="TableText"/>
              <w:jc w:val="left"/>
            </w:pPr>
            <w:r>
              <w:rPr>
                <w:sz w:val="17"/>
              </w:rPr>
              <w:t>Compare fast and exact distance as offset shrinks</w:t>
            </w:r>
          </w:p>
        </w:tc>
        <w:tc>
          <w:tcPr>
            <w:tcW w:type="dxa" w:w="2951"/>
            <w:shd w:fill="EAF1F8"/>
            <w:tcMar>
              <w:top w:w="85" w:type="dxa"/>
              <w:start w:w="100" w:type="dxa"/>
              <w:bottom w:w="85" w:type="dxa"/>
              <w:end w:w="100" w:type="dxa"/>
            </w:tcMar>
            <w:vAlign w:val="center"/>
          </w:tcPr>
          <w:p>
            <w:pPr>
              <w:pStyle w:val="TableText"/>
              <w:jc w:val="left"/>
            </w:pPr>
            <w:r>
              <w:rPr>
                <w:sz w:val="17"/>
              </w:rPr>
              <w:t>Observed order at least 1.9</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MSH3D05</w:t>
            </w:r>
          </w:p>
        </w:tc>
        <w:tc>
          <w:tcPr>
            <w:tcW w:type="dxa" w:w="2376"/>
            <w:shd w:fill="FFFFFF"/>
            <w:tcMar>
              <w:top w:w="85" w:type="dxa"/>
              <w:start w:w="100" w:type="dxa"/>
              <w:bottom w:w="85" w:type="dxa"/>
              <w:end w:w="100" w:type="dxa"/>
            </w:tcMar>
            <w:vAlign w:val="center"/>
          </w:tcPr>
          <w:p>
            <w:pPr>
              <w:pStyle w:val="TableText"/>
              <w:jc w:val="left"/>
            </w:pPr>
            <w:r>
              <w:rPr>
                <w:sz w:val="17"/>
              </w:rPr>
              <w:t>Shoulder and balance</w:t>
            </w:r>
          </w:p>
        </w:tc>
        <w:tc>
          <w:tcPr>
            <w:tcW w:type="dxa" w:w="3600"/>
            <w:shd w:fill="FFFFFF"/>
            <w:tcMar>
              <w:top w:w="85" w:type="dxa"/>
              <w:start w:w="100" w:type="dxa"/>
              <w:bottom w:w="85" w:type="dxa"/>
              <w:end w:w="100" w:type="dxa"/>
            </w:tcMar>
            <w:vAlign w:val="center"/>
          </w:tcPr>
          <w:p>
            <w:pPr>
              <w:pStyle w:val="TableText"/>
              <w:jc w:val="left"/>
            </w:pPr>
            <w:r>
              <w:rPr>
                <w:sz w:val="17"/>
              </w:rPr>
              <w:t>Build level map with valid and deliberately narrow shoulders</w:t>
            </w:r>
          </w:p>
        </w:tc>
        <w:tc>
          <w:tcPr>
            <w:tcW w:type="dxa" w:w="2951"/>
            <w:shd w:fill="FFFFFF"/>
            <w:tcMar>
              <w:top w:w="85" w:type="dxa"/>
              <w:start w:w="100" w:type="dxa"/>
              <w:bottom w:w="85" w:type="dxa"/>
              <w:end w:w="100" w:type="dxa"/>
            </w:tcMar>
            <w:vAlign w:val="center"/>
          </w:tcPr>
          <w:p>
            <w:pPr>
              <w:pStyle w:val="TableText"/>
              <w:jc w:val="left"/>
            </w:pPr>
            <w:r>
              <w:rPr>
                <w:sz w:val="17"/>
              </w:rPr>
              <w:t>Neighbor jump at most one  negative control is detected</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MSH3D06</w:t>
            </w:r>
          </w:p>
        </w:tc>
        <w:tc>
          <w:tcPr>
            <w:tcW w:type="dxa" w:w="2376"/>
            <w:shd w:fill="EAF1F8"/>
            <w:tcMar>
              <w:top w:w="85" w:type="dxa"/>
              <w:start w:w="100" w:type="dxa"/>
              <w:bottom w:w="85" w:type="dxa"/>
              <w:end w:w="100" w:type="dxa"/>
            </w:tcMar>
            <w:vAlign w:val="center"/>
          </w:tcPr>
          <w:p>
            <w:pPr>
              <w:pStyle w:val="TableText"/>
              <w:jc w:val="left"/>
            </w:pPr>
            <w:r>
              <w:rPr>
                <w:sz w:val="17"/>
              </w:rPr>
              <w:t>Rotation invariance</w:t>
            </w:r>
          </w:p>
        </w:tc>
        <w:tc>
          <w:tcPr>
            <w:tcW w:type="dxa" w:w="3600"/>
            <w:shd w:fill="EAF1F8"/>
            <w:tcMar>
              <w:top w:w="85" w:type="dxa"/>
              <w:start w:w="100" w:type="dxa"/>
              <w:bottom w:w="85" w:type="dxa"/>
              <w:end w:w="100" w:type="dxa"/>
            </w:tcMar>
            <w:vAlign w:val="center"/>
          </w:tcPr>
          <w:p>
            <w:pPr>
              <w:pStyle w:val="TableText"/>
              <w:jc w:val="left"/>
            </w:pPr>
            <w:r>
              <w:rPr>
                <w:sz w:val="17"/>
              </w:rPr>
              <w:t>Rotate points and tube longitude together</w:t>
            </w:r>
          </w:p>
        </w:tc>
        <w:tc>
          <w:tcPr>
            <w:tcW w:type="dxa" w:w="2951"/>
            <w:shd w:fill="EAF1F8"/>
            <w:tcMar>
              <w:top w:w="85" w:type="dxa"/>
              <w:start w:w="100" w:type="dxa"/>
              <w:bottom w:w="85" w:type="dxa"/>
              <w:end w:w="100" w:type="dxa"/>
            </w:tcMar>
            <w:vAlign w:val="center"/>
          </w:tcPr>
          <w:p>
            <w:pPr>
              <w:pStyle w:val="TableText"/>
              <w:jc w:val="left"/>
            </w:pPr>
            <w:r>
              <w:rPr>
                <w:sz w:val="17"/>
              </w:rPr>
              <w:t>Resolution invariant to 1e-12 relative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MSH3D07</w:t>
            </w:r>
          </w:p>
        </w:tc>
        <w:tc>
          <w:tcPr>
            <w:tcW w:type="dxa" w:w="2376"/>
            <w:shd w:fill="FFFFFF"/>
            <w:tcMar>
              <w:top w:w="85" w:type="dxa"/>
              <w:start w:w="100" w:type="dxa"/>
              <w:bottom w:w="85" w:type="dxa"/>
              <w:end w:w="100" w:type="dxa"/>
            </w:tcMar>
            <w:vAlign w:val="center"/>
          </w:tcPr>
          <w:p>
            <w:pPr>
              <w:pStyle w:val="TableText"/>
              <w:jc w:val="left"/>
            </w:pPr>
            <w:r>
              <w:rPr>
                <w:sz w:val="17"/>
              </w:rPr>
              <w:t>Octree budget</w:t>
            </w:r>
          </w:p>
        </w:tc>
        <w:tc>
          <w:tcPr>
            <w:tcW w:type="dxa" w:w="3600"/>
            <w:shd w:fill="FFFFFF"/>
            <w:tcMar>
              <w:top w:w="85" w:type="dxa"/>
              <w:start w:w="100" w:type="dxa"/>
              <w:bottom w:w="85" w:type="dxa"/>
              <w:end w:w="100" w:type="dxa"/>
            </w:tcMar>
            <w:vAlign w:val="center"/>
          </w:tcPr>
          <w:p>
            <w:pPr>
              <w:pStyle w:val="TableText"/>
              <w:jc w:val="left"/>
            </w:pPr>
            <w:r>
              <w:rPr>
                <w:sz w:val="17"/>
              </w:rPr>
              <w:t>Compare closed estimate with emulator across five configurations</w:t>
            </w:r>
          </w:p>
        </w:tc>
        <w:tc>
          <w:tcPr>
            <w:tcW w:type="dxa" w:w="2951"/>
            <w:shd w:fill="FFFFFF"/>
            <w:tcMar>
              <w:top w:w="85" w:type="dxa"/>
              <w:start w:w="100" w:type="dxa"/>
              <w:bottom w:w="85" w:type="dxa"/>
              <w:end w:w="100" w:type="dxa"/>
            </w:tcMar>
            <w:vAlign w:val="center"/>
          </w:tcPr>
          <w:p>
            <w:pPr>
              <w:pStyle w:val="TableText"/>
              <w:jc w:val="left"/>
            </w:pPr>
            <w:r>
              <w:rPr>
                <w:sz w:val="17"/>
              </w:rPr>
              <w:t>Declared tolerance met and memory report is reproducible</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MSH3D08</w:t>
            </w:r>
          </w:p>
        </w:tc>
        <w:tc>
          <w:tcPr>
            <w:tcW w:type="dxa" w:w="2376"/>
            <w:shd w:fill="EAF1F8"/>
            <w:tcMar>
              <w:top w:w="85" w:type="dxa"/>
              <w:start w:w="100" w:type="dxa"/>
              <w:bottom w:w="85" w:type="dxa"/>
              <w:end w:w="100" w:type="dxa"/>
            </w:tcMar>
            <w:vAlign w:val="center"/>
          </w:tcPr>
          <w:p>
            <w:pPr>
              <w:pStyle w:val="TableText"/>
              <w:jc w:val="left"/>
            </w:pPr>
            <w:r>
              <w:rPr>
                <w:sz w:val="17"/>
              </w:rPr>
              <w:t>Mars and Earth presets</w:t>
            </w:r>
          </w:p>
        </w:tc>
        <w:tc>
          <w:tcPr>
            <w:tcW w:type="dxa" w:w="3600"/>
            <w:shd w:fill="EAF1F8"/>
            <w:tcMar>
              <w:top w:w="85" w:type="dxa"/>
              <w:start w:w="100" w:type="dxa"/>
              <w:bottom w:w="85" w:type="dxa"/>
              <w:end w:w="100" w:type="dxa"/>
            </w:tcMar>
            <w:vAlign w:val="center"/>
          </w:tcPr>
          <w:p>
            <w:pPr>
              <w:pStyle w:val="TableText"/>
              <w:jc w:val="left"/>
            </w:pPr>
            <w:r>
              <w:rPr>
                <w:sz w:val="17"/>
              </w:rPr>
              <w:t>Generate both domains with no tube and one tube</w:t>
            </w:r>
          </w:p>
        </w:tc>
        <w:tc>
          <w:tcPr>
            <w:tcW w:type="dxa" w:w="2951"/>
            <w:shd w:fill="EAF1F8"/>
            <w:tcMar>
              <w:top w:w="85" w:type="dxa"/>
              <w:start w:w="100" w:type="dxa"/>
              <w:bottom w:w="85" w:type="dxa"/>
              <w:end w:w="100" w:type="dxa"/>
            </w:tcMar>
            <w:vAlign w:val="center"/>
          </w:tcPr>
          <w:p>
            <w:pPr>
              <w:pStyle w:val="TableText"/>
              <w:jc w:val="left"/>
            </w:pPr>
            <w:r>
              <w:rPr>
                <w:sz w:val="17"/>
              </w:rPr>
              <w:t>Preset bounds  inner boundary  and outer coverage are exact</w:t>
            </w:r>
          </w:p>
        </w:tc>
      </w:tr>
    </w:tbl>
    <w:p>
      <w:pPr>
        <w:pStyle w:val="Heading2"/>
      </w:pPr>
      <w:r>
        <w:t>3 Background and Snapshot Tests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296"/>
            <w:shd w:fill="17365D"/>
            <w:tcMar>
              <w:top w:w="100" w:type="dxa"/>
              <w:start w:w="110" w:type="dxa"/>
              <w:bottom w:w="100" w:type="dxa"/>
              <w:end w:w="110" w:type="dxa"/>
            </w:tcMar>
            <w:vAlign w:val="center"/>
          </w:tcPr>
          <w:p>
            <w:pPr>
              <w:pStyle w:val="TableText"/>
              <w:jc w:val="center"/>
            </w:pPr>
            <w:r>
              <w:rPr>
                <w:b/>
                <w:color w:val="FFFFFF"/>
                <w:sz w:val="17"/>
              </w:rPr>
              <w:t>ID</w:t>
            </w:r>
          </w:p>
        </w:tc>
        <w:tc>
          <w:tcPr>
            <w:tcW w:type="dxa" w:w="2376"/>
            <w:shd w:fill="17365D"/>
            <w:tcMar>
              <w:top w:w="100" w:type="dxa"/>
              <w:start w:w="110" w:type="dxa"/>
              <w:bottom w:w="100" w:type="dxa"/>
              <w:end w:w="110" w:type="dxa"/>
            </w:tcMar>
            <w:vAlign w:val="center"/>
          </w:tcPr>
          <w:p>
            <w:pPr>
              <w:pStyle w:val="TableText"/>
              <w:jc w:val="center"/>
            </w:pPr>
            <w:r>
              <w:rPr>
                <w:b/>
                <w:color w:val="FFFFFF"/>
                <w:sz w:val="17"/>
              </w:rPr>
              <w:t>Purpose</w:t>
            </w:r>
          </w:p>
        </w:tc>
        <w:tc>
          <w:tcPr>
            <w:tcW w:type="dxa" w:w="3600"/>
            <w:shd w:fill="17365D"/>
            <w:tcMar>
              <w:top w:w="100" w:type="dxa"/>
              <w:start w:w="110" w:type="dxa"/>
              <w:bottom w:w="100" w:type="dxa"/>
              <w:end w:w="110" w:type="dxa"/>
            </w:tcMar>
            <w:vAlign w:val="center"/>
          </w:tcPr>
          <w:p>
            <w:pPr>
              <w:pStyle w:val="TableText"/>
              <w:jc w:val="center"/>
            </w:pPr>
            <w:r>
              <w:rPr>
                <w:b/>
                <w:color w:val="FFFFFF"/>
                <w:sz w:val="17"/>
              </w:rPr>
              <w:t>Setup</w:t>
            </w:r>
          </w:p>
        </w:tc>
        <w:tc>
          <w:tcPr>
            <w:tcW w:type="dxa" w:w="2951"/>
            <w:shd w:fill="17365D"/>
            <w:tcMar>
              <w:top w:w="100" w:type="dxa"/>
              <w:start w:w="110" w:type="dxa"/>
              <w:bottom w:w="100" w:type="dxa"/>
              <w:end w:w="110" w:type="dxa"/>
            </w:tcMar>
            <w:vAlign w:val="center"/>
          </w:tcPr>
          <w:p>
            <w:pPr>
              <w:pStyle w:val="TableText"/>
              <w:jc w:val="center"/>
            </w:pPr>
            <w:r>
              <w:rPr>
                <w:b/>
                <w:color w:val="FFFFFF"/>
                <w:sz w:val="17"/>
              </w:rPr>
              <w:t>Acceptance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BGP3D01</w:t>
            </w:r>
          </w:p>
        </w:tc>
        <w:tc>
          <w:tcPr>
            <w:tcW w:type="dxa" w:w="2376"/>
            <w:shd w:fill="FFFFFF"/>
            <w:tcMar>
              <w:top w:w="85" w:type="dxa"/>
              <w:start w:w="100" w:type="dxa"/>
              <w:bottom w:w="85" w:type="dxa"/>
              <w:end w:w="100" w:type="dxa"/>
            </w:tcMar>
            <w:vAlign w:val="center"/>
          </w:tcPr>
          <w:p>
            <w:pPr>
              <w:pStyle w:val="TableText"/>
              <w:jc w:val="left"/>
            </w:pPr>
            <w:r>
              <w:rPr>
                <w:sz w:val="17"/>
              </w:rPr>
              <w:t>Divergence-free Parker field</w:t>
            </w:r>
          </w:p>
        </w:tc>
        <w:tc>
          <w:tcPr>
            <w:tcW w:type="dxa" w:w="3600"/>
            <w:shd w:fill="FFFFFF"/>
            <w:tcMar>
              <w:top w:w="85" w:type="dxa"/>
              <w:start w:w="100" w:type="dxa"/>
              <w:bottom w:w="85" w:type="dxa"/>
              <w:end w:w="100" w:type="dxa"/>
            </w:tcMar>
            <w:vAlign w:val="center"/>
          </w:tcPr>
          <w:p>
            <w:pPr>
              <w:pStyle w:val="TableText"/>
              <w:jc w:val="left"/>
            </w:pPr>
            <w:r>
              <w:rPr>
                <w:sz w:val="17"/>
              </w:rPr>
              <w:t>Fourth-order derivative at deterministic points over axes and polarities</w:t>
            </w:r>
          </w:p>
        </w:tc>
        <w:tc>
          <w:tcPr>
            <w:tcW w:type="dxa" w:w="2951"/>
            <w:shd w:fill="FFFFFF"/>
            <w:tcMar>
              <w:top w:w="85" w:type="dxa"/>
              <w:start w:w="100" w:type="dxa"/>
              <w:bottom w:w="85" w:type="dxa"/>
              <w:end w:w="100" w:type="dxa"/>
            </w:tcMar>
            <w:vAlign w:val="center"/>
          </w:tcPr>
          <w:p>
            <w:pPr>
              <w:pStyle w:val="TableText"/>
              <w:jc w:val="left"/>
            </w:pPr>
            <w:r>
              <w:rPr>
                <w:sz w:val="17"/>
              </w:rPr>
              <w:t>Median normalized divergence below 1e-8 and maximum below 1e-6</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BGP3D02</w:t>
            </w:r>
          </w:p>
        </w:tc>
        <w:tc>
          <w:tcPr>
            <w:tcW w:type="dxa" w:w="2376"/>
            <w:shd w:fill="EAF1F8"/>
            <w:tcMar>
              <w:top w:w="85" w:type="dxa"/>
              <w:start w:w="100" w:type="dxa"/>
              <w:bottom w:w="85" w:type="dxa"/>
              <w:end w:w="100" w:type="dxa"/>
            </w:tcMar>
            <w:vAlign w:val="center"/>
          </w:tcPr>
          <w:p>
            <w:pPr>
              <w:pStyle w:val="TableText"/>
              <w:jc w:val="left"/>
            </w:pPr>
            <w:r>
              <w:rPr>
                <w:sz w:val="17"/>
              </w:rPr>
              <w:t>Parker component laws</w:t>
            </w:r>
          </w:p>
        </w:tc>
        <w:tc>
          <w:tcPr>
            <w:tcW w:type="dxa" w:w="3600"/>
            <w:shd w:fill="EAF1F8"/>
            <w:tcMar>
              <w:top w:w="85" w:type="dxa"/>
              <w:start w:w="100" w:type="dxa"/>
              <w:bottom w:w="85" w:type="dxa"/>
              <w:end w:w="100" w:type="dxa"/>
            </w:tcMar>
            <w:vAlign w:val="center"/>
          </w:tcPr>
          <w:p>
            <w:pPr>
              <w:pStyle w:val="TableText"/>
              <w:jc w:val="left"/>
            </w:pPr>
            <w:r>
              <w:rPr>
                <w:sz w:val="17"/>
              </w:rPr>
              <w:t>Check radial scaling and azimuthal to radial component ratio</w:t>
            </w:r>
          </w:p>
        </w:tc>
        <w:tc>
          <w:tcPr>
            <w:tcW w:type="dxa" w:w="2951"/>
            <w:shd w:fill="EAF1F8"/>
            <w:tcMar>
              <w:top w:w="85" w:type="dxa"/>
              <w:start w:w="100" w:type="dxa"/>
              <w:bottom w:w="85" w:type="dxa"/>
              <w:end w:w="100" w:type="dxa"/>
            </w:tcMar>
            <w:vAlign w:val="center"/>
          </w:tcPr>
          <w:p>
            <w:pPr>
              <w:pStyle w:val="TableText"/>
              <w:jc w:val="left"/>
            </w:pPr>
            <w:r>
              <w:rPr>
                <w:sz w:val="17"/>
              </w:rPr>
              <w:t>Relative error below 1e-12</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BGP3D03</w:t>
            </w:r>
          </w:p>
        </w:tc>
        <w:tc>
          <w:tcPr>
            <w:tcW w:type="dxa" w:w="2376"/>
            <w:shd w:fill="FFFFFF"/>
            <w:tcMar>
              <w:top w:w="85" w:type="dxa"/>
              <w:start w:w="100" w:type="dxa"/>
              <w:bottom w:w="85" w:type="dxa"/>
              <w:end w:w="100" w:type="dxa"/>
            </w:tcMar>
            <w:vAlign w:val="center"/>
          </w:tcPr>
          <w:p>
            <w:pPr>
              <w:pStyle w:val="TableText"/>
              <w:jc w:val="left"/>
            </w:pPr>
            <w:r>
              <w:rPr>
                <w:sz w:val="17"/>
              </w:rPr>
              <w:t>Field-line tangency</w:t>
            </w:r>
          </w:p>
        </w:tc>
        <w:tc>
          <w:tcPr>
            <w:tcW w:type="dxa" w:w="3600"/>
            <w:shd w:fill="FFFFFF"/>
            <w:tcMar>
              <w:top w:w="85" w:type="dxa"/>
              <w:start w:w="100" w:type="dxa"/>
              <w:bottom w:w="85" w:type="dxa"/>
              <w:end w:w="100" w:type="dxa"/>
            </w:tcMar>
            <w:vAlign w:val="center"/>
          </w:tcPr>
          <w:p>
            <w:pPr>
              <w:pStyle w:val="TableText"/>
              <w:jc w:val="left"/>
            </w:pPr>
            <w:r>
              <w:rPr>
                <w:sz w:val="17"/>
              </w:rPr>
              <w:t>Trace analytic Parker field lines</w:t>
            </w:r>
          </w:p>
        </w:tc>
        <w:tc>
          <w:tcPr>
            <w:tcW w:type="dxa" w:w="2951"/>
            <w:shd w:fill="FFFFFF"/>
            <w:tcMar>
              <w:top w:w="85" w:type="dxa"/>
              <w:start w:w="100" w:type="dxa"/>
              <w:bottom w:w="85" w:type="dxa"/>
              <w:end w:w="100" w:type="dxa"/>
            </w:tcMar>
            <w:vAlign w:val="center"/>
          </w:tcPr>
          <w:p>
            <w:pPr>
              <w:pStyle w:val="TableText"/>
              <w:jc w:val="left"/>
            </w:pPr>
            <w:r>
              <w:rPr>
                <w:sz w:val="17"/>
              </w:rPr>
              <w:t>Angle with local field below 1e-8 rad</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BGP3D04</w:t>
            </w:r>
          </w:p>
        </w:tc>
        <w:tc>
          <w:tcPr>
            <w:tcW w:type="dxa" w:w="2376"/>
            <w:shd w:fill="EAF1F8"/>
            <w:tcMar>
              <w:top w:w="85" w:type="dxa"/>
              <w:start w:w="100" w:type="dxa"/>
              <w:bottom w:w="85" w:type="dxa"/>
              <w:end w:w="100" w:type="dxa"/>
            </w:tcMar>
            <w:vAlign w:val="center"/>
          </w:tcPr>
          <w:p>
            <w:pPr>
              <w:pStyle w:val="TableText"/>
              <w:jc w:val="left"/>
            </w:pPr>
            <w:r>
              <w:rPr>
                <w:sz w:val="17"/>
              </w:rPr>
              <w:t>Focusing length</w:t>
            </w:r>
          </w:p>
        </w:tc>
        <w:tc>
          <w:tcPr>
            <w:tcW w:type="dxa" w:w="3600"/>
            <w:shd w:fill="EAF1F8"/>
            <w:tcMar>
              <w:top w:w="85" w:type="dxa"/>
              <w:start w:w="100" w:type="dxa"/>
              <w:bottom w:w="85" w:type="dxa"/>
              <w:end w:w="100" w:type="dxa"/>
            </w:tcMar>
            <w:vAlign w:val="center"/>
          </w:tcPr>
          <w:p>
            <w:pPr>
              <w:pStyle w:val="TableText"/>
              <w:jc w:val="left"/>
            </w:pPr>
            <w:r>
              <w:rPr>
                <w:sz w:val="17"/>
              </w:rPr>
              <w:t>Compare analytic and converged numerical derivative</w:t>
            </w:r>
          </w:p>
        </w:tc>
        <w:tc>
          <w:tcPr>
            <w:tcW w:type="dxa" w:w="2951"/>
            <w:shd w:fill="EAF1F8"/>
            <w:tcMar>
              <w:top w:w="85" w:type="dxa"/>
              <w:start w:w="100" w:type="dxa"/>
              <w:bottom w:w="85" w:type="dxa"/>
              <w:end w:w="100" w:type="dxa"/>
            </w:tcMar>
            <w:vAlign w:val="center"/>
          </w:tcPr>
          <w:p>
            <w:pPr>
              <w:pStyle w:val="TableText"/>
              <w:jc w:val="left"/>
            </w:pPr>
            <w:r>
              <w:rPr>
                <w:sz w:val="17"/>
              </w:rPr>
              <w:t>Relative error below 1e-7</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BGP3D05</w:t>
            </w:r>
          </w:p>
        </w:tc>
        <w:tc>
          <w:tcPr>
            <w:tcW w:type="dxa" w:w="2376"/>
            <w:shd w:fill="FFFFFF"/>
            <w:tcMar>
              <w:top w:w="85" w:type="dxa"/>
              <w:start w:w="100" w:type="dxa"/>
              <w:bottom w:w="85" w:type="dxa"/>
              <w:end w:w="100" w:type="dxa"/>
            </w:tcMar>
            <w:vAlign w:val="center"/>
          </w:tcPr>
          <w:p>
            <w:pPr>
              <w:pStyle w:val="TableText"/>
              <w:jc w:val="left"/>
            </w:pPr>
            <w:r>
              <w:rPr>
                <w:sz w:val="17"/>
              </w:rPr>
              <w:t>Velocity derivatives</w:t>
            </w:r>
          </w:p>
        </w:tc>
        <w:tc>
          <w:tcPr>
            <w:tcW w:type="dxa" w:w="3600"/>
            <w:shd w:fill="FFFFFF"/>
            <w:tcMar>
              <w:top w:w="85" w:type="dxa"/>
              <w:start w:w="100" w:type="dxa"/>
              <w:bottom w:w="85" w:type="dxa"/>
              <w:end w:w="100" w:type="dxa"/>
            </w:tcMar>
            <w:vAlign w:val="center"/>
          </w:tcPr>
          <w:p>
            <w:pPr>
              <w:pStyle w:val="TableText"/>
              <w:jc w:val="left"/>
            </w:pPr>
            <w:r>
              <w:rPr>
                <w:sz w:val="17"/>
              </w:rPr>
              <w:t>Radial wind with analytic divergence and gradient</w:t>
            </w:r>
          </w:p>
        </w:tc>
        <w:tc>
          <w:tcPr>
            <w:tcW w:type="dxa" w:w="2951"/>
            <w:shd w:fill="FFFFFF"/>
            <w:tcMar>
              <w:top w:w="85" w:type="dxa"/>
              <w:start w:w="100" w:type="dxa"/>
              <w:bottom w:w="85" w:type="dxa"/>
              <w:end w:w="100" w:type="dxa"/>
            </w:tcMar>
            <w:vAlign w:val="center"/>
          </w:tcPr>
          <w:p>
            <w:pPr>
              <w:pStyle w:val="TableText"/>
              <w:jc w:val="left"/>
            </w:pPr>
            <w:r>
              <w:rPr>
                <w:sz w:val="17"/>
              </w:rPr>
              <w:t>Relative error below 1e-10</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BGP3D06</w:t>
            </w:r>
          </w:p>
        </w:tc>
        <w:tc>
          <w:tcPr>
            <w:tcW w:type="dxa" w:w="2376"/>
            <w:shd w:fill="EAF1F8"/>
            <w:tcMar>
              <w:top w:w="85" w:type="dxa"/>
              <w:start w:w="100" w:type="dxa"/>
              <w:bottom w:w="85" w:type="dxa"/>
              <w:end w:w="100" w:type="dxa"/>
            </w:tcMar>
            <w:vAlign w:val="center"/>
          </w:tcPr>
          <w:p>
            <w:pPr>
              <w:pStyle w:val="TableText"/>
              <w:jc w:val="left"/>
            </w:pPr>
            <w:r>
              <w:rPr>
                <w:sz w:val="17"/>
              </w:rPr>
              <w:t>Polar limits</w:t>
            </w:r>
          </w:p>
        </w:tc>
        <w:tc>
          <w:tcPr>
            <w:tcW w:type="dxa" w:w="3600"/>
            <w:shd w:fill="EAF1F8"/>
            <w:tcMar>
              <w:top w:w="85" w:type="dxa"/>
              <w:start w:w="100" w:type="dxa"/>
              <w:bottom w:w="85" w:type="dxa"/>
              <w:end w:w="100" w:type="dxa"/>
            </w:tcMar>
            <w:vAlign w:val="center"/>
          </w:tcPr>
          <w:p>
            <w:pPr>
              <w:pStyle w:val="TableText"/>
              <w:jc w:val="left"/>
            </w:pPr>
            <w:r>
              <w:rPr>
                <w:sz w:val="17"/>
              </w:rPr>
              <w:t>Approach rotation axis to 1e-12 rad</w:t>
            </w:r>
          </w:p>
        </w:tc>
        <w:tc>
          <w:tcPr>
            <w:tcW w:type="dxa" w:w="2951"/>
            <w:shd w:fill="EAF1F8"/>
            <w:tcMar>
              <w:top w:w="85" w:type="dxa"/>
              <w:start w:w="100" w:type="dxa"/>
              <w:bottom w:w="85" w:type="dxa"/>
              <w:end w:w="100" w:type="dxa"/>
            </w:tcMar>
            <w:vAlign w:val="center"/>
          </w:tcPr>
          <w:p>
            <w:pPr>
              <w:pStyle w:val="TableText"/>
              <w:jc w:val="left"/>
            </w:pPr>
            <w:r>
              <w:rPr>
                <w:sz w:val="17"/>
              </w:rPr>
              <w:t>Finite values and correct sin theta behavior</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SNAP3D01</w:t>
            </w:r>
          </w:p>
        </w:tc>
        <w:tc>
          <w:tcPr>
            <w:tcW w:type="dxa" w:w="2376"/>
            <w:shd w:fill="FFFFFF"/>
            <w:tcMar>
              <w:top w:w="85" w:type="dxa"/>
              <w:start w:w="100" w:type="dxa"/>
              <w:bottom w:w="85" w:type="dxa"/>
              <w:end w:w="100" w:type="dxa"/>
            </w:tcMar>
            <w:vAlign w:val="center"/>
          </w:tcPr>
          <w:p>
            <w:pPr>
              <w:pStyle w:val="TableText"/>
              <w:jc w:val="left"/>
            </w:pPr>
            <w:r>
              <w:rPr>
                <w:sz w:val="17"/>
              </w:rPr>
              <w:t>Completeness</w:t>
            </w:r>
          </w:p>
        </w:tc>
        <w:tc>
          <w:tcPr>
            <w:tcW w:type="dxa" w:w="3600"/>
            <w:shd w:fill="FFFFFF"/>
            <w:tcMar>
              <w:top w:w="85" w:type="dxa"/>
              <w:start w:w="100" w:type="dxa"/>
              <w:bottom w:w="85" w:type="dxa"/>
              <w:end w:w="100" w:type="dxa"/>
            </w:tcMar>
            <w:vAlign w:val="center"/>
          </w:tcPr>
          <w:p>
            <w:pPr>
              <w:pStyle w:val="TableText"/>
              <w:jc w:val="left"/>
            </w:pPr>
            <w:r>
              <w:rPr>
                <w:sz w:val="17"/>
              </w:rPr>
              <w:t>Omit each required field in turn</w:t>
            </w:r>
          </w:p>
        </w:tc>
        <w:tc>
          <w:tcPr>
            <w:tcW w:type="dxa" w:w="2951"/>
            <w:shd w:fill="FFFFFF"/>
            <w:tcMar>
              <w:top w:w="85" w:type="dxa"/>
              <w:start w:w="100" w:type="dxa"/>
              <w:bottom w:w="85" w:type="dxa"/>
              <w:end w:w="100" w:type="dxa"/>
            </w:tcMar>
            <w:vAlign w:val="center"/>
          </w:tcPr>
          <w:p>
            <w:pPr>
              <w:pStyle w:val="TableText"/>
              <w:jc w:val="left"/>
            </w:pPr>
            <w:r>
              <w:rPr>
                <w:sz w:val="17"/>
              </w:rPr>
              <w:t>Candidate rejected with missing field name  active snapshot unchanged</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SNAP3D02</w:t>
            </w:r>
          </w:p>
        </w:tc>
        <w:tc>
          <w:tcPr>
            <w:tcW w:type="dxa" w:w="2376"/>
            <w:shd w:fill="EAF1F8"/>
            <w:tcMar>
              <w:top w:w="85" w:type="dxa"/>
              <w:start w:w="100" w:type="dxa"/>
              <w:bottom w:w="85" w:type="dxa"/>
              <w:end w:w="100" w:type="dxa"/>
            </w:tcMar>
            <w:vAlign w:val="center"/>
          </w:tcPr>
          <w:p>
            <w:pPr>
              <w:pStyle w:val="TableText"/>
              <w:jc w:val="left"/>
            </w:pPr>
            <w:r>
              <w:rPr>
                <w:sz w:val="17"/>
              </w:rPr>
              <w:t>Finite value policy</w:t>
            </w:r>
          </w:p>
        </w:tc>
        <w:tc>
          <w:tcPr>
            <w:tcW w:type="dxa" w:w="3600"/>
            <w:shd w:fill="EAF1F8"/>
            <w:tcMar>
              <w:top w:w="85" w:type="dxa"/>
              <w:start w:w="100" w:type="dxa"/>
              <w:bottom w:w="85" w:type="dxa"/>
              <w:end w:w="100" w:type="dxa"/>
            </w:tcMar>
            <w:vAlign w:val="center"/>
          </w:tcPr>
          <w:p>
            <w:pPr>
              <w:pStyle w:val="TableText"/>
              <w:jc w:val="left"/>
            </w:pPr>
            <w:r>
              <w:rPr>
                <w:sz w:val="17"/>
              </w:rPr>
              <w:t>Inject NaN and infinity into every field</w:t>
            </w:r>
          </w:p>
        </w:tc>
        <w:tc>
          <w:tcPr>
            <w:tcW w:type="dxa" w:w="2951"/>
            <w:shd w:fill="EAF1F8"/>
            <w:tcMar>
              <w:top w:w="85" w:type="dxa"/>
              <w:start w:w="100" w:type="dxa"/>
              <w:bottom w:w="85" w:type="dxa"/>
              <w:end w:w="100" w:type="dxa"/>
            </w:tcMar>
            <w:vAlign w:val="center"/>
          </w:tcPr>
          <w:p>
            <w:pPr>
              <w:pStyle w:val="TableText"/>
              <w:jc w:val="left"/>
            </w:pPr>
            <w:r>
              <w:rPr>
                <w:sz w:val="17"/>
              </w:rPr>
              <w:t>No replacement value is invented</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SNAP3D03</w:t>
            </w:r>
          </w:p>
        </w:tc>
        <w:tc>
          <w:tcPr>
            <w:tcW w:type="dxa" w:w="2376"/>
            <w:shd w:fill="FFFFFF"/>
            <w:tcMar>
              <w:top w:w="85" w:type="dxa"/>
              <w:start w:w="100" w:type="dxa"/>
              <w:bottom w:w="85" w:type="dxa"/>
              <w:end w:w="100" w:type="dxa"/>
            </w:tcMar>
            <w:vAlign w:val="center"/>
          </w:tcPr>
          <w:p>
            <w:pPr>
              <w:pStyle w:val="TableText"/>
              <w:jc w:val="left"/>
            </w:pPr>
            <w:r>
              <w:rPr>
                <w:sz w:val="17"/>
              </w:rPr>
              <w:t>Unit conversion</w:t>
            </w:r>
          </w:p>
        </w:tc>
        <w:tc>
          <w:tcPr>
            <w:tcW w:type="dxa" w:w="3600"/>
            <w:shd w:fill="FFFFFF"/>
            <w:tcMar>
              <w:top w:w="85" w:type="dxa"/>
              <w:start w:w="100" w:type="dxa"/>
              <w:bottom w:w="85" w:type="dxa"/>
              <w:end w:w="100" w:type="dxa"/>
            </w:tcMar>
            <w:vAlign w:val="center"/>
          </w:tcPr>
          <w:p>
            <w:pPr>
              <w:pStyle w:val="TableText"/>
              <w:jc w:val="left"/>
            </w:pPr>
            <w:r>
              <w:rPr>
                <w:sz w:val="17"/>
              </w:rPr>
              <w:t>Use SI and documented coupling units for the same state</w:t>
            </w:r>
          </w:p>
        </w:tc>
        <w:tc>
          <w:tcPr>
            <w:tcW w:type="dxa" w:w="2951"/>
            <w:shd w:fill="FFFFFF"/>
            <w:tcMar>
              <w:top w:w="85" w:type="dxa"/>
              <w:start w:w="100" w:type="dxa"/>
              <w:bottom w:w="85" w:type="dxa"/>
              <w:end w:w="100" w:type="dxa"/>
            </w:tcMar>
            <w:vAlign w:val="center"/>
          </w:tcPr>
          <w:p>
            <w:pPr>
              <w:pStyle w:val="TableText"/>
              <w:jc w:val="left"/>
            </w:pPr>
            <w:r>
              <w:rPr>
                <w:sz w:val="17"/>
              </w:rPr>
              <w:t>Published SI snapshots are bitwise or round-off equivalent</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SNAP3D04</w:t>
            </w:r>
          </w:p>
        </w:tc>
        <w:tc>
          <w:tcPr>
            <w:tcW w:type="dxa" w:w="2376"/>
            <w:shd w:fill="EAF1F8"/>
            <w:tcMar>
              <w:top w:w="85" w:type="dxa"/>
              <w:start w:w="100" w:type="dxa"/>
              <w:bottom w:w="85" w:type="dxa"/>
              <w:end w:w="100" w:type="dxa"/>
            </w:tcMar>
            <w:vAlign w:val="center"/>
          </w:tcPr>
          <w:p>
            <w:pPr>
              <w:pStyle w:val="TableText"/>
              <w:jc w:val="left"/>
            </w:pPr>
            <w:r>
              <w:rPr>
                <w:sz w:val="17"/>
              </w:rPr>
              <w:t>Epoch consistency</w:t>
            </w:r>
          </w:p>
        </w:tc>
        <w:tc>
          <w:tcPr>
            <w:tcW w:type="dxa" w:w="3600"/>
            <w:shd w:fill="EAF1F8"/>
            <w:tcMar>
              <w:top w:w="85" w:type="dxa"/>
              <w:start w:w="100" w:type="dxa"/>
              <w:bottom w:w="85" w:type="dxa"/>
              <w:end w:w="100" w:type="dxa"/>
            </w:tcMar>
            <w:vAlign w:val="center"/>
          </w:tcPr>
          <w:p>
            <w:pPr>
              <w:pStyle w:val="TableText"/>
              <w:jc w:val="left"/>
            </w:pPr>
            <w:r>
              <w:rPr>
                <w:sz w:val="17"/>
              </w:rPr>
              <w:t>Mix fields from two source times</w:t>
            </w:r>
          </w:p>
        </w:tc>
        <w:tc>
          <w:tcPr>
            <w:tcW w:type="dxa" w:w="2951"/>
            <w:shd w:fill="EAF1F8"/>
            <w:tcMar>
              <w:top w:w="85" w:type="dxa"/>
              <w:start w:w="100" w:type="dxa"/>
              <w:bottom w:w="85" w:type="dxa"/>
              <w:end w:w="100" w:type="dxa"/>
            </w:tcMar>
            <w:vAlign w:val="center"/>
          </w:tcPr>
          <w:p>
            <w:pPr>
              <w:pStyle w:val="TableText"/>
              <w:jc w:val="left"/>
            </w:pPr>
            <w:r>
              <w:rPr>
                <w:sz w:val="17"/>
              </w:rPr>
              <w:t>Rejected before publication</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SNAP3D05</w:t>
            </w:r>
          </w:p>
        </w:tc>
        <w:tc>
          <w:tcPr>
            <w:tcW w:type="dxa" w:w="2376"/>
            <w:shd w:fill="FFFFFF"/>
            <w:tcMar>
              <w:top w:w="85" w:type="dxa"/>
              <w:start w:w="100" w:type="dxa"/>
              <w:bottom w:w="85" w:type="dxa"/>
              <w:end w:w="100" w:type="dxa"/>
            </w:tcMar>
            <w:vAlign w:val="center"/>
          </w:tcPr>
          <w:p>
            <w:pPr>
              <w:pStyle w:val="TableText"/>
              <w:jc w:val="left"/>
            </w:pPr>
            <w:r>
              <w:rPr>
                <w:sz w:val="17"/>
              </w:rPr>
              <w:t>Atomic publication</w:t>
            </w:r>
          </w:p>
        </w:tc>
        <w:tc>
          <w:tcPr>
            <w:tcW w:type="dxa" w:w="3600"/>
            <w:shd w:fill="FFFFFF"/>
            <w:tcMar>
              <w:top w:w="85" w:type="dxa"/>
              <w:start w:w="100" w:type="dxa"/>
              <w:bottom w:w="85" w:type="dxa"/>
              <w:end w:w="100" w:type="dxa"/>
            </w:tcMar>
            <w:vAlign w:val="center"/>
          </w:tcPr>
          <w:p>
            <w:pPr>
              <w:pStyle w:val="TableText"/>
              <w:jc w:val="left"/>
            </w:pPr>
            <w:r>
              <w:rPr>
                <w:sz w:val="17"/>
              </w:rPr>
              <w:t>Fail validation after populating most fields</w:t>
            </w:r>
          </w:p>
        </w:tc>
        <w:tc>
          <w:tcPr>
            <w:tcW w:type="dxa" w:w="2951"/>
            <w:shd w:fill="FFFFFF"/>
            <w:tcMar>
              <w:top w:w="85" w:type="dxa"/>
              <w:start w:w="100" w:type="dxa"/>
              <w:bottom w:w="85" w:type="dxa"/>
              <w:end w:w="100" w:type="dxa"/>
            </w:tcMar>
            <w:vAlign w:val="center"/>
          </w:tcPr>
          <w:p>
            <w:pPr>
              <w:pStyle w:val="TableText"/>
              <w:jc w:val="left"/>
            </w:pPr>
            <w:r>
              <w:rPr>
                <w:sz w:val="17"/>
              </w:rPr>
              <w:t>Previous snapshot identifier and values remain unchanged</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SNAP3D06</w:t>
            </w:r>
          </w:p>
        </w:tc>
        <w:tc>
          <w:tcPr>
            <w:tcW w:type="dxa" w:w="2376"/>
            <w:shd w:fill="EAF1F8"/>
            <w:tcMar>
              <w:top w:w="85" w:type="dxa"/>
              <w:start w:w="100" w:type="dxa"/>
              <w:bottom w:w="85" w:type="dxa"/>
              <w:end w:w="100" w:type="dxa"/>
            </w:tcMar>
            <w:vAlign w:val="center"/>
          </w:tcPr>
          <w:p>
            <w:pPr>
              <w:pStyle w:val="TableText"/>
              <w:jc w:val="left"/>
            </w:pPr>
            <w:r>
              <w:rPr>
                <w:sz w:val="17"/>
              </w:rPr>
              <w:t>Time interpolation</w:t>
            </w:r>
          </w:p>
        </w:tc>
        <w:tc>
          <w:tcPr>
            <w:tcW w:type="dxa" w:w="3600"/>
            <w:shd w:fill="EAF1F8"/>
            <w:tcMar>
              <w:top w:w="85" w:type="dxa"/>
              <w:start w:w="100" w:type="dxa"/>
              <w:bottom w:w="85" w:type="dxa"/>
              <w:end w:w="100" w:type="dxa"/>
            </w:tcMar>
            <w:vAlign w:val="center"/>
          </w:tcPr>
          <w:p>
            <w:pPr>
              <w:pStyle w:val="TableText"/>
              <w:jc w:val="left"/>
            </w:pPr>
            <w:r>
              <w:rPr>
                <w:sz w:val="17"/>
              </w:rPr>
              <w:t>Interpolate two analytic linear snapshots</w:t>
            </w:r>
          </w:p>
        </w:tc>
        <w:tc>
          <w:tcPr>
            <w:tcW w:type="dxa" w:w="2951"/>
            <w:shd w:fill="EAF1F8"/>
            <w:tcMar>
              <w:top w:w="85" w:type="dxa"/>
              <w:start w:w="100" w:type="dxa"/>
              <w:bottom w:w="85" w:type="dxa"/>
              <w:end w:w="100" w:type="dxa"/>
            </w:tcMar>
            <w:vAlign w:val="center"/>
          </w:tcPr>
          <w:p>
            <w:pPr>
              <w:pStyle w:val="TableText"/>
              <w:jc w:val="left"/>
            </w:pPr>
            <w:r>
              <w:rPr>
                <w:sz w:val="17"/>
              </w:rPr>
              <w:t>Exact values inside interval  extrapolation rejected</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SNAP3D07</w:t>
            </w:r>
          </w:p>
        </w:tc>
        <w:tc>
          <w:tcPr>
            <w:tcW w:type="dxa" w:w="2376"/>
            <w:shd w:fill="FFFFFF"/>
            <w:tcMar>
              <w:top w:w="85" w:type="dxa"/>
              <w:start w:w="100" w:type="dxa"/>
              <w:bottom w:w="85" w:type="dxa"/>
              <w:end w:w="100" w:type="dxa"/>
            </w:tcMar>
            <w:vAlign w:val="center"/>
          </w:tcPr>
          <w:p>
            <w:pPr>
              <w:pStyle w:val="TableText"/>
              <w:jc w:val="left"/>
            </w:pPr>
            <w:r>
              <w:rPr>
                <w:sz w:val="17"/>
              </w:rPr>
              <w:t>Batch status</w:t>
            </w:r>
          </w:p>
        </w:tc>
        <w:tc>
          <w:tcPr>
            <w:tcW w:type="dxa" w:w="3600"/>
            <w:shd w:fill="FFFFFF"/>
            <w:tcMar>
              <w:top w:w="85" w:type="dxa"/>
              <w:start w:w="100" w:type="dxa"/>
              <w:bottom w:w="85" w:type="dxa"/>
              <w:end w:w="100" w:type="dxa"/>
            </w:tcMar>
            <w:vAlign w:val="center"/>
          </w:tcPr>
          <w:p>
            <w:pPr>
              <w:pStyle w:val="TableText"/>
              <w:jc w:val="left"/>
            </w:pPr>
            <w:r>
              <w:rPr>
                <w:sz w:val="17"/>
              </w:rPr>
              <w:t>Mix valid and invalid sample locations</w:t>
            </w:r>
          </w:p>
        </w:tc>
        <w:tc>
          <w:tcPr>
            <w:tcW w:type="dxa" w:w="2951"/>
            <w:shd w:fill="FFFFFF"/>
            <w:tcMar>
              <w:top w:w="85" w:type="dxa"/>
              <w:start w:w="100" w:type="dxa"/>
              <w:bottom w:w="85" w:type="dxa"/>
              <w:end w:w="100" w:type="dxa"/>
            </w:tcMar>
            <w:vAlign w:val="center"/>
          </w:tcPr>
          <w:p>
            <w:pPr>
              <w:pStyle w:val="TableText"/>
              <w:jc w:val="left"/>
            </w:pPr>
            <w:r>
              <w:rPr>
                <w:sz w:val="17"/>
              </w:rPr>
              <w:t>Per-sample status preserved and output for failed samples remains unchanged</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SNAP3D08</w:t>
            </w:r>
          </w:p>
        </w:tc>
        <w:tc>
          <w:tcPr>
            <w:tcW w:type="dxa" w:w="2376"/>
            <w:shd w:fill="EAF1F8"/>
            <w:tcMar>
              <w:top w:w="85" w:type="dxa"/>
              <w:start w:w="100" w:type="dxa"/>
              <w:bottom w:w="85" w:type="dxa"/>
              <w:end w:w="100" w:type="dxa"/>
            </w:tcMar>
            <w:vAlign w:val="center"/>
          </w:tcPr>
          <w:p>
            <w:pPr>
              <w:pStyle w:val="TableText"/>
              <w:jc w:val="left"/>
            </w:pPr>
            <w:r>
              <w:rPr>
                <w:sz w:val="17"/>
              </w:rPr>
              <w:t>Coordinate frame</w:t>
            </w:r>
          </w:p>
        </w:tc>
        <w:tc>
          <w:tcPr>
            <w:tcW w:type="dxa" w:w="3600"/>
            <w:shd w:fill="EAF1F8"/>
            <w:tcMar>
              <w:top w:w="85" w:type="dxa"/>
              <w:start w:w="100" w:type="dxa"/>
              <w:bottom w:w="85" w:type="dxa"/>
              <w:end w:w="100" w:type="dxa"/>
            </w:tcMar>
            <w:vAlign w:val="center"/>
          </w:tcPr>
          <w:p>
            <w:pPr>
              <w:pStyle w:val="TableText"/>
              <w:jc w:val="left"/>
            </w:pPr>
            <w:r>
              <w:rPr>
                <w:sz w:val="17"/>
              </w:rPr>
              <w:t>Supply mismatched frame metadata</w:t>
            </w:r>
          </w:p>
        </w:tc>
        <w:tc>
          <w:tcPr>
            <w:tcW w:type="dxa" w:w="2951"/>
            <w:shd w:fill="EAF1F8"/>
            <w:tcMar>
              <w:top w:w="85" w:type="dxa"/>
              <w:start w:w="100" w:type="dxa"/>
              <w:bottom w:w="85" w:type="dxa"/>
              <w:end w:w="100" w:type="dxa"/>
            </w:tcMar>
            <w:vAlign w:val="center"/>
          </w:tcPr>
          <w:p>
            <w:pPr>
              <w:pStyle w:val="TableText"/>
              <w:jc w:val="left"/>
            </w:pPr>
            <w:r>
              <w:rPr>
                <w:sz w:val="17"/>
              </w:rPr>
              <w:t>Rejected unless an explicit tested transformation is selected</w:t>
            </w:r>
          </w:p>
        </w:tc>
      </w:tr>
    </w:tbl>
    <w:p>
      <w:pPr>
        <w:pStyle w:val="Heading2"/>
      </w:pPr>
      <w:r>
        <w:t>4 Turbulence Shock and Coefficients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296"/>
            <w:shd w:fill="17365D"/>
            <w:tcMar>
              <w:top w:w="100" w:type="dxa"/>
              <w:start w:w="110" w:type="dxa"/>
              <w:bottom w:w="100" w:type="dxa"/>
              <w:end w:w="110" w:type="dxa"/>
            </w:tcMar>
            <w:vAlign w:val="center"/>
          </w:tcPr>
          <w:p>
            <w:pPr>
              <w:pStyle w:val="TableText"/>
              <w:jc w:val="center"/>
            </w:pPr>
            <w:r>
              <w:rPr>
                <w:b/>
                <w:color w:val="FFFFFF"/>
                <w:sz w:val="17"/>
              </w:rPr>
              <w:t>ID</w:t>
            </w:r>
          </w:p>
        </w:tc>
        <w:tc>
          <w:tcPr>
            <w:tcW w:type="dxa" w:w="2376"/>
            <w:shd w:fill="17365D"/>
            <w:tcMar>
              <w:top w:w="100" w:type="dxa"/>
              <w:start w:w="110" w:type="dxa"/>
              <w:bottom w:w="100" w:type="dxa"/>
              <w:end w:w="110" w:type="dxa"/>
            </w:tcMar>
            <w:vAlign w:val="center"/>
          </w:tcPr>
          <w:p>
            <w:pPr>
              <w:pStyle w:val="TableText"/>
              <w:jc w:val="center"/>
            </w:pPr>
            <w:r>
              <w:rPr>
                <w:b/>
                <w:color w:val="FFFFFF"/>
                <w:sz w:val="17"/>
              </w:rPr>
              <w:t>Purpose</w:t>
            </w:r>
          </w:p>
        </w:tc>
        <w:tc>
          <w:tcPr>
            <w:tcW w:type="dxa" w:w="3600"/>
            <w:shd w:fill="17365D"/>
            <w:tcMar>
              <w:top w:w="100" w:type="dxa"/>
              <w:start w:w="110" w:type="dxa"/>
              <w:bottom w:w="100" w:type="dxa"/>
              <w:end w:w="110" w:type="dxa"/>
            </w:tcMar>
            <w:vAlign w:val="center"/>
          </w:tcPr>
          <w:p>
            <w:pPr>
              <w:pStyle w:val="TableText"/>
              <w:jc w:val="center"/>
            </w:pPr>
            <w:r>
              <w:rPr>
                <w:b/>
                <w:color w:val="FFFFFF"/>
                <w:sz w:val="17"/>
              </w:rPr>
              <w:t>Setup</w:t>
            </w:r>
          </w:p>
        </w:tc>
        <w:tc>
          <w:tcPr>
            <w:tcW w:type="dxa" w:w="2951"/>
            <w:shd w:fill="17365D"/>
            <w:tcMar>
              <w:top w:w="100" w:type="dxa"/>
              <w:start w:w="110" w:type="dxa"/>
              <w:bottom w:w="100" w:type="dxa"/>
              <w:end w:w="110" w:type="dxa"/>
            </w:tcMar>
            <w:vAlign w:val="center"/>
          </w:tcPr>
          <w:p>
            <w:pPr>
              <w:pStyle w:val="TableText"/>
              <w:jc w:val="center"/>
            </w:pPr>
            <w:r>
              <w:rPr>
                <w:b/>
                <w:color w:val="FFFFFF"/>
                <w:sz w:val="17"/>
              </w:rPr>
              <w:t>Acceptance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TUR3D01</w:t>
            </w:r>
          </w:p>
        </w:tc>
        <w:tc>
          <w:tcPr>
            <w:tcW w:type="dxa" w:w="2376"/>
            <w:shd w:fill="FFFFFF"/>
            <w:tcMar>
              <w:top w:w="85" w:type="dxa"/>
              <w:start w:w="100" w:type="dxa"/>
              <w:bottom w:w="85" w:type="dxa"/>
              <w:end w:w="100" w:type="dxa"/>
            </w:tcMar>
            <w:vAlign w:val="center"/>
          </w:tcPr>
          <w:p>
            <w:pPr>
              <w:pStyle w:val="TableText"/>
              <w:jc w:val="left"/>
            </w:pPr>
            <w:r>
              <w:rPr>
                <w:sz w:val="17"/>
              </w:rPr>
              <w:t>Prescribed spectrum normalization</w:t>
            </w:r>
          </w:p>
        </w:tc>
        <w:tc>
          <w:tcPr>
            <w:tcW w:type="dxa" w:w="3600"/>
            <w:shd w:fill="FFFFFF"/>
            <w:tcMar>
              <w:top w:w="85" w:type="dxa"/>
              <w:start w:w="100" w:type="dxa"/>
              <w:bottom w:w="85" w:type="dxa"/>
              <w:end w:w="100" w:type="dxa"/>
            </w:tcMar>
            <w:vAlign w:val="center"/>
          </w:tcPr>
          <w:p>
            <w:pPr>
              <w:pStyle w:val="TableText"/>
              <w:jc w:val="left"/>
            </w:pPr>
            <w:r>
              <w:rPr>
                <w:sz w:val="17"/>
              </w:rPr>
              <w:t>Integrate the spectrum over its declared wave-number range</w:t>
            </w:r>
          </w:p>
        </w:tc>
        <w:tc>
          <w:tcPr>
            <w:tcW w:type="dxa" w:w="2951"/>
            <w:shd w:fill="FFFFFF"/>
            <w:tcMar>
              <w:top w:w="85" w:type="dxa"/>
              <w:start w:w="100" w:type="dxa"/>
              <w:bottom w:w="85" w:type="dxa"/>
              <w:end w:w="100" w:type="dxa"/>
            </w:tcMar>
            <w:vAlign w:val="center"/>
          </w:tcPr>
          <w:p>
            <w:pPr>
              <w:pStyle w:val="TableText"/>
              <w:jc w:val="left"/>
            </w:pPr>
            <w:r>
              <w:rPr>
                <w:sz w:val="17"/>
              </w:rPr>
              <w:t>Energy equals configured wave energy within quadrature tolerance</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TUR3D02</w:t>
            </w:r>
          </w:p>
        </w:tc>
        <w:tc>
          <w:tcPr>
            <w:tcW w:type="dxa" w:w="2376"/>
            <w:shd w:fill="EAF1F8"/>
            <w:tcMar>
              <w:top w:w="85" w:type="dxa"/>
              <w:start w:w="100" w:type="dxa"/>
              <w:bottom w:w="85" w:type="dxa"/>
              <w:end w:w="100" w:type="dxa"/>
            </w:tcMar>
            <w:vAlign w:val="center"/>
          </w:tcPr>
          <w:p>
            <w:pPr>
              <w:pStyle w:val="TableText"/>
              <w:jc w:val="left"/>
            </w:pPr>
            <w:r>
              <w:rPr>
                <w:sz w:val="17"/>
              </w:rPr>
              <w:t>AWSoM wave mapping</w:t>
            </w:r>
          </w:p>
        </w:tc>
        <w:tc>
          <w:tcPr>
            <w:tcW w:type="dxa" w:w="3600"/>
            <w:shd w:fill="EAF1F8"/>
            <w:tcMar>
              <w:top w:w="85" w:type="dxa"/>
              <w:start w:w="100" w:type="dxa"/>
              <w:bottom w:w="85" w:type="dxa"/>
              <w:end w:w="100" w:type="dxa"/>
            </w:tcMar>
            <w:vAlign w:val="center"/>
          </w:tcPr>
          <w:p>
            <w:pPr>
              <w:pStyle w:val="TableText"/>
              <w:jc w:val="left"/>
            </w:pPr>
            <w:r>
              <w:rPr>
                <w:sz w:val="17"/>
              </w:rPr>
              <w:t>Map forward and backward wave test records under both magnetic polarities</w:t>
            </w:r>
          </w:p>
        </w:tc>
        <w:tc>
          <w:tcPr>
            <w:tcW w:type="dxa" w:w="2951"/>
            <w:shd w:fill="EAF1F8"/>
            <w:tcMar>
              <w:top w:w="85" w:type="dxa"/>
              <w:start w:w="100" w:type="dxa"/>
              <w:bottom w:w="85" w:type="dxa"/>
              <w:end w:w="100" w:type="dxa"/>
            </w:tcMar>
            <w:vAlign w:val="center"/>
          </w:tcPr>
          <w:p>
            <w:pPr>
              <w:pStyle w:val="TableText"/>
              <w:jc w:val="left"/>
            </w:pPr>
            <w:r>
              <w:rPr>
                <w:sz w:val="17"/>
              </w:rPr>
              <w:t>Direction  units  and energies match the coupling specification</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TUR3D03</w:t>
            </w:r>
          </w:p>
        </w:tc>
        <w:tc>
          <w:tcPr>
            <w:tcW w:type="dxa" w:w="2376"/>
            <w:shd w:fill="FFFFFF"/>
            <w:tcMar>
              <w:top w:w="85" w:type="dxa"/>
              <w:start w:w="100" w:type="dxa"/>
              <w:bottom w:w="85" w:type="dxa"/>
              <w:end w:w="100" w:type="dxa"/>
            </w:tcMar>
            <w:vAlign w:val="center"/>
          </w:tcPr>
          <w:p>
            <w:pPr>
              <w:pStyle w:val="TableText"/>
              <w:jc w:val="left"/>
            </w:pPr>
            <w:r>
              <w:rPr>
                <w:sz w:val="17"/>
              </w:rPr>
              <w:t>Resonance bounds</w:t>
            </w:r>
          </w:p>
        </w:tc>
        <w:tc>
          <w:tcPr>
            <w:tcW w:type="dxa" w:w="3600"/>
            <w:shd w:fill="FFFFFF"/>
            <w:tcMar>
              <w:top w:w="85" w:type="dxa"/>
              <w:start w:w="100" w:type="dxa"/>
              <w:bottom w:w="85" w:type="dxa"/>
              <w:end w:w="100" w:type="dxa"/>
            </w:tcMar>
            <w:vAlign w:val="center"/>
          </w:tcPr>
          <w:p>
            <w:pPr>
              <w:pStyle w:val="TableText"/>
              <w:jc w:val="left"/>
            </w:pPr>
            <w:r>
              <w:rPr>
                <w:sz w:val="17"/>
              </w:rPr>
              <w:t>Probe proton and electron resonances below inside and above the spectrum range</w:t>
            </w:r>
          </w:p>
        </w:tc>
        <w:tc>
          <w:tcPr>
            <w:tcW w:type="dxa" w:w="2951"/>
            <w:shd w:fill="FFFFFF"/>
            <w:tcMar>
              <w:top w:w="85" w:type="dxa"/>
              <w:start w:w="100" w:type="dxa"/>
              <w:bottom w:w="85" w:type="dxa"/>
              <w:end w:w="100" w:type="dxa"/>
            </w:tcMar>
            <w:vAlign w:val="center"/>
          </w:tcPr>
          <w:p>
            <w:pPr>
              <w:pStyle w:val="TableText"/>
              <w:jc w:val="left"/>
            </w:pPr>
            <w:r>
              <w:rPr>
                <w:sz w:val="17"/>
              </w:rPr>
              <w:t>Declared reject or extension policy is applied exactly</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TUR3D04</w:t>
            </w:r>
          </w:p>
        </w:tc>
        <w:tc>
          <w:tcPr>
            <w:tcW w:type="dxa" w:w="2376"/>
            <w:shd w:fill="EAF1F8"/>
            <w:tcMar>
              <w:top w:w="85" w:type="dxa"/>
              <w:start w:w="100" w:type="dxa"/>
              <w:bottom w:w="85" w:type="dxa"/>
              <w:end w:w="100" w:type="dxa"/>
            </w:tcMar>
            <w:vAlign w:val="center"/>
          </w:tcPr>
          <w:p>
            <w:pPr>
              <w:pStyle w:val="TableText"/>
              <w:jc w:val="left"/>
            </w:pPr>
            <w:r>
              <w:rPr>
                <w:sz w:val="17"/>
              </w:rPr>
              <w:t>Missing turbulence policy</w:t>
            </w:r>
          </w:p>
        </w:tc>
        <w:tc>
          <w:tcPr>
            <w:tcW w:type="dxa" w:w="3600"/>
            <w:shd w:fill="EAF1F8"/>
            <w:tcMar>
              <w:top w:w="85" w:type="dxa"/>
              <w:start w:w="100" w:type="dxa"/>
              <w:bottom w:w="85" w:type="dxa"/>
              <w:end w:w="100" w:type="dxa"/>
            </w:tcMar>
            <w:vAlign w:val="center"/>
          </w:tcPr>
          <w:p>
            <w:pPr>
              <w:pStyle w:val="TableText"/>
              <w:jc w:val="left"/>
            </w:pPr>
            <w:r>
              <w:rPr>
                <w:sz w:val="17"/>
              </w:rPr>
              <w:t>Clear one wave component and validity flag</w:t>
            </w:r>
          </w:p>
        </w:tc>
        <w:tc>
          <w:tcPr>
            <w:tcW w:type="dxa" w:w="2951"/>
            <w:shd w:fill="EAF1F8"/>
            <w:tcMar>
              <w:top w:w="85" w:type="dxa"/>
              <w:start w:w="100" w:type="dxa"/>
              <w:bottom w:w="85" w:type="dxa"/>
              <w:end w:w="100" w:type="dxa"/>
            </w:tcMar>
            <w:vAlign w:val="center"/>
          </w:tcPr>
          <w:p>
            <w:pPr>
              <w:pStyle w:val="TableText"/>
              <w:jc w:val="left"/>
            </w:pPr>
            <w:r>
              <w:rPr>
                <w:sz w:val="17"/>
              </w:rPr>
              <w:t>Scattering fails unless ballistic mode is explicit</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SHK3D01</w:t>
            </w:r>
          </w:p>
        </w:tc>
        <w:tc>
          <w:tcPr>
            <w:tcW w:type="dxa" w:w="2376"/>
            <w:shd w:fill="FFFFFF"/>
            <w:tcMar>
              <w:top w:w="85" w:type="dxa"/>
              <w:start w:w="100" w:type="dxa"/>
              <w:bottom w:w="85" w:type="dxa"/>
              <w:end w:w="100" w:type="dxa"/>
            </w:tcMar>
            <w:vAlign w:val="center"/>
          </w:tcPr>
          <w:p>
            <w:pPr>
              <w:pStyle w:val="TableText"/>
              <w:jc w:val="left"/>
            </w:pPr>
            <w:r>
              <w:rPr>
                <w:sz w:val="17"/>
              </w:rPr>
              <w:t>SWCME common interface</w:t>
            </w:r>
          </w:p>
        </w:tc>
        <w:tc>
          <w:tcPr>
            <w:tcW w:type="dxa" w:w="3600"/>
            <w:shd w:fill="FFFFFF"/>
            <w:tcMar>
              <w:top w:w="85" w:type="dxa"/>
              <w:start w:w="100" w:type="dxa"/>
              <w:bottom w:w="85" w:type="dxa"/>
              <w:end w:w="100" w:type="dxa"/>
            </w:tcMar>
            <w:vAlign w:val="center"/>
          </w:tcPr>
          <w:p>
            <w:pPr>
              <w:pStyle w:val="TableText"/>
              <w:jc w:val="left"/>
            </w:pPr>
            <w:r>
              <w:rPr>
                <w:sz w:val="17"/>
              </w:rPr>
              <w:t>Evaluate the same shock state through direct SWCME and srcSEP3D adapter</w:t>
            </w:r>
          </w:p>
        </w:tc>
        <w:tc>
          <w:tcPr>
            <w:tcW w:type="dxa" w:w="2951"/>
            <w:shd w:fill="FFFFFF"/>
            <w:tcMar>
              <w:top w:w="85" w:type="dxa"/>
              <w:start w:w="100" w:type="dxa"/>
              <w:bottom w:w="85" w:type="dxa"/>
              <w:end w:w="100" w:type="dxa"/>
            </w:tcMar>
            <w:vAlign w:val="center"/>
          </w:tcPr>
          <w:p>
            <w:pPr>
              <w:pStyle w:val="TableText"/>
              <w:jc w:val="left"/>
            </w:pPr>
            <w:r>
              <w:rPr>
                <w:sz w:val="17"/>
              </w:rPr>
              <w:t>All common fields agree exactly</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SHK3D02</w:t>
            </w:r>
          </w:p>
        </w:tc>
        <w:tc>
          <w:tcPr>
            <w:tcW w:type="dxa" w:w="2376"/>
            <w:shd w:fill="EAF1F8"/>
            <w:tcMar>
              <w:top w:w="85" w:type="dxa"/>
              <w:start w:w="100" w:type="dxa"/>
              <w:bottom w:w="85" w:type="dxa"/>
              <w:end w:w="100" w:type="dxa"/>
            </w:tcMar>
            <w:vAlign w:val="center"/>
          </w:tcPr>
          <w:p>
            <w:pPr>
              <w:pStyle w:val="TableText"/>
              <w:jc w:val="left"/>
            </w:pPr>
            <w:r>
              <w:rPr>
                <w:sz w:val="17"/>
              </w:rPr>
              <w:t>Shock normal and speed</w:t>
            </w:r>
          </w:p>
        </w:tc>
        <w:tc>
          <w:tcPr>
            <w:tcW w:type="dxa" w:w="3600"/>
            <w:shd w:fill="EAF1F8"/>
            <w:tcMar>
              <w:top w:w="85" w:type="dxa"/>
              <w:start w:w="100" w:type="dxa"/>
              <w:bottom w:w="85" w:type="dxa"/>
              <w:end w:w="100" w:type="dxa"/>
            </w:tcMar>
            <w:vAlign w:val="center"/>
          </w:tcPr>
          <w:p>
            <w:pPr>
              <w:pStyle w:val="TableText"/>
              <w:jc w:val="left"/>
            </w:pPr>
            <w:r>
              <w:rPr>
                <w:sz w:val="17"/>
              </w:rPr>
              <w:t>Analytic spherical shock at multiple times</w:t>
            </w:r>
          </w:p>
        </w:tc>
        <w:tc>
          <w:tcPr>
            <w:tcW w:type="dxa" w:w="2951"/>
            <w:shd w:fill="EAF1F8"/>
            <w:tcMar>
              <w:top w:w="85" w:type="dxa"/>
              <w:start w:w="100" w:type="dxa"/>
              <w:bottom w:w="85" w:type="dxa"/>
              <w:end w:w="100" w:type="dxa"/>
            </w:tcMar>
            <w:vAlign w:val="center"/>
          </w:tcPr>
          <w:p>
            <w:pPr>
              <w:pStyle w:val="TableText"/>
              <w:jc w:val="left"/>
            </w:pPr>
            <w:r>
              <w:rPr>
                <w:sz w:val="17"/>
              </w:rPr>
              <w:t>Normal unit length and crossing time within analytic tolerance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SHK3D03</w:t>
            </w:r>
          </w:p>
        </w:tc>
        <w:tc>
          <w:tcPr>
            <w:tcW w:type="dxa" w:w="2376"/>
            <w:shd w:fill="FFFFFF"/>
            <w:tcMar>
              <w:top w:w="85" w:type="dxa"/>
              <w:start w:w="100" w:type="dxa"/>
              <w:bottom w:w="85" w:type="dxa"/>
              <w:end w:w="100" w:type="dxa"/>
            </w:tcMar>
            <w:vAlign w:val="center"/>
          </w:tcPr>
          <w:p>
            <w:pPr>
              <w:pStyle w:val="TableText"/>
              <w:jc w:val="left"/>
            </w:pPr>
            <w:r>
              <w:rPr>
                <w:sz w:val="17"/>
              </w:rPr>
              <w:t>Prepared-state ownership</w:t>
            </w:r>
          </w:p>
        </w:tc>
        <w:tc>
          <w:tcPr>
            <w:tcW w:type="dxa" w:w="3600"/>
            <w:shd w:fill="FFFFFF"/>
            <w:tcMar>
              <w:top w:w="85" w:type="dxa"/>
              <w:start w:w="100" w:type="dxa"/>
              <w:bottom w:w="85" w:type="dxa"/>
              <w:end w:w="100" w:type="dxa"/>
            </w:tcMar>
            <w:vAlign w:val="center"/>
          </w:tcPr>
          <w:p>
            <w:pPr>
              <w:pStyle w:val="TableText"/>
              <w:jc w:val="left"/>
            </w:pPr>
            <w:r>
              <w:rPr>
                <w:sz w:val="17"/>
              </w:rPr>
              <w:t>Attempt stale  duplicate  and mismatched preparations</w:t>
            </w:r>
          </w:p>
        </w:tc>
        <w:tc>
          <w:tcPr>
            <w:tcW w:type="dxa" w:w="2951"/>
            <w:shd w:fill="FFFFFF"/>
            <w:tcMar>
              <w:top w:w="85" w:type="dxa"/>
              <w:start w:w="100" w:type="dxa"/>
              <w:bottom w:w="85" w:type="dxa"/>
              <w:end w:w="100" w:type="dxa"/>
            </w:tcMar>
            <w:vAlign w:val="center"/>
          </w:tcPr>
          <w:p>
            <w:pPr>
              <w:pStyle w:val="TableText"/>
              <w:jc w:val="left"/>
            </w:pPr>
            <w:r>
              <w:rPr>
                <w:sz w:val="17"/>
              </w:rPr>
              <w:t>Typed rejection and unchanged active shock state</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SHK3D04</w:t>
            </w:r>
          </w:p>
        </w:tc>
        <w:tc>
          <w:tcPr>
            <w:tcW w:type="dxa" w:w="2376"/>
            <w:shd w:fill="EAF1F8"/>
            <w:tcMar>
              <w:top w:w="85" w:type="dxa"/>
              <w:start w:w="100" w:type="dxa"/>
              <w:bottom w:w="85" w:type="dxa"/>
              <w:end w:w="100" w:type="dxa"/>
            </w:tcMar>
            <w:vAlign w:val="center"/>
          </w:tcPr>
          <w:p>
            <w:pPr>
              <w:pStyle w:val="TableText"/>
              <w:jc w:val="left"/>
            </w:pPr>
            <w:r>
              <w:rPr>
                <w:sz w:val="17"/>
              </w:rPr>
              <w:t>Source normalization</w:t>
            </w:r>
          </w:p>
        </w:tc>
        <w:tc>
          <w:tcPr>
            <w:tcW w:type="dxa" w:w="3600"/>
            <w:shd w:fill="EAF1F8"/>
            <w:tcMar>
              <w:top w:w="85" w:type="dxa"/>
              <w:start w:w="100" w:type="dxa"/>
              <w:bottom w:w="85" w:type="dxa"/>
              <w:end w:w="100" w:type="dxa"/>
            </w:tcMar>
            <w:vAlign w:val="center"/>
          </w:tcPr>
          <w:p>
            <w:pPr>
              <w:pStyle w:val="TableText"/>
              <w:jc w:val="left"/>
            </w:pPr>
            <w:r>
              <w:rPr>
                <w:sz w:val="17"/>
              </w:rPr>
              <w:t>Integrate injected macroparticle weights over the shock surface</w:t>
            </w:r>
          </w:p>
        </w:tc>
        <w:tc>
          <w:tcPr>
            <w:tcW w:type="dxa" w:w="2951"/>
            <w:shd w:fill="EAF1F8"/>
            <w:tcMar>
              <w:top w:w="85" w:type="dxa"/>
              <w:start w:w="100" w:type="dxa"/>
              <w:bottom w:w="85" w:type="dxa"/>
              <w:end w:w="100" w:type="dxa"/>
            </w:tcMar>
            <w:vAlign w:val="center"/>
          </w:tcPr>
          <w:p>
            <w:pPr>
              <w:pStyle w:val="TableText"/>
              <w:jc w:val="left"/>
            </w:pPr>
            <w:r>
              <w:rPr>
                <w:sz w:val="17"/>
              </w:rPr>
              <w:t>Physical source rate closes within statistical tolerance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COEF3D01</w:t>
            </w:r>
          </w:p>
        </w:tc>
        <w:tc>
          <w:tcPr>
            <w:tcW w:type="dxa" w:w="2376"/>
            <w:shd w:fill="FFFFFF"/>
            <w:tcMar>
              <w:top w:w="85" w:type="dxa"/>
              <w:start w:w="100" w:type="dxa"/>
              <w:bottom w:w="85" w:type="dxa"/>
              <w:end w:w="100" w:type="dxa"/>
            </w:tcMar>
            <w:vAlign w:val="center"/>
          </w:tcPr>
          <w:p>
            <w:pPr>
              <w:pStyle w:val="TableText"/>
              <w:jc w:val="left"/>
            </w:pPr>
            <w:r>
              <w:rPr>
                <w:sz w:val="17"/>
              </w:rPr>
              <w:t>Coefficient conversions</w:t>
            </w:r>
          </w:p>
        </w:tc>
        <w:tc>
          <w:tcPr>
            <w:tcW w:type="dxa" w:w="3600"/>
            <w:shd w:fill="FFFFFF"/>
            <w:tcMar>
              <w:top w:w="85" w:type="dxa"/>
              <w:start w:w="100" w:type="dxa"/>
              <w:bottom w:w="85" w:type="dxa"/>
              <w:end w:w="100" w:type="dxa"/>
            </w:tcMar>
            <w:vAlign w:val="center"/>
          </w:tcPr>
          <w:p>
            <w:pPr>
              <w:pStyle w:val="TableText"/>
              <w:jc w:val="left"/>
            </w:pPr>
            <w:r>
              <w:rPr>
                <w:sz w:val="17"/>
              </w:rPr>
              <w:t>Round trip Dμμ  mean free path  and parallel diffusion over six decades</w:t>
            </w:r>
          </w:p>
        </w:tc>
        <w:tc>
          <w:tcPr>
            <w:tcW w:type="dxa" w:w="2951"/>
            <w:shd w:fill="FFFFFF"/>
            <w:tcMar>
              <w:top w:w="85" w:type="dxa"/>
              <w:start w:w="100" w:type="dxa"/>
              <w:bottom w:w="85" w:type="dxa"/>
              <w:end w:w="100" w:type="dxa"/>
            </w:tcMar>
            <w:vAlign w:val="center"/>
          </w:tcPr>
          <w:p>
            <w:pPr>
              <w:pStyle w:val="TableText"/>
              <w:jc w:val="left"/>
            </w:pPr>
            <w:r>
              <w:rPr>
                <w:sz w:val="17"/>
              </w:rPr>
              <w:t>Relative error below 1e-12</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COEF3D02</w:t>
            </w:r>
          </w:p>
        </w:tc>
        <w:tc>
          <w:tcPr>
            <w:tcW w:type="dxa" w:w="2376"/>
            <w:shd w:fill="EAF1F8"/>
            <w:tcMar>
              <w:top w:w="85" w:type="dxa"/>
              <w:start w:w="100" w:type="dxa"/>
              <w:bottom w:w="85" w:type="dxa"/>
              <w:end w:w="100" w:type="dxa"/>
            </w:tcMar>
            <w:vAlign w:val="center"/>
          </w:tcPr>
          <w:p>
            <w:pPr>
              <w:pStyle w:val="TableText"/>
              <w:jc w:val="left"/>
            </w:pPr>
            <w:r>
              <w:rPr>
                <w:sz w:val="17"/>
              </w:rPr>
              <w:t>Shared srcSEP kernels</w:t>
            </w:r>
          </w:p>
        </w:tc>
        <w:tc>
          <w:tcPr>
            <w:tcW w:type="dxa" w:w="3600"/>
            <w:shd w:fill="EAF1F8"/>
            <w:tcMar>
              <w:top w:w="85" w:type="dxa"/>
              <w:start w:w="100" w:type="dxa"/>
              <w:bottom w:w="85" w:type="dxa"/>
              <w:end w:w="100" w:type="dxa"/>
            </w:tcMar>
            <w:vAlign w:val="center"/>
          </w:tcPr>
          <w:p>
            <w:pPr>
              <w:pStyle w:val="TableText"/>
              <w:jc w:val="left"/>
            </w:pPr>
            <w:r>
              <w:rPr>
                <w:sz w:val="17"/>
              </w:rPr>
              <w:t>Call the same kernel through both application adapters</w:t>
            </w:r>
          </w:p>
        </w:tc>
        <w:tc>
          <w:tcPr>
            <w:tcW w:type="dxa" w:w="2951"/>
            <w:shd w:fill="EAF1F8"/>
            <w:tcMar>
              <w:top w:w="85" w:type="dxa"/>
              <w:start w:w="100" w:type="dxa"/>
              <w:bottom w:w="85" w:type="dxa"/>
              <w:end w:w="100" w:type="dxa"/>
            </w:tcMar>
            <w:vAlign w:val="center"/>
          </w:tcPr>
          <w:p>
            <w:pPr>
              <w:pStyle w:val="TableText"/>
              <w:jc w:val="left"/>
            </w:pPr>
            <w:r>
              <w:rPr>
                <w:sz w:val="17"/>
              </w:rPr>
              <w:t>Bitwise result at matched local state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COEF3D03</w:t>
            </w:r>
          </w:p>
        </w:tc>
        <w:tc>
          <w:tcPr>
            <w:tcW w:type="dxa" w:w="2376"/>
            <w:shd w:fill="FFFFFF"/>
            <w:tcMar>
              <w:top w:w="85" w:type="dxa"/>
              <w:start w:w="100" w:type="dxa"/>
              <w:bottom w:w="85" w:type="dxa"/>
              <w:end w:w="100" w:type="dxa"/>
            </w:tcMar>
            <w:vAlign w:val="center"/>
          </w:tcPr>
          <w:p>
            <w:pPr>
              <w:pStyle w:val="TableText"/>
              <w:jc w:val="left"/>
            </w:pPr>
            <w:r>
              <w:rPr>
                <w:sz w:val="17"/>
              </w:rPr>
              <w:t>Tensor assembly</w:t>
            </w:r>
          </w:p>
        </w:tc>
        <w:tc>
          <w:tcPr>
            <w:tcW w:type="dxa" w:w="3600"/>
            <w:shd w:fill="FFFFFF"/>
            <w:tcMar>
              <w:top w:w="85" w:type="dxa"/>
              <w:start w:w="100" w:type="dxa"/>
              <w:bottom w:w="85" w:type="dxa"/>
              <w:end w:w="100" w:type="dxa"/>
            </w:tcMar>
            <w:vAlign w:val="center"/>
          </w:tcPr>
          <w:p>
            <w:pPr>
              <w:pStyle w:val="TableText"/>
              <w:jc w:val="left"/>
            </w:pPr>
            <w:r>
              <w:rPr>
                <w:sz w:val="17"/>
              </w:rPr>
              <w:t>Random field directions with zero perpendicular diffusion</w:t>
            </w:r>
          </w:p>
        </w:tc>
        <w:tc>
          <w:tcPr>
            <w:tcW w:type="dxa" w:w="2951"/>
            <w:shd w:fill="FFFFFF"/>
            <w:tcMar>
              <w:top w:w="85" w:type="dxa"/>
              <w:start w:w="100" w:type="dxa"/>
              <w:bottom w:w="85" w:type="dxa"/>
              <w:end w:w="100" w:type="dxa"/>
            </w:tcMar>
            <w:vAlign w:val="center"/>
          </w:tcPr>
          <w:p>
            <w:pPr>
              <w:pStyle w:val="TableText"/>
              <w:jc w:val="left"/>
            </w:pPr>
            <w:r>
              <w:rPr>
                <w:sz w:val="17"/>
              </w:rPr>
              <w:t>Only the parallel projection remains within 1e-14 relative</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COEF3D04</w:t>
            </w:r>
          </w:p>
        </w:tc>
        <w:tc>
          <w:tcPr>
            <w:tcW w:type="dxa" w:w="2376"/>
            <w:shd w:fill="EAF1F8"/>
            <w:tcMar>
              <w:top w:w="85" w:type="dxa"/>
              <w:start w:w="100" w:type="dxa"/>
              <w:bottom w:w="85" w:type="dxa"/>
              <w:end w:w="100" w:type="dxa"/>
            </w:tcMar>
            <w:vAlign w:val="center"/>
          </w:tcPr>
          <w:p>
            <w:pPr>
              <w:pStyle w:val="TableText"/>
              <w:jc w:val="left"/>
            </w:pPr>
            <w:r>
              <w:rPr>
                <w:sz w:val="17"/>
              </w:rPr>
              <w:t>Ito drift</w:t>
            </w:r>
          </w:p>
        </w:tc>
        <w:tc>
          <w:tcPr>
            <w:tcW w:type="dxa" w:w="3600"/>
            <w:shd w:fill="EAF1F8"/>
            <w:tcMar>
              <w:top w:w="85" w:type="dxa"/>
              <w:start w:w="100" w:type="dxa"/>
              <w:bottom w:w="85" w:type="dxa"/>
              <w:end w:w="100" w:type="dxa"/>
            </w:tcMar>
            <w:vAlign w:val="center"/>
          </w:tcPr>
          <w:p>
            <w:pPr>
              <w:pStyle w:val="TableText"/>
              <w:jc w:val="left"/>
            </w:pPr>
            <w:r>
              <w:rPr>
                <w:sz w:val="17"/>
              </w:rPr>
              <w:t>Compare analytic and numerical divergence of the diffusion tensor</w:t>
            </w:r>
          </w:p>
        </w:tc>
        <w:tc>
          <w:tcPr>
            <w:tcW w:type="dxa" w:w="2951"/>
            <w:shd w:fill="EAF1F8"/>
            <w:tcMar>
              <w:top w:w="85" w:type="dxa"/>
              <w:start w:w="100" w:type="dxa"/>
              <w:bottom w:w="85" w:type="dxa"/>
              <w:end w:w="100" w:type="dxa"/>
            </w:tcMar>
            <w:vAlign w:val="center"/>
          </w:tcPr>
          <w:p>
            <w:pPr>
              <w:pStyle w:val="TableText"/>
              <w:jc w:val="left"/>
            </w:pPr>
            <w:r>
              <w:rPr>
                <w:sz w:val="17"/>
              </w:rPr>
              <w:t>Observed order at least 1.9</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COEF3D05</w:t>
            </w:r>
          </w:p>
        </w:tc>
        <w:tc>
          <w:tcPr>
            <w:tcW w:type="dxa" w:w="2376"/>
            <w:shd w:fill="FFFFFF"/>
            <w:tcMar>
              <w:top w:w="85" w:type="dxa"/>
              <w:start w:w="100" w:type="dxa"/>
              <w:bottom w:w="85" w:type="dxa"/>
              <w:end w:w="100" w:type="dxa"/>
            </w:tcMar>
            <w:vAlign w:val="center"/>
          </w:tcPr>
          <w:p>
            <w:pPr>
              <w:pStyle w:val="TableText"/>
              <w:jc w:val="left"/>
            </w:pPr>
            <w:r>
              <w:rPr>
                <w:sz w:val="17"/>
              </w:rPr>
              <w:t>Invalid coefficient status</w:t>
            </w:r>
          </w:p>
        </w:tc>
        <w:tc>
          <w:tcPr>
            <w:tcW w:type="dxa" w:w="3600"/>
            <w:shd w:fill="FFFFFF"/>
            <w:tcMar>
              <w:top w:w="85" w:type="dxa"/>
              <w:start w:w="100" w:type="dxa"/>
              <w:bottom w:w="85" w:type="dxa"/>
              <w:end w:w="100" w:type="dxa"/>
            </w:tcMar>
            <w:vAlign w:val="center"/>
          </w:tcPr>
          <w:p>
            <w:pPr>
              <w:pStyle w:val="TableText"/>
              <w:jc w:val="left"/>
            </w:pPr>
            <w:r>
              <w:rPr>
                <w:sz w:val="17"/>
              </w:rPr>
              <w:t>Trigger missing  negative  and nonfinite coefficients</w:t>
            </w:r>
          </w:p>
        </w:tc>
        <w:tc>
          <w:tcPr>
            <w:tcW w:type="dxa" w:w="2951"/>
            <w:shd w:fill="FFFFFF"/>
            <w:tcMar>
              <w:top w:w="85" w:type="dxa"/>
              <w:start w:w="100" w:type="dxa"/>
              <w:bottom w:w="85" w:type="dxa"/>
              <w:end w:w="100" w:type="dxa"/>
            </w:tcMar>
            <w:vAlign w:val="center"/>
          </w:tcPr>
          <w:p>
            <w:pPr>
              <w:pStyle w:val="TableText"/>
              <w:jc w:val="left"/>
            </w:pPr>
            <w:r>
              <w:rPr>
                <w:sz w:val="17"/>
              </w:rPr>
              <w:t>No finite clamp  typed status propagated</w:t>
            </w:r>
          </w:p>
        </w:tc>
      </w:tr>
    </w:tbl>
    <w:p>
      <w:pPr>
        <w:pStyle w:val="Heading2"/>
      </w:pPr>
      <w:r>
        <w:t>5 Parker and Focused Transport Cores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296"/>
            <w:shd w:fill="17365D"/>
            <w:tcMar>
              <w:top w:w="100" w:type="dxa"/>
              <w:start w:w="110" w:type="dxa"/>
              <w:bottom w:w="100" w:type="dxa"/>
              <w:end w:w="110" w:type="dxa"/>
            </w:tcMar>
            <w:vAlign w:val="center"/>
          </w:tcPr>
          <w:p>
            <w:pPr>
              <w:pStyle w:val="TableText"/>
              <w:jc w:val="center"/>
            </w:pPr>
            <w:r>
              <w:rPr>
                <w:b/>
                <w:color w:val="FFFFFF"/>
                <w:sz w:val="17"/>
              </w:rPr>
              <w:t>ID</w:t>
            </w:r>
          </w:p>
        </w:tc>
        <w:tc>
          <w:tcPr>
            <w:tcW w:type="dxa" w:w="2376"/>
            <w:shd w:fill="17365D"/>
            <w:tcMar>
              <w:top w:w="100" w:type="dxa"/>
              <w:start w:w="110" w:type="dxa"/>
              <w:bottom w:w="100" w:type="dxa"/>
              <w:end w:w="110" w:type="dxa"/>
            </w:tcMar>
            <w:vAlign w:val="center"/>
          </w:tcPr>
          <w:p>
            <w:pPr>
              <w:pStyle w:val="TableText"/>
              <w:jc w:val="center"/>
            </w:pPr>
            <w:r>
              <w:rPr>
                <w:b/>
                <w:color w:val="FFFFFF"/>
                <w:sz w:val="17"/>
              </w:rPr>
              <w:t>Purpose</w:t>
            </w:r>
          </w:p>
        </w:tc>
        <w:tc>
          <w:tcPr>
            <w:tcW w:type="dxa" w:w="3600"/>
            <w:shd w:fill="17365D"/>
            <w:tcMar>
              <w:top w:w="100" w:type="dxa"/>
              <w:start w:w="110" w:type="dxa"/>
              <w:bottom w:w="100" w:type="dxa"/>
              <w:end w:w="110" w:type="dxa"/>
            </w:tcMar>
            <w:vAlign w:val="center"/>
          </w:tcPr>
          <w:p>
            <w:pPr>
              <w:pStyle w:val="TableText"/>
              <w:jc w:val="center"/>
            </w:pPr>
            <w:r>
              <w:rPr>
                <w:b/>
                <w:color w:val="FFFFFF"/>
                <w:sz w:val="17"/>
              </w:rPr>
              <w:t>Setup</w:t>
            </w:r>
          </w:p>
        </w:tc>
        <w:tc>
          <w:tcPr>
            <w:tcW w:type="dxa" w:w="2951"/>
            <w:shd w:fill="17365D"/>
            <w:tcMar>
              <w:top w:w="100" w:type="dxa"/>
              <w:start w:w="110" w:type="dxa"/>
              <w:bottom w:w="100" w:type="dxa"/>
              <w:end w:w="110" w:type="dxa"/>
            </w:tcMar>
            <w:vAlign w:val="center"/>
          </w:tcPr>
          <w:p>
            <w:pPr>
              <w:pStyle w:val="TableText"/>
              <w:jc w:val="center"/>
            </w:pPr>
            <w:r>
              <w:rPr>
                <w:b/>
                <w:color w:val="FFFFFF"/>
                <w:sz w:val="17"/>
              </w:rPr>
              <w:t>Acceptance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PRK3D01</w:t>
            </w:r>
          </w:p>
        </w:tc>
        <w:tc>
          <w:tcPr>
            <w:tcW w:type="dxa" w:w="2376"/>
            <w:shd w:fill="FFFFFF"/>
            <w:tcMar>
              <w:top w:w="85" w:type="dxa"/>
              <w:start w:w="100" w:type="dxa"/>
              <w:bottom w:w="85" w:type="dxa"/>
              <w:end w:w="100" w:type="dxa"/>
            </w:tcMar>
            <w:vAlign w:val="center"/>
          </w:tcPr>
          <w:p>
            <w:pPr>
              <w:pStyle w:val="TableText"/>
              <w:jc w:val="left"/>
            </w:pPr>
            <w:r>
              <w:rPr>
                <w:sz w:val="17"/>
              </w:rPr>
              <w:t>Parallel diffusion moments</w:t>
            </w:r>
          </w:p>
        </w:tc>
        <w:tc>
          <w:tcPr>
            <w:tcW w:type="dxa" w:w="3600"/>
            <w:shd w:fill="FFFFFF"/>
            <w:tcMar>
              <w:top w:w="85" w:type="dxa"/>
              <w:start w:w="100" w:type="dxa"/>
              <w:bottom w:w="85" w:type="dxa"/>
              <w:end w:w="100" w:type="dxa"/>
            </w:tcMar>
            <w:vAlign w:val="center"/>
          </w:tcPr>
          <w:p>
            <w:pPr>
              <w:pStyle w:val="TableText"/>
              <w:jc w:val="left"/>
            </w:pPr>
            <w:r>
              <w:rPr>
                <w:sz w:val="17"/>
              </w:rPr>
              <w:t>Uniform field  zero flow  constant parallel diffusion</w:t>
            </w:r>
          </w:p>
        </w:tc>
        <w:tc>
          <w:tcPr>
            <w:tcW w:type="dxa" w:w="2951"/>
            <w:shd w:fill="FFFFFF"/>
            <w:tcMar>
              <w:top w:w="85" w:type="dxa"/>
              <w:start w:w="100" w:type="dxa"/>
              <w:bottom w:w="85" w:type="dxa"/>
              <w:end w:w="100" w:type="dxa"/>
            </w:tcMar>
            <w:vAlign w:val="center"/>
          </w:tcPr>
          <w:p>
            <w:pPr>
              <w:pStyle w:val="TableText"/>
              <w:jc w:val="left"/>
            </w:pPr>
            <w:r>
              <w:rPr>
                <w:sz w:val="17"/>
              </w:rPr>
              <w:t>Parallel variance equals two kappa times time within three sigma and transverse variance is zero</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PRK3D02</w:t>
            </w:r>
          </w:p>
        </w:tc>
        <w:tc>
          <w:tcPr>
            <w:tcW w:type="dxa" w:w="2376"/>
            <w:shd w:fill="EAF1F8"/>
            <w:tcMar>
              <w:top w:w="85" w:type="dxa"/>
              <w:start w:w="100" w:type="dxa"/>
              <w:bottom w:w="85" w:type="dxa"/>
              <w:end w:w="100" w:type="dxa"/>
            </w:tcMar>
            <w:vAlign w:val="center"/>
          </w:tcPr>
          <w:p>
            <w:pPr>
              <w:pStyle w:val="TableText"/>
              <w:jc w:val="left"/>
            </w:pPr>
            <w:r>
              <w:rPr>
                <w:sz w:val="17"/>
              </w:rPr>
              <w:t>Advection</w:t>
            </w:r>
          </w:p>
        </w:tc>
        <w:tc>
          <w:tcPr>
            <w:tcW w:type="dxa" w:w="3600"/>
            <w:shd w:fill="EAF1F8"/>
            <w:tcMar>
              <w:top w:w="85" w:type="dxa"/>
              <w:start w:w="100" w:type="dxa"/>
              <w:bottom w:w="85" w:type="dxa"/>
              <w:end w:w="100" w:type="dxa"/>
            </w:tcMar>
            <w:vAlign w:val="center"/>
          </w:tcPr>
          <w:p>
            <w:pPr>
              <w:pStyle w:val="TableText"/>
              <w:jc w:val="left"/>
            </w:pPr>
            <w:r>
              <w:rPr>
                <w:sz w:val="17"/>
              </w:rPr>
              <w:t>Constant flow and zero diffusion</w:t>
            </w:r>
          </w:p>
        </w:tc>
        <w:tc>
          <w:tcPr>
            <w:tcW w:type="dxa" w:w="2951"/>
            <w:shd w:fill="EAF1F8"/>
            <w:tcMar>
              <w:top w:w="85" w:type="dxa"/>
              <w:start w:w="100" w:type="dxa"/>
              <w:bottom w:w="85" w:type="dxa"/>
              <w:end w:w="100" w:type="dxa"/>
            </w:tcMar>
            <w:vAlign w:val="center"/>
          </w:tcPr>
          <w:p>
            <w:pPr>
              <w:pStyle w:val="TableText"/>
              <w:jc w:val="left"/>
            </w:pPr>
            <w:r>
              <w:rPr>
                <w:sz w:val="17"/>
              </w:rPr>
              <w:t>Position follows the exact characteristic to round-off</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PRK3D03</w:t>
            </w:r>
          </w:p>
        </w:tc>
        <w:tc>
          <w:tcPr>
            <w:tcW w:type="dxa" w:w="2376"/>
            <w:shd w:fill="FFFFFF"/>
            <w:tcMar>
              <w:top w:w="85" w:type="dxa"/>
              <w:start w:w="100" w:type="dxa"/>
              <w:bottom w:w="85" w:type="dxa"/>
              <w:end w:w="100" w:type="dxa"/>
            </w:tcMar>
            <w:vAlign w:val="center"/>
          </w:tcPr>
          <w:p>
            <w:pPr>
              <w:pStyle w:val="TableText"/>
              <w:jc w:val="left"/>
            </w:pPr>
            <w:r>
              <w:rPr>
                <w:sz w:val="17"/>
              </w:rPr>
              <w:t>Orientation invariance</w:t>
            </w:r>
          </w:p>
        </w:tc>
        <w:tc>
          <w:tcPr>
            <w:tcW w:type="dxa" w:w="3600"/>
            <w:shd w:fill="FFFFFF"/>
            <w:tcMar>
              <w:top w:w="85" w:type="dxa"/>
              <w:start w:w="100" w:type="dxa"/>
              <w:bottom w:w="85" w:type="dxa"/>
              <w:end w:w="100" w:type="dxa"/>
            </w:tcMar>
            <w:vAlign w:val="center"/>
          </w:tcPr>
          <w:p>
            <w:pPr>
              <w:pStyle w:val="TableText"/>
              <w:jc w:val="left"/>
            </w:pPr>
            <w:r>
              <w:rPr>
                <w:sz w:val="17"/>
              </w:rPr>
              <w:t>Repeat diffusion for twenty random field directions</w:t>
            </w:r>
          </w:p>
        </w:tc>
        <w:tc>
          <w:tcPr>
            <w:tcW w:type="dxa" w:w="2951"/>
            <w:shd w:fill="FFFFFF"/>
            <w:tcMar>
              <w:top w:w="85" w:type="dxa"/>
              <w:start w:w="100" w:type="dxa"/>
              <w:bottom w:w="85" w:type="dxa"/>
              <w:end w:w="100" w:type="dxa"/>
            </w:tcMar>
            <w:vAlign w:val="center"/>
          </w:tcPr>
          <w:p>
            <w:pPr>
              <w:pStyle w:val="TableText"/>
              <w:jc w:val="left"/>
            </w:pPr>
            <w:r>
              <w:rPr>
                <w:sz w:val="17"/>
              </w:rPr>
              <w:t>Projected moments agree within statistical tolerance</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PRK3D04</w:t>
            </w:r>
          </w:p>
        </w:tc>
        <w:tc>
          <w:tcPr>
            <w:tcW w:type="dxa" w:w="2376"/>
            <w:shd w:fill="EAF1F8"/>
            <w:tcMar>
              <w:top w:w="85" w:type="dxa"/>
              <w:start w:w="100" w:type="dxa"/>
              <w:bottom w:w="85" w:type="dxa"/>
              <w:end w:w="100" w:type="dxa"/>
            </w:tcMar>
            <w:vAlign w:val="center"/>
          </w:tcPr>
          <w:p>
            <w:pPr>
              <w:pStyle w:val="TableText"/>
              <w:jc w:val="left"/>
            </w:pPr>
            <w:r>
              <w:rPr>
                <w:sz w:val="17"/>
              </w:rPr>
              <w:t>Nonuniform diffusion equilibrium</w:t>
            </w:r>
          </w:p>
        </w:tc>
        <w:tc>
          <w:tcPr>
            <w:tcW w:type="dxa" w:w="3600"/>
            <w:shd w:fill="EAF1F8"/>
            <w:tcMar>
              <w:top w:w="85" w:type="dxa"/>
              <w:start w:w="100" w:type="dxa"/>
              <w:bottom w:w="85" w:type="dxa"/>
              <w:end w:w="100" w:type="dxa"/>
            </w:tcMar>
            <w:vAlign w:val="center"/>
          </w:tcPr>
          <w:p>
            <w:pPr>
              <w:pStyle w:val="TableText"/>
              <w:jc w:val="left"/>
            </w:pPr>
            <w:r>
              <w:rPr>
                <w:sz w:val="17"/>
              </w:rPr>
              <w:t>Periodic slab with spatially varying parallel diffusion</w:t>
            </w:r>
          </w:p>
        </w:tc>
        <w:tc>
          <w:tcPr>
            <w:tcW w:type="dxa" w:w="2951"/>
            <w:shd w:fill="EAF1F8"/>
            <w:tcMar>
              <w:top w:w="85" w:type="dxa"/>
              <w:start w:w="100" w:type="dxa"/>
              <w:bottom w:w="85" w:type="dxa"/>
              <w:end w:w="100" w:type="dxa"/>
            </w:tcMar>
            <w:vAlign w:val="center"/>
          </w:tcPr>
          <w:p>
            <w:pPr>
              <w:pStyle w:val="TableText"/>
              <w:jc w:val="left"/>
            </w:pPr>
            <w:r>
              <w:rPr>
                <w:sz w:val="17"/>
              </w:rPr>
              <w:t>Uniform density remains uniform within one percent  sign-flipped control fails</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PRK3D05</w:t>
            </w:r>
          </w:p>
        </w:tc>
        <w:tc>
          <w:tcPr>
            <w:tcW w:type="dxa" w:w="2376"/>
            <w:shd w:fill="FFFFFF"/>
            <w:tcMar>
              <w:top w:w="85" w:type="dxa"/>
              <w:start w:w="100" w:type="dxa"/>
              <w:bottom w:w="85" w:type="dxa"/>
              <w:end w:w="100" w:type="dxa"/>
            </w:tcMar>
            <w:vAlign w:val="center"/>
          </w:tcPr>
          <w:p>
            <w:pPr>
              <w:pStyle w:val="TableText"/>
              <w:jc w:val="left"/>
            </w:pPr>
            <w:r>
              <w:rPr>
                <w:sz w:val="17"/>
              </w:rPr>
              <w:t>Adiabatic cooling</w:t>
            </w:r>
          </w:p>
        </w:tc>
        <w:tc>
          <w:tcPr>
            <w:tcW w:type="dxa" w:w="3600"/>
            <w:shd w:fill="FFFFFF"/>
            <w:tcMar>
              <w:top w:w="85" w:type="dxa"/>
              <w:start w:w="100" w:type="dxa"/>
              <w:bottom w:w="85" w:type="dxa"/>
              <w:end w:w="100" w:type="dxa"/>
            </w:tcMar>
            <w:vAlign w:val="center"/>
          </w:tcPr>
          <w:p>
            <w:pPr>
              <w:pStyle w:val="TableText"/>
              <w:jc w:val="left"/>
            </w:pPr>
            <w:r>
              <w:rPr>
                <w:sz w:val="17"/>
              </w:rPr>
              <w:t>Spherical constant-speed wind</w:t>
            </w:r>
          </w:p>
        </w:tc>
        <w:tc>
          <w:tcPr>
            <w:tcW w:type="dxa" w:w="2951"/>
            <w:shd w:fill="FFFFFF"/>
            <w:tcMar>
              <w:top w:w="85" w:type="dxa"/>
              <w:start w:w="100" w:type="dxa"/>
              <w:bottom w:w="85" w:type="dxa"/>
              <w:end w:w="100" w:type="dxa"/>
            </w:tcMar>
            <w:vAlign w:val="center"/>
          </w:tcPr>
          <w:p>
            <w:pPr>
              <w:pStyle w:val="TableText"/>
              <w:jc w:val="left"/>
            </w:pPr>
            <w:r>
              <w:rPr>
                <w:sz w:val="17"/>
              </w:rPr>
              <w:t>Momentum follows analytic characteristic and converges at expected order</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PRK3D06</w:t>
            </w:r>
          </w:p>
        </w:tc>
        <w:tc>
          <w:tcPr>
            <w:tcW w:type="dxa" w:w="2376"/>
            <w:shd w:fill="EAF1F8"/>
            <w:tcMar>
              <w:top w:w="85" w:type="dxa"/>
              <w:start w:w="100" w:type="dxa"/>
              <w:bottom w:w="85" w:type="dxa"/>
              <w:end w:w="100" w:type="dxa"/>
            </w:tcMar>
            <w:vAlign w:val="center"/>
          </w:tcPr>
          <w:p>
            <w:pPr>
              <w:pStyle w:val="TableText"/>
              <w:jc w:val="left"/>
            </w:pPr>
            <w:r>
              <w:rPr>
                <w:sz w:val="17"/>
              </w:rPr>
              <w:t>First passage</w:t>
            </w:r>
          </w:p>
        </w:tc>
        <w:tc>
          <w:tcPr>
            <w:tcW w:type="dxa" w:w="3600"/>
            <w:shd w:fill="EAF1F8"/>
            <w:tcMar>
              <w:top w:w="85" w:type="dxa"/>
              <w:start w:w="100" w:type="dxa"/>
              <w:bottom w:w="85" w:type="dxa"/>
              <w:end w:w="100" w:type="dxa"/>
            </w:tcMar>
            <w:vAlign w:val="center"/>
          </w:tcPr>
          <w:p>
            <w:pPr>
              <w:pStyle w:val="TableText"/>
              <w:jc w:val="left"/>
            </w:pPr>
            <w:r>
              <w:rPr>
                <w:sz w:val="17"/>
              </w:rPr>
              <w:t>Constant drift and diffusion to an absorbing plane</w:t>
            </w:r>
          </w:p>
        </w:tc>
        <w:tc>
          <w:tcPr>
            <w:tcW w:type="dxa" w:w="2951"/>
            <w:shd w:fill="EAF1F8"/>
            <w:tcMar>
              <w:top w:w="85" w:type="dxa"/>
              <w:start w:w="100" w:type="dxa"/>
              <w:bottom w:w="85" w:type="dxa"/>
              <w:end w:w="100" w:type="dxa"/>
            </w:tcMar>
            <w:vAlign w:val="center"/>
          </w:tcPr>
          <w:p>
            <w:pPr>
              <w:pStyle w:val="TableText"/>
              <w:jc w:val="left"/>
            </w:pPr>
            <w:r>
              <w:rPr>
                <w:sz w:val="17"/>
              </w:rPr>
              <w:t>Mean and variance match inverse Gaussian reference within three sigma</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PRK3D07</w:t>
            </w:r>
          </w:p>
        </w:tc>
        <w:tc>
          <w:tcPr>
            <w:tcW w:type="dxa" w:w="2376"/>
            <w:shd w:fill="FFFFFF"/>
            <w:tcMar>
              <w:top w:w="85" w:type="dxa"/>
              <w:start w:w="100" w:type="dxa"/>
              <w:bottom w:w="85" w:type="dxa"/>
              <w:end w:w="100" w:type="dxa"/>
            </w:tcMar>
            <w:vAlign w:val="center"/>
          </w:tcPr>
          <w:p>
            <w:pPr>
              <w:pStyle w:val="TableText"/>
              <w:jc w:val="left"/>
            </w:pPr>
            <w:r>
              <w:rPr>
                <w:sz w:val="17"/>
              </w:rPr>
              <w:t>Radial PDE comparison</w:t>
            </w:r>
          </w:p>
        </w:tc>
        <w:tc>
          <w:tcPr>
            <w:tcW w:type="dxa" w:w="3600"/>
            <w:shd w:fill="FFFFFF"/>
            <w:tcMar>
              <w:top w:w="85" w:type="dxa"/>
              <w:start w:w="100" w:type="dxa"/>
              <w:bottom w:w="85" w:type="dxa"/>
              <w:end w:w="100" w:type="dxa"/>
            </w:tcMar>
            <w:vAlign w:val="center"/>
          </w:tcPr>
          <w:p>
            <w:pPr>
              <w:pStyle w:val="TableText"/>
              <w:jc w:val="left"/>
            </w:pPr>
            <w:r>
              <w:rPr>
                <w:sz w:val="17"/>
              </w:rPr>
              <w:t>Radial field and power-law diffusion</w:t>
            </w:r>
          </w:p>
        </w:tc>
        <w:tc>
          <w:tcPr>
            <w:tcW w:type="dxa" w:w="2951"/>
            <w:shd w:fill="FFFFFF"/>
            <w:tcMar>
              <w:top w:w="85" w:type="dxa"/>
              <w:start w:w="100" w:type="dxa"/>
              <w:bottom w:w="85" w:type="dxa"/>
              <w:end w:w="100" w:type="dxa"/>
            </w:tcMar>
            <w:vAlign w:val="center"/>
          </w:tcPr>
          <w:p>
            <w:pPr>
              <w:pStyle w:val="TableText"/>
              <w:jc w:val="left"/>
            </w:pPr>
            <w:r>
              <w:rPr>
                <w:sz w:val="17"/>
              </w:rPr>
              <w:t>Profile L1 difference below three percent at three times</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PRK3D08</w:t>
            </w:r>
          </w:p>
        </w:tc>
        <w:tc>
          <w:tcPr>
            <w:tcW w:type="dxa" w:w="2376"/>
            <w:shd w:fill="EAF1F8"/>
            <w:tcMar>
              <w:top w:w="85" w:type="dxa"/>
              <w:start w:w="100" w:type="dxa"/>
              <w:bottom w:w="85" w:type="dxa"/>
              <w:end w:w="100" w:type="dxa"/>
            </w:tcMar>
            <w:vAlign w:val="center"/>
          </w:tcPr>
          <w:p>
            <w:pPr>
              <w:pStyle w:val="TableText"/>
              <w:jc w:val="left"/>
            </w:pPr>
            <w:r>
              <w:rPr>
                <w:sz w:val="17"/>
              </w:rPr>
              <w:t>Named substep limits</w:t>
            </w:r>
          </w:p>
        </w:tc>
        <w:tc>
          <w:tcPr>
            <w:tcW w:type="dxa" w:w="3600"/>
            <w:shd w:fill="EAF1F8"/>
            <w:tcMar>
              <w:top w:w="85" w:type="dxa"/>
              <w:start w:w="100" w:type="dxa"/>
              <w:bottom w:w="85" w:type="dxa"/>
              <w:end w:w="100" w:type="dxa"/>
            </w:tcMar>
            <w:vAlign w:val="center"/>
          </w:tcPr>
          <w:p>
            <w:pPr>
              <w:pStyle w:val="TableText"/>
              <w:jc w:val="left"/>
            </w:pPr>
            <w:r>
              <w:rPr>
                <w:sz w:val="17"/>
              </w:rPr>
              <w:t>Make each time-step restriction binding</w:t>
            </w:r>
          </w:p>
        </w:tc>
        <w:tc>
          <w:tcPr>
            <w:tcW w:type="dxa" w:w="2951"/>
            <w:shd w:fill="EAF1F8"/>
            <w:tcMar>
              <w:top w:w="85" w:type="dxa"/>
              <w:start w:w="100" w:type="dxa"/>
              <w:bottom w:w="85" w:type="dxa"/>
              <w:end w:w="100" w:type="dxa"/>
            </w:tcMar>
            <w:vAlign w:val="center"/>
          </w:tcPr>
          <w:p>
            <w:pPr>
              <w:pStyle w:val="TableText"/>
              <w:jc w:val="left"/>
            </w:pPr>
            <w:r>
              <w:rPr>
                <w:sz w:val="17"/>
              </w:rPr>
              <w:t>Reported limiter is exact and underflow is not clamped</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FTE3D01</w:t>
            </w:r>
          </w:p>
        </w:tc>
        <w:tc>
          <w:tcPr>
            <w:tcW w:type="dxa" w:w="2376"/>
            <w:shd w:fill="FFFFFF"/>
            <w:tcMar>
              <w:top w:w="85" w:type="dxa"/>
              <w:start w:w="100" w:type="dxa"/>
              <w:bottom w:w="85" w:type="dxa"/>
              <w:end w:w="100" w:type="dxa"/>
            </w:tcMar>
            <w:vAlign w:val="center"/>
          </w:tcPr>
          <w:p>
            <w:pPr>
              <w:pStyle w:val="TableText"/>
              <w:jc w:val="left"/>
            </w:pPr>
            <w:r>
              <w:rPr>
                <w:sz w:val="17"/>
              </w:rPr>
              <w:t>Ballistic streaming</w:t>
            </w:r>
          </w:p>
        </w:tc>
        <w:tc>
          <w:tcPr>
            <w:tcW w:type="dxa" w:w="3600"/>
            <w:shd w:fill="FFFFFF"/>
            <w:tcMar>
              <w:top w:w="85" w:type="dxa"/>
              <w:start w:w="100" w:type="dxa"/>
              <w:bottom w:w="85" w:type="dxa"/>
              <w:end w:w="100" w:type="dxa"/>
            </w:tcMar>
            <w:vAlign w:val="center"/>
          </w:tcPr>
          <w:p>
            <w:pPr>
              <w:pStyle w:val="TableText"/>
              <w:jc w:val="left"/>
            </w:pPr>
            <w:r>
              <w:rPr>
                <w:sz w:val="17"/>
              </w:rPr>
              <w:t>Uniform field and zero scattering</w:t>
            </w:r>
          </w:p>
        </w:tc>
        <w:tc>
          <w:tcPr>
            <w:tcW w:type="dxa" w:w="2951"/>
            <w:shd w:fill="FFFFFF"/>
            <w:tcMar>
              <w:top w:w="85" w:type="dxa"/>
              <w:start w:w="100" w:type="dxa"/>
              <w:bottom w:w="85" w:type="dxa"/>
              <w:end w:w="100" w:type="dxa"/>
            </w:tcMar>
            <w:vAlign w:val="center"/>
          </w:tcPr>
          <w:p>
            <w:pPr>
              <w:pStyle w:val="TableText"/>
              <w:jc w:val="left"/>
            </w:pPr>
            <w:r>
              <w:rPr>
                <w:sz w:val="17"/>
              </w:rPr>
              <w:t>Straight-line streaming and constant pitch angle to round-off</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FTE3D02</w:t>
            </w:r>
          </w:p>
        </w:tc>
        <w:tc>
          <w:tcPr>
            <w:tcW w:type="dxa" w:w="2376"/>
            <w:shd w:fill="EAF1F8"/>
            <w:tcMar>
              <w:top w:w="85" w:type="dxa"/>
              <w:start w:w="100" w:type="dxa"/>
              <w:bottom w:w="85" w:type="dxa"/>
              <w:end w:w="100" w:type="dxa"/>
            </w:tcMar>
            <w:vAlign w:val="center"/>
          </w:tcPr>
          <w:p>
            <w:pPr>
              <w:pStyle w:val="TableText"/>
              <w:jc w:val="left"/>
            </w:pPr>
            <w:r>
              <w:rPr>
                <w:sz w:val="17"/>
              </w:rPr>
              <w:t>Magnetic focusing</w:t>
            </w:r>
          </w:p>
        </w:tc>
        <w:tc>
          <w:tcPr>
            <w:tcW w:type="dxa" w:w="3600"/>
            <w:shd w:fill="EAF1F8"/>
            <w:tcMar>
              <w:top w:w="85" w:type="dxa"/>
              <w:start w:w="100" w:type="dxa"/>
              <w:bottom w:w="85" w:type="dxa"/>
              <w:end w:w="100" w:type="dxa"/>
            </w:tcMar>
            <w:vAlign w:val="center"/>
          </w:tcPr>
          <w:p>
            <w:pPr>
              <w:pStyle w:val="TableText"/>
              <w:jc w:val="left"/>
            </w:pPr>
            <w:r>
              <w:rPr>
                <w:sz w:val="17"/>
              </w:rPr>
              <w:t>Analytic converging and diverging fields</w:t>
            </w:r>
          </w:p>
        </w:tc>
        <w:tc>
          <w:tcPr>
            <w:tcW w:type="dxa" w:w="2951"/>
            <w:shd w:fill="EAF1F8"/>
            <w:tcMar>
              <w:top w:w="85" w:type="dxa"/>
              <w:start w:w="100" w:type="dxa"/>
              <w:bottom w:w="85" w:type="dxa"/>
              <w:end w:w="100" w:type="dxa"/>
            </w:tcMar>
            <w:vAlign w:val="center"/>
          </w:tcPr>
          <w:p>
            <w:pPr>
              <w:pStyle w:val="TableText"/>
              <w:jc w:val="left"/>
            </w:pPr>
            <w:r>
              <w:rPr>
                <w:sz w:val="17"/>
              </w:rPr>
              <w:t>Magnetic-moment invariant and mirror location meet tolerance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FTE3D03</w:t>
            </w:r>
          </w:p>
        </w:tc>
        <w:tc>
          <w:tcPr>
            <w:tcW w:type="dxa" w:w="2376"/>
            <w:shd w:fill="FFFFFF"/>
            <w:tcMar>
              <w:top w:w="85" w:type="dxa"/>
              <w:start w:w="100" w:type="dxa"/>
              <w:bottom w:w="85" w:type="dxa"/>
              <w:end w:w="100" w:type="dxa"/>
            </w:tcMar>
            <w:vAlign w:val="center"/>
          </w:tcPr>
          <w:p>
            <w:pPr>
              <w:pStyle w:val="TableText"/>
              <w:jc w:val="left"/>
            </w:pPr>
            <w:r>
              <w:rPr>
                <w:sz w:val="17"/>
              </w:rPr>
              <w:t>Pitch-angle eigenmodes</w:t>
            </w:r>
          </w:p>
        </w:tc>
        <w:tc>
          <w:tcPr>
            <w:tcW w:type="dxa" w:w="3600"/>
            <w:shd w:fill="FFFFFF"/>
            <w:tcMar>
              <w:top w:w="85" w:type="dxa"/>
              <w:start w:w="100" w:type="dxa"/>
              <w:bottom w:w="85" w:type="dxa"/>
              <w:end w:w="100" w:type="dxa"/>
            </w:tcMar>
            <w:vAlign w:val="center"/>
          </w:tcPr>
          <w:p>
            <w:pPr>
              <w:pStyle w:val="TableText"/>
              <w:jc w:val="left"/>
            </w:pPr>
            <w:r>
              <w:rPr>
                <w:sz w:val="17"/>
              </w:rPr>
              <w:t>Dμμ proportional to one minus μ squared</w:t>
            </w:r>
          </w:p>
        </w:tc>
        <w:tc>
          <w:tcPr>
            <w:tcW w:type="dxa" w:w="2951"/>
            <w:shd w:fill="FFFFFF"/>
            <w:tcMar>
              <w:top w:w="85" w:type="dxa"/>
              <w:start w:w="100" w:type="dxa"/>
              <w:bottom w:w="85" w:type="dxa"/>
              <w:end w:w="100" w:type="dxa"/>
            </w:tcMar>
            <w:vAlign w:val="center"/>
          </w:tcPr>
          <w:p>
            <w:pPr>
              <w:pStyle w:val="TableText"/>
              <w:jc w:val="left"/>
            </w:pPr>
            <w:r>
              <w:rPr>
                <w:sz w:val="17"/>
              </w:rPr>
              <w:t>Legendre decay rates within two percent for modes one through six</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FTE3D04</w:t>
            </w:r>
          </w:p>
        </w:tc>
        <w:tc>
          <w:tcPr>
            <w:tcW w:type="dxa" w:w="2376"/>
            <w:shd w:fill="EAF1F8"/>
            <w:tcMar>
              <w:top w:w="85" w:type="dxa"/>
              <w:start w:w="100" w:type="dxa"/>
              <w:bottom w:w="85" w:type="dxa"/>
              <w:end w:w="100" w:type="dxa"/>
            </w:tcMar>
            <w:vAlign w:val="center"/>
          </w:tcPr>
          <w:p>
            <w:pPr>
              <w:pStyle w:val="TableText"/>
              <w:jc w:val="left"/>
            </w:pPr>
            <w:r>
              <w:rPr>
                <w:sz w:val="17"/>
              </w:rPr>
              <w:t>Pitch boundaries</w:t>
            </w:r>
          </w:p>
        </w:tc>
        <w:tc>
          <w:tcPr>
            <w:tcW w:type="dxa" w:w="3600"/>
            <w:shd w:fill="EAF1F8"/>
            <w:tcMar>
              <w:top w:w="85" w:type="dxa"/>
              <w:start w:w="100" w:type="dxa"/>
              <w:bottom w:w="85" w:type="dxa"/>
              <w:end w:w="100" w:type="dxa"/>
            </w:tcMar>
            <w:vAlign w:val="center"/>
          </w:tcPr>
          <w:p>
            <w:pPr>
              <w:pStyle w:val="TableText"/>
              <w:jc w:val="left"/>
            </w:pPr>
            <w:r>
              <w:rPr>
                <w:sz w:val="17"/>
              </w:rPr>
              <w:t>Strong scattering near both pitch-angle limits</w:t>
            </w:r>
          </w:p>
        </w:tc>
        <w:tc>
          <w:tcPr>
            <w:tcW w:type="dxa" w:w="2951"/>
            <w:shd w:fill="EAF1F8"/>
            <w:tcMar>
              <w:top w:w="85" w:type="dxa"/>
              <w:start w:w="100" w:type="dxa"/>
              <w:bottom w:w="85" w:type="dxa"/>
              <w:end w:w="100" w:type="dxa"/>
            </w:tcMar>
            <w:vAlign w:val="center"/>
          </w:tcPr>
          <w:p>
            <w:pPr>
              <w:pStyle w:val="TableText"/>
              <w:jc w:val="left"/>
            </w:pPr>
            <w:r>
              <w:rPr>
                <w:sz w:val="17"/>
              </w:rPr>
              <w:t>No probability leakage and no artificial central depletion</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FTE3D05</w:t>
            </w:r>
          </w:p>
        </w:tc>
        <w:tc>
          <w:tcPr>
            <w:tcW w:type="dxa" w:w="2376"/>
            <w:shd w:fill="FFFFFF"/>
            <w:tcMar>
              <w:top w:w="85" w:type="dxa"/>
              <w:start w:w="100" w:type="dxa"/>
              <w:bottom w:w="85" w:type="dxa"/>
              <w:end w:w="100" w:type="dxa"/>
            </w:tcMar>
            <w:vAlign w:val="center"/>
          </w:tcPr>
          <w:p>
            <w:pPr>
              <w:pStyle w:val="TableText"/>
              <w:jc w:val="left"/>
            </w:pPr>
            <w:r>
              <w:rPr>
                <w:sz w:val="17"/>
              </w:rPr>
              <w:t>Momentum characteristic</w:t>
            </w:r>
          </w:p>
        </w:tc>
        <w:tc>
          <w:tcPr>
            <w:tcW w:type="dxa" w:w="3600"/>
            <w:shd w:fill="FFFFFF"/>
            <w:tcMar>
              <w:top w:w="85" w:type="dxa"/>
              <w:start w:w="100" w:type="dxa"/>
              <w:bottom w:w="85" w:type="dxa"/>
              <w:end w:w="100" w:type="dxa"/>
            </w:tcMar>
            <w:vAlign w:val="center"/>
          </w:tcPr>
          <w:p>
            <w:pPr>
              <w:pStyle w:val="TableText"/>
              <w:jc w:val="left"/>
            </w:pPr>
            <w:r>
              <w:rPr>
                <w:sz w:val="17"/>
              </w:rPr>
              <w:t>Expanding flow with full focused coefficients</w:t>
            </w:r>
          </w:p>
        </w:tc>
        <w:tc>
          <w:tcPr>
            <w:tcW w:type="dxa" w:w="2951"/>
            <w:shd w:fill="FFFFFF"/>
            <w:tcMar>
              <w:top w:w="85" w:type="dxa"/>
              <w:start w:w="100" w:type="dxa"/>
              <w:bottom w:w="85" w:type="dxa"/>
              <w:end w:w="100" w:type="dxa"/>
            </w:tcMar>
            <w:vAlign w:val="center"/>
          </w:tcPr>
          <w:p>
            <w:pPr>
              <w:pStyle w:val="TableText"/>
              <w:jc w:val="left"/>
            </w:pPr>
            <w:r>
              <w:rPr>
                <w:sz w:val="17"/>
              </w:rPr>
              <w:t>Particle and pitch-averaged rates match analytic results</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FTE3D06</w:t>
            </w:r>
          </w:p>
        </w:tc>
        <w:tc>
          <w:tcPr>
            <w:tcW w:type="dxa" w:w="2376"/>
            <w:shd w:fill="EAF1F8"/>
            <w:tcMar>
              <w:top w:w="85" w:type="dxa"/>
              <w:start w:w="100" w:type="dxa"/>
              <w:bottom w:w="85" w:type="dxa"/>
              <w:end w:w="100" w:type="dxa"/>
            </w:tcMar>
            <w:vAlign w:val="center"/>
          </w:tcPr>
          <w:p>
            <w:pPr>
              <w:pStyle w:val="TableText"/>
              <w:jc w:val="left"/>
            </w:pPr>
            <w:r>
              <w:rPr>
                <w:sz w:val="17"/>
              </w:rPr>
              <w:t>Strong scattering reduction</w:t>
            </w:r>
          </w:p>
        </w:tc>
        <w:tc>
          <w:tcPr>
            <w:tcW w:type="dxa" w:w="3600"/>
            <w:shd w:fill="EAF1F8"/>
            <w:tcMar>
              <w:top w:w="85" w:type="dxa"/>
              <w:start w:w="100" w:type="dxa"/>
              <w:bottom w:w="85" w:type="dxa"/>
              <w:end w:w="100" w:type="dxa"/>
            </w:tcMar>
            <w:vAlign w:val="center"/>
          </w:tcPr>
          <w:p>
            <w:pPr>
              <w:pStyle w:val="TableText"/>
              <w:jc w:val="left"/>
            </w:pPr>
            <w:r>
              <w:rPr>
                <w:sz w:val="17"/>
              </w:rPr>
              <w:t>Small mean free path compared with system scale</w:t>
            </w:r>
          </w:p>
        </w:tc>
        <w:tc>
          <w:tcPr>
            <w:tcW w:type="dxa" w:w="2951"/>
            <w:shd w:fill="EAF1F8"/>
            <w:tcMar>
              <w:top w:w="85" w:type="dxa"/>
              <w:start w:w="100" w:type="dxa"/>
              <w:bottom w:w="85" w:type="dxa"/>
              <w:end w:w="100" w:type="dxa"/>
            </w:tcMar>
            <w:vAlign w:val="center"/>
          </w:tcPr>
          <w:p>
            <w:pPr>
              <w:pStyle w:val="TableText"/>
              <w:jc w:val="left"/>
            </w:pPr>
            <w:r>
              <w:rPr>
                <w:sz w:val="17"/>
              </w:rPr>
              <w:t>Focused and Parker displacement variance agree within five percent</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FTE3D07</w:t>
            </w:r>
          </w:p>
        </w:tc>
        <w:tc>
          <w:tcPr>
            <w:tcW w:type="dxa" w:w="2376"/>
            <w:shd w:fill="FFFFFF"/>
            <w:tcMar>
              <w:top w:w="85" w:type="dxa"/>
              <w:start w:w="100" w:type="dxa"/>
              <w:bottom w:w="85" w:type="dxa"/>
              <w:end w:w="100" w:type="dxa"/>
            </w:tcMar>
            <w:vAlign w:val="center"/>
          </w:tcPr>
          <w:p>
            <w:pPr>
              <w:pStyle w:val="TableText"/>
              <w:jc w:val="left"/>
            </w:pPr>
            <w:r>
              <w:rPr>
                <w:sz w:val="17"/>
              </w:rPr>
              <w:t>Zero perpendicular identity</w:t>
            </w:r>
          </w:p>
        </w:tc>
        <w:tc>
          <w:tcPr>
            <w:tcW w:type="dxa" w:w="3600"/>
            <w:shd w:fill="FFFFFF"/>
            <w:tcMar>
              <w:top w:w="85" w:type="dxa"/>
              <w:start w:w="100" w:type="dxa"/>
              <w:bottom w:w="85" w:type="dxa"/>
              <w:end w:w="100" w:type="dxa"/>
            </w:tcMar>
            <w:vAlign w:val="center"/>
          </w:tcPr>
          <w:p>
            <w:pPr>
              <w:pStyle w:val="TableText"/>
              <w:jc w:val="left"/>
            </w:pPr>
            <w:r>
              <w:rPr>
                <w:sz w:val="17"/>
              </w:rPr>
              <w:t>Run reserved hooks with all perpendicular values exactly zero</w:t>
            </w:r>
          </w:p>
        </w:tc>
        <w:tc>
          <w:tcPr>
            <w:tcW w:type="dxa" w:w="2951"/>
            <w:shd w:fill="FFFFFF"/>
            <w:tcMar>
              <w:top w:w="85" w:type="dxa"/>
              <w:start w:w="100" w:type="dxa"/>
              <w:bottom w:w="85" w:type="dxa"/>
              <w:end w:w="100" w:type="dxa"/>
            </w:tcMar>
            <w:vAlign w:val="center"/>
          </w:tcPr>
          <w:p>
            <w:pPr>
              <w:pStyle w:val="TableText"/>
              <w:jc w:val="left"/>
            </w:pPr>
            <w:r>
              <w:rPr>
                <w:sz w:val="17"/>
              </w:rPr>
              <w:t>Bitwise identity with the parallel-only reference</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RNG3D01</w:t>
            </w:r>
          </w:p>
        </w:tc>
        <w:tc>
          <w:tcPr>
            <w:tcW w:type="dxa" w:w="2376"/>
            <w:shd w:fill="EAF1F8"/>
            <w:tcMar>
              <w:top w:w="85" w:type="dxa"/>
              <w:start w:w="100" w:type="dxa"/>
              <w:bottom w:w="85" w:type="dxa"/>
              <w:end w:w="100" w:type="dxa"/>
            </w:tcMar>
            <w:vAlign w:val="center"/>
          </w:tcPr>
          <w:p>
            <w:pPr>
              <w:pStyle w:val="TableText"/>
              <w:jc w:val="left"/>
            </w:pPr>
            <w:r>
              <w:rPr>
                <w:sz w:val="17"/>
              </w:rPr>
              <w:t>Thread reproducibility</w:t>
            </w:r>
          </w:p>
        </w:tc>
        <w:tc>
          <w:tcPr>
            <w:tcW w:type="dxa" w:w="3600"/>
            <w:shd w:fill="EAF1F8"/>
            <w:tcMar>
              <w:top w:w="85" w:type="dxa"/>
              <w:start w:w="100" w:type="dxa"/>
              <w:bottom w:w="85" w:type="dxa"/>
              <w:end w:w="100" w:type="dxa"/>
            </w:tcMar>
            <w:vAlign w:val="center"/>
          </w:tcPr>
          <w:p>
            <w:pPr>
              <w:pStyle w:val="TableText"/>
              <w:jc w:val="left"/>
            </w:pPr>
            <w:r>
              <w:rPr>
                <w:sz w:val="17"/>
              </w:rPr>
              <w:t>Fixed seed with one two four and eight threads</w:t>
            </w:r>
          </w:p>
        </w:tc>
        <w:tc>
          <w:tcPr>
            <w:tcW w:type="dxa" w:w="2951"/>
            <w:shd w:fill="EAF1F8"/>
            <w:tcMar>
              <w:top w:w="85" w:type="dxa"/>
              <w:start w:w="100" w:type="dxa"/>
              <w:bottom w:w="85" w:type="dxa"/>
              <w:end w:w="100" w:type="dxa"/>
            </w:tcMar>
            <w:vAlign w:val="center"/>
          </w:tcPr>
          <w:p>
            <w:pPr>
              <w:pStyle w:val="TableText"/>
              <w:jc w:val="left"/>
            </w:pPr>
            <w:r>
              <w:rPr>
                <w:sz w:val="17"/>
              </w:rPr>
              <w:t>Bitwise particle and diagnostic records</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RNG3D02</w:t>
            </w:r>
          </w:p>
        </w:tc>
        <w:tc>
          <w:tcPr>
            <w:tcW w:type="dxa" w:w="2376"/>
            <w:shd w:fill="FFFFFF"/>
            <w:tcMar>
              <w:top w:w="85" w:type="dxa"/>
              <w:start w:w="100" w:type="dxa"/>
              <w:bottom w:w="85" w:type="dxa"/>
              <w:end w:w="100" w:type="dxa"/>
            </w:tcMar>
            <w:vAlign w:val="center"/>
          </w:tcPr>
          <w:p>
            <w:pPr>
              <w:pStyle w:val="TableText"/>
              <w:jc w:val="left"/>
            </w:pPr>
            <w:r>
              <w:rPr>
                <w:sz w:val="17"/>
              </w:rPr>
              <w:t>Order independence</w:t>
            </w:r>
          </w:p>
        </w:tc>
        <w:tc>
          <w:tcPr>
            <w:tcW w:type="dxa" w:w="3600"/>
            <w:shd w:fill="FFFFFF"/>
            <w:tcMar>
              <w:top w:w="85" w:type="dxa"/>
              <w:start w:w="100" w:type="dxa"/>
              <w:bottom w:w="85" w:type="dxa"/>
              <w:end w:w="100" w:type="dxa"/>
            </w:tcMar>
            <w:vAlign w:val="center"/>
          </w:tcPr>
          <w:p>
            <w:pPr>
              <w:pStyle w:val="TableText"/>
              <w:jc w:val="left"/>
            </w:pPr>
            <w:r>
              <w:rPr>
                <w:sz w:val="17"/>
              </w:rPr>
              <w:t>Shuffle particle iteration order</w:t>
            </w:r>
          </w:p>
        </w:tc>
        <w:tc>
          <w:tcPr>
            <w:tcW w:type="dxa" w:w="2951"/>
            <w:shd w:fill="FFFFFF"/>
            <w:tcMar>
              <w:top w:w="85" w:type="dxa"/>
              <w:start w:w="100" w:type="dxa"/>
              <w:bottom w:w="85" w:type="dxa"/>
              <w:end w:w="100" w:type="dxa"/>
            </w:tcMar>
            <w:vAlign w:val="center"/>
          </w:tcPr>
          <w:p>
            <w:pPr>
              <w:pStyle w:val="TableText"/>
              <w:jc w:val="left"/>
            </w:pPr>
            <w:r>
              <w:rPr>
                <w:sz w:val="17"/>
              </w:rPr>
              <w:t>Particle-keyed histories are unchanged</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RNG3D03</w:t>
            </w:r>
          </w:p>
        </w:tc>
        <w:tc>
          <w:tcPr>
            <w:tcW w:type="dxa" w:w="2376"/>
            <w:shd w:fill="EAF1F8"/>
            <w:tcMar>
              <w:top w:w="85" w:type="dxa"/>
              <w:start w:w="100" w:type="dxa"/>
              <w:bottom w:w="85" w:type="dxa"/>
              <w:end w:w="100" w:type="dxa"/>
            </w:tcMar>
            <w:vAlign w:val="center"/>
          </w:tcPr>
          <w:p>
            <w:pPr>
              <w:pStyle w:val="TableText"/>
              <w:jc w:val="left"/>
            </w:pPr>
            <w:r>
              <w:rPr>
                <w:sz w:val="17"/>
              </w:rPr>
              <w:t>Purpose isolation</w:t>
            </w:r>
          </w:p>
        </w:tc>
        <w:tc>
          <w:tcPr>
            <w:tcW w:type="dxa" w:w="3600"/>
            <w:shd w:fill="EAF1F8"/>
            <w:tcMar>
              <w:top w:w="85" w:type="dxa"/>
              <w:start w:w="100" w:type="dxa"/>
              <w:bottom w:w="85" w:type="dxa"/>
              <w:end w:w="100" w:type="dxa"/>
            </w:tcMar>
            <w:vAlign w:val="center"/>
          </w:tcPr>
          <w:p>
            <w:pPr>
              <w:pStyle w:val="TableText"/>
              <w:jc w:val="left"/>
            </w:pPr>
            <w:r>
              <w:rPr>
                <w:sz w:val="17"/>
              </w:rPr>
              <w:t>Enable an inert future random stream</w:t>
            </w:r>
          </w:p>
        </w:tc>
        <w:tc>
          <w:tcPr>
            <w:tcW w:type="dxa" w:w="2951"/>
            <w:shd w:fill="EAF1F8"/>
            <w:tcMar>
              <w:top w:w="85" w:type="dxa"/>
              <w:start w:w="100" w:type="dxa"/>
              <w:bottom w:w="85" w:type="dxa"/>
              <w:end w:w="100" w:type="dxa"/>
            </w:tcMar>
            <w:vAlign w:val="center"/>
          </w:tcPr>
          <w:p>
            <w:pPr>
              <w:pStyle w:val="TableText"/>
              <w:jc w:val="left"/>
            </w:pPr>
            <w:r>
              <w:rPr>
                <w:sz w:val="17"/>
              </w:rPr>
              <w:t>Existing parallel and pitch streams are unchanged</w:t>
            </w:r>
          </w:p>
        </w:tc>
      </w:tr>
    </w:tbl>
    <w:p>
      <w:pPr>
        <w:pStyle w:val="Heading1"/>
      </w:pPr>
      <w:r>
        <w:t>8 Tests Linked with AMPS and SWMF</w:t>
      </w:r>
    </w:p>
    <w:p>
      <w:pPr>
        <w:pStyle w:val="Heading2"/>
      </w:pPr>
      <w:r>
        <w:t>1 Production Build and Lifecycle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296"/>
            <w:shd w:fill="17365D"/>
            <w:tcMar>
              <w:top w:w="100" w:type="dxa"/>
              <w:start w:w="110" w:type="dxa"/>
              <w:bottom w:w="100" w:type="dxa"/>
              <w:end w:w="110" w:type="dxa"/>
            </w:tcMar>
            <w:vAlign w:val="center"/>
          </w:tcPr>
          <w:p>
            <w:pPr>
              <w:pStyle w:val="TableText"/>
              <w:jc w:val="center"/>
            </w:pPr>
            <w:r>
              <w:rPr>
                <w:b/>
                <w:color w:val="FFFFFF"/>
                <w:sz w:val="17"/>
              </w:rPr>
              <w:t>ID</w:t>
            </w:r>
          </w:p>
        </w:tc>
        <w:tc>
          <w:tcPr>
            <w:tcW w:type="dxa" w:w="2376"/>
            <w:shd w:fill="17365D"/>
            <w:tcMar>
              <w:top w:w="100" w:type="dxa"/>
              <w:start w:w="110" w:type="dxa"/>
              <w:bottom w:w="100" w:type="dxa"/>
              <w:end w:w="110" w:type="dxa"/>
            </w:tcMar>
            <w:vAlign w:val="center"/>
          </w:tcPr>
          <w:p>
            <w:pPr>
              <w:pStyle w:val="TableText"/>
              <w:jc w:val="center"/>
            </w:pPr>
            <w:r>
              <w:rPr>
                <w:b/>
                <w:color w:val="FFFFFF"/>
                <w:sz w:val="17"/>
              </w:rPr>
              <w:t>Purpose</w:t>
            </w:r>
          </w:p>
        </w:tc>
        <w:tc>
          <w:tcPr>
            <w:tcW w:type="dxa" w:w="3600"/>
            <w:shd w:fill="17365D"/>
            <w:tcMar>
              <w:top w:w="100" w:type="dxa"/>
              <w:start w:w="110" w:type="dxa"/>
              <w:bottom w:w="100" w:type="dxa"/>
              <w:end w:w="110" w:type="dxa"/>
            </w:tcMar>
            <w:vAlign w:val="center"/>
          </w:tcPr>
          <w:p>
            <w:pPr>
              <w:pStyle w:val="TableText"/>
              <w:jc w:val="center"/>
            </w:pPr>
            <w:r>
              <w:rPr>
                <w:b/>
                <w:color w:val="FFFFFF"/>
                <w:sz w:val="17"/>
              </w:rPr>
              <w:t>Setup</w:t>
            </w:r>
          </w:p>
        </w:tc>
        <w:tc>
          <w:tcPr>
            <w:tcW w:type="dxa" w:w="2951"/>
            <w:shd w:fill="17365D"/>
            <w:tcMar>
              <w:top w:w="100" w:type="dxa"/>
              <w:start w:w="110" w:type="dxa"/>
              <w:bottom w:w="100" w:type="dxa"/>
              <w:end w:w="110" w:type="dxa"/>
            </w:tcMar>
            <w:vAlign w:val="center"/>
          </w:tcPr>
          <w:p>
            <w:pPr>
              <w:pStyle w:val="TableText"/>
              <w:jc w:val="center"/>
            </w:pPr>
            <w:r>
              <w:rPr>
                <w:b/>
                <w:color w:val="FFFFFF"/>
                <w:sz w:val="17"/>
              </w:rPr>
              <w:t>Acceptance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BLDL3D01</w:t>
            </w:r>
          </w:p>
        </w:tc>
        <w:tc>
          <w:tcPr>
            <w:tcW w:type="dxa" w:w="2376"/>
            <w:shd w:fill="FFFFFF"/>
            <w:tcMar>
              <w:top w:w="85" w:type="dxa"/>
              <w:start w:w="100" w:type="dxa"/>
              <w:bottom w:w="85" w:type="dxa"/>
              <w:end w:w="100" w:type="dxa"/>
            </w:tcMar>
            <w:vAlign w:val="center"/>
          </w:tcPr>
          <w:p>
            <w:pPr>
              <w:pStyle w:val="TableText"/>
              <w:jc w:val="left"/>
            </w:pPr>
            <w:r>
              <w:rPr>
                <w:sz w:val="17"/>
              </w:rPr>
              <w:t>Production compilation</w:t>
            </w:r>
          </w:p>
        </w:tc>
        <w:tc>
          <w:tcPr>
            <w:tcW w:type="dxa" w:w="3600"/>
            <w:shd w:fill="FFFFFF"/>
            <w:tcMar>
              <w:top w:w="85" w:type="dxa"/>
              <w:start w:w="100" w:type="dxa"/>
              <w:bottom w:w="85" w:type="dxa"/>
              <w:end w:w="100" w:type="dxa"/>
            </w:tcMar>
            <w:vAlign w:val="center"/>
          </w:tcPr>
          <w:p>
            <w:pPr>
              <w:pStyle w:val="TableText"/>
              <w:jc w:val="left"/>
            </w:pPr>
            <w:r>
              <w:rPr>
                <w:sz w:val="17"/>
              </w:rPr>
              <w:t>Compile every production source including main_lib and adapters</w:t>
            </w:r>
          </w:p>
        </w:tc>
        <w:tc>
          <w:tcPr>
            <w:tcW w:type="dxa" w:w="2951"/>
            <w:shd w:fill="FFFFFF"/>
            <w:tcMar>
              <w:top w:w="85" w:type="dxa"/>
              <w:start w:w="100" w:type="dxa"/>
              <w:bottom w:w="85" w:type="dxa"/>
              <w:end w:w="100" w:type="dxa"/>
            </w:tcMar>
            <w:vAlign w:val="center"/>
          </w:tcPr>
          <w:p>
            <w:pPr>
              <w:pStyle w:val="TableText"/>
              <w:jc w:val="left"/>
            </w:pPr>
            <w:r>
              <w:rPr>
                <w:sz w:val="17"/>
              </w:rPr>
              <w:t>No stale declarations  undefined symbols  or warnings promoted to errors</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BLDL3D02</w:t>
            </w:r>
          </w:p>
        </w:tc>
        <w:tc>
          <w:tcPr>
            <w:tcW w:type="dxa" w:w="2376"/>
            <w:shd w:fill="EAF1F8"/>
            <w:tcMar>
              <w:top w:w="85" w:type="dxa"/>
              <w:start w:w="100" w:type="dxa"/>
              <w:bottom w:w="85" w:type="dxa"/>
              <w:end w:w="100" w:type="dxa"/>
            </w:tcMar>
            <w:vAlign w:val="center"/>
          </w:tcPr>
          <w:p>
            <w:pPr>
              <w:pStyle w:val="TableText"/>
              <w:jc w:val="left"/>
            </w:pPr>
            <w:r>
              <w:rPr>
                <w:sz w:val="17"/>
              </w:rPr>
              <w:t>Retired symbol exclusion</w:t>
            </w:r>
          </w:p>
        </w:tc>
        <w:tc>
          <w:tcPr>
            <w:tcW w:type="dxa" w:w="3600"/>
            <w:shd w:fill="EAF1F8"/>
            <w:tcMar>
              <w:top w:w="85" w:type="dxa"/>
              <w:start w:w="100" w:type="dxa"/>
              <w:bottom w:w="85" w:type="dxa"/>
              <w:end w:w="100" w:type="dxa"/>
            </w:tcMar>
            <w:vAlign w:val="center"/>
          </w:tcPr>
          <w:p>
            <w:pPr>
              <w:pStyle w:val="TableText"/>
              <w:jc w:val="left"/>
            </w:pPr>
            <w:r>
              <w:rPr>
                <w:sz w:val="17"/>
              </w:rPr>
              <w:t>Inspect objects and source manifest</w:t>
            </w:r>
          </w:p>
        </w:tc>
        <w:tc>
          <w:tcPr>
            <w:tcW w:type="dxa" w:w="2951"/>
            <w:shd w:fill="EAF1F8"/>
            <w:tcMar>
              <w:top w:w="85" w:type="dxa"/>
              <w:start w:w="100" w:type="dxa"/>
              <w:bottom w:w="85" w:type="dxa"/>
              <w:end w:w="100" w:type="dxa"/>
            </w:tcMar>
            <w:vAlign w:val="center"/>
          </w:tcPr>
          <w:p>
            <w:pPr>
              <w:pStyle w:val="TableText"/>
              <w:jc w:val="left"/>
            </w:pPr>
            <w:r>
              <w:rPr>
                <w:sz w:val="17"/>
              </w:rPr>
              <w:t>No axisymmetric mover  old sampler  or obsolete acceleration symbol</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BLDL3D03</w:t>
            </w:r>
          </w:p>
        </w:tc>
        <w:tc>
          <w:tcPr>
            <w:tcW w:type="dxa" w:w="2376"/>
            <w:shd w:fill="FFFFFF"/>
            <w:tcMar>
              <w:top w:w="85" w:type="dxa"/>
              <w:start w:w="100" w:type="dxa"/>
              <w:bottom w:w="85" w:type="dxa"/>
              <w:end w:w="100" w:type="dxa"/>
            </w:tcMar>
            <w:vAlign w:val="center"/>
          </w:tcPr>
          <w:p>
            <w:pPr>
              <w:pStyle w:val="TableText"/>
              <w:jc w:val="left"/>
            </w:pPr>
            <w:r>
              <w:rPr>
                <w:sz w:val="17"/>
              </w:rPr>
              <w:t>AMPS return-code mapping</w:t>
            </w:r>
          </w:p>
        </w:tc>
        <w:tc>
          <w:tcPr>
            <w:tcW w:type="dxa" w:w="3600"/>
            <w:shd w:fill="FFFFFF"/>
            <w:tcMar>
              <w:top w:w="85" w:type="dxa"/>
              <w:start w:w="100" w:type="dxa"/>
              <w:bottom w:w="85" w:type="dxa"/>
              <w:end w:w="100" w:type="dxa"/>
            </w:tcMar>
            <w:vAlign w:val="center"/>
          </w:tcPr>
          <w:p>
            <w:pPr>
              <w:pStyle w:val="TableText"/>
              <w:jc w:val="left"/>
            </w:pPr>
            <w:r>
              <w:rPr>
                <w:sz w:val="17"/>
              </w:rPr>
              <w:t>Compile static assertions against pic.h and execute adapter fixtures</w:t>
            </w:r>
          </w:p>
        </w:tc>
        <w:tc>
          <w:tcPr>
            <w:tcW w:type="dxa" w:w="2951"/>
            <w:shd w:fill="FFFFFF"/>
            <w:tcMar>
              <w:top w:w="85" w:type="dxa"/>
              <w:start w:w="100" w:type="dxa"/>
              <w:bottom w:w="85" w:type="dxa"/>
              <w:end w:w="100" w:type="dxa"/>
            </w:tcMar>
            <w:vAlign w:val="center"/>
          </w:tcPr>
          <w:p>
            <w:pPr>
              <w:pStyle w:val="TableText"/>
              <w:jc w:val="left"/>
            </w:pPr>
            <w:r>
              <w:rPr>
                <w:sz w:val="17"/>
              </w:rPr>
              <w:t>Every AMPS result maps to one distinct model status</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LIFE3D01</w:t>
            </w:r>
          </w:p>
        </w:tc>
        <w:tc>
          <w:tcPr>
            <w:tcW w:type="dxa" w:w="2376"/>
            <w:shd w:fill="EAF1F8"/>
            <w:tcMar>
              <w:top w:w="85" w:type="dxa"/>
              <w:start w:w="100" w:type="dxa"/>
              <w:bottom w:w="85" w:type="dxa"/>
              <w:end w:w="100" w:type="dxa"/>
            </w:tcMar>
            <w:vAlign w:val="center"/>
          </w:tcPr>
          <w:p>
            <w:pPr>
              <w:pStyle w:val="TableText"/>
              <w:jc w:val="left"/>
            </w:pPr>
            <w:r>
              <w:rPr>
                <w:sz w:val="17"/>
              </w:rPr>
              <w:t>Legal lifecycle</w:t>
            </w:r>
          </w:p>
        </w:tc>
        <w:tc>
          <w:tcPr>
            <w:tcW w:type="dxa" w:w="3600"/>
            <w:shd w:fill="EAF1F8"/>
            <w:tcMar>
              <w:top w:w="85" w:type="dxa"/>
              <w:start w:w="100" w:type="dxa"/>
              <w:bottom w:w="85" w:type="dxa"/>
              <w:end w:w="100" w:type="dxa"/>
            </w:tcMar>
            <w:vAlign w:val="center"/>
          </w:tcPr>
          <w:p>
            <w:pPr>
              <w:pStyle w:val="TableText"/>
              <w:jc w:val="left"/>
            </w:pPr>
            <w:r>
              <w:rPr>
                <w:sz w:val="17"/>
              </w:rPr>
              <w:t>Drive Created through Finalized</w:t>
            </w:r>
          </w:p>
        </w:tc>
        <w:tc>
          <w:tcPr>
            <w:tcW w:type="dxa" w:w="2951"/>
            <w:shd w:fill="EAF1F8"/>
            <w:tcMar>
              <w:top w:w="85" w:type="dxa"/>
              <w:start w:w="100" w:type="dxa"/>
              <w:bottom w:w="85" w:type="dxa"/>
              <w:end w:w="100" w:type="dxa"/>
            </w:tcMar>
            <w:vAlign w:val="center"/>
          </w:tcPr>
          <w:p>
            <w:pPr>
              <w:pStyle w:val="TableText"/>
              <w:jc w:val="left"/>
            </w:pPr>
            <w:r>
              <w:rPr>
                <w:sz w:val="17"/>
              </w:rPr>
              <w:t>Each transition succeeds once and records the expected state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LIFE3D02</w:t>
            </w:r>
          </w:p>
        </w:tc>
        <w:tc>
          <w:tcPr>
            <w:tcW w:type="dxa" w:w="2376"/>
            <w:shd w:fill="FFFFFF"/>
            <w:tcMar>
              <w:top w:w="85" w:type="dxa"/>
              <w:start w:w="100" w:type="dxa"/>
              <w:bottom w:w="85" w:type="dxa"/>
              <w:end w:w="100" w:type="dxa"/>
            </w:tcMar>
            <w:vAlign w:val="center"/>
          </w:tcPr>
          <w:p>
            <w:pPr>
              <w:pStyle w:val="TableText"/>
              <w:jc w:val="left"/>
            </w:pPr>
            <w:r>
              <w:rPr>
                <w:sz w:val="17"/>
              </w:rPr>
              <w:t>Illegal lifecycle</w:t>
            </w:r>
          </w:p>
        </w:tc>
        <w:tc>
          <w:tcPr>
            <w:tcW w:type="dxa" w:w="3600"/>
            <w:shd w:fill="FFFFFF"/>
            <w:tcMar>
              <w:top w:w="85" w:type="dxa"/>
              <w:start w:w="100" w:type="dxa"/>
              <w:bottom w:w="85" w:type="dxa"/>
              <w:end w:w="100" w:type="dxa"/>
            </w:tcMar>
            <w:vAlign w:val="center"/>
          </w:tcPr>
          <w:p>
            <w:pPr>
              <w:pStyle w:val="TableText"/>
              <w:jc w:val="left"/>
            </w:pPr>
            <w:r>
              <w:rPr>
                <w:sz w:val="17"/>
              </w:rPr>
              <w:t>Call mesh binding  stepping  or checkpointing out of order</w:t>
            </w:r>
          </w:p>
        </w:tc>
        <w:tc>
          <w:tcPr>
            <w:tcW w:type="dxa" w:w="2951"/>
            <w:shd w:fill="FFFFFF"/>
            <w:tcMar>
              <w:top w:w="85" w:type="dxa"/>
              <w:start w:w="100" w:type="dxa"/>
              <w:bottom w:w="85" w:type="dxa"/>
              <w:end w:w="100" w:type="dxa"/>
            </w:tcMar>
            <w:vAlign w:val="center"/>
          </w:tcPr>
          <w:p>
            <w:pPr>
              <w:pStyle w:val="TableText"/>
              <w:jc w:val="left"/>
            </w:pPr>
            <w:r>
              <w:rPr>
                <w:sz w:val="17"/>
              </w:rPr>
              <w:t>Rejected without partial mutation</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LIFE3D03</w:t>
            </w:r>
          </w:p>
        </w:tc>
        <w:tc>
          <w:tcPr>
            <w:tcW w:type="dxa" w:w="2376"/>
            <w:shd w:fill="EAF1F8"/>
            <w:tcMar>
              <w:top w:w="85" w:type="dxa"/>
              <w:start w:w="100" w:type="dxa"/>
              <w:bottom w:w="85" w:type="dxa"/>
              <w:end w:w="100" w:type="dxa"/>
            </w:tcMar>
            <w:vAlign w:val="center"/>
          </w:tcPr>
          <w:p>
            <w:pPr>
              <w:pStyle w:val="TableText"/>
              <w:jc w:val="left"/>
            </w:pPr>
            <w:r>
              <w:rPr>
                <w:sz w:val="17"/>
              </w:rPr>
              <w:t>Pre-mesh layout</w:t>
            </w:r>
          </w:p>
        </w:tc>
        <w:tc>
          <w:tcPr>
            <w:tcW w:type="dxa" w:w="3600"/>
            <w:shd w:fill="EAF1F8"/>
            <w:tcMar>
              <w:top w:w="85" w:type="dxa"/>
              <w:start w:w="100" w:type="dxa"/>
              <w:bottom w:w="85" w:type="dxa"/>
              <w:end w:w="100" w:type="dxa"/>
            </w:tcMar>
            <w:vAlign w:val="center"/>
          </w:tcPr>
          <w:p>
            <w:pPr>
              <w:pStyle w:val="TableText"/>
              <w:jc w:val="left"/>
            </w:pPr>
            <w:r>
              <w:rPr>
                <w:sz w:val="17"/>
              </w:rPr>
              <w:t>Allocate sampling buffers after configuration</w:t>
            </w:r>
          </w:p>
        </w:tc>
        <w:tc>
          <w:tcPr>
            <w:tcW w:type="dxa" w:w="2951"/>
            <w:shd w:fill="EAF1F8"/>
            <w:tcMar>
              <w:top w:w="85" w:type="dxa"/>
              <w:start w:w="100" w:type="dxa"/>
              <w:bottom w:w="85" w:type="dxa"/>
              <w:end w:w="100" w:type="dxa"/>
            </w:tcMar>
            <w:vAlign w:val="center"/>
          </w:tcPr>
          <w:p>
            <w:pPr>
              <w:pStyle w:val="TableText"/>
              <w:jc w:val="left"/>
            </w:pPr>
            <w:r>
              <w:rPr>
                <w:sz w:val="17"/>
              </w:rPr>
              <w:t>Offsets and sizes match the frozen layout</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LIFE3D04</w:t>
            </w:r>
          </w:p>
        </w:tc>
        <w:tc>
          <w:tcPr>
            <w:tcW w:type="dxa" w:w="2376"/>
            <w:shd w:fill="FFFFFF"/>
            <w:tcMar>
              <w:top w:w="85" w:type="dxa"/>
              <w:start w:w="100" w:type="dxa"/>
              <w:bottom w:w="85" w:type="dxa"/>
              <w:end w:w="100" w:type="dxa"/>
            </w:tcMar>
            <w:vAlign w:val="center"/>
          </w:tcPr>
          <w:p>
            <w:pPr>
              <w:pStyle w:val="TableText"/>
              <w:jc w:val="left"/>
            </w:pPr>
            <w:r>
              <w:rPr>
                <w:sz w:val="17"/>
              </w:rPr>
              <w:t>No internal parsing</w:t>
            </w:r>
          </w:p>
        </w:tc>
        <w:tc>
          <w:tcPr>
            <w:tcW w:type="dxa" w:w="3600"/>
            <w:shd w:fill="FFFFFF"/>
            <w:tcMar>
              <w:top w:w="85" w:type="dxa"/>
              <w:start w:w="100" w:type="dxa"/>
              <w:bottom w:w="85" w:type="dxa"/>
              <w:end w:w="100" w:type="dxa"/>
            </w:tcMar>
            <w:vAlign w:val="center"/>
          </w:tcPr>
          <w:p>
            <w:pPr>
              <w:pStyle w:val="TableText"/>
              <w:jc w:val="left"/>
            </w:pPr>
            <w:r>
              <w:rPr>
                <w:sz w:val="17"/>
              </w:rPr>
              <w:t>Invoke coupled library from a fixture with no AMPS_PARAM.in</w:t>
            </w:r>
          </w:p>
        </w:tc>
        <w:tc>
          <w:tcPr>
            <w:tcW w:type="dxa" w:w="2951"/>
            <w:shd w:fill="FFFFFF"/>
            <w:tcMar>
              <w:top w:w="85" w:type="dxa"/>
              <w:start w:w="100" w:type="dxa"/>
              <w:bottom w:w="85" w:type="dxa"/>
              <w:end w:w="100" w:type="dxa"/>
            </w:tcMar>
            <w:vAlign w:val="center"/>
          </w:tcPr>
          <w:p>
            <w:pPr>
              <w:pStyle w:val="TableText"/>
              <w:jc w:val="left"/>
            </w:pPr>
            <w:r>
              <w:rPr>
                <w:sz w:val="17"/>
              </w:rPr>
              <w:t>Configuration supplied by the host is sufficient</w:t>
            </w:r>
          </w:p>
        </w:tc>
      </w:tr>
    </w:tbl>
    <w:p>
      <w:pPr>
        <w:pStyle w:val="Heading2"/>
      </w:pPr>
      <w:r>
        <w:t>2 SWMF Coupling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296"/>
            <w:shd w:fill="17365D"/>
            <w:tcMar>
              <w:top w:w="100" w:type="dxa"/>
              <w:start w:w="110" w:type="dxa"/>
              <w:bottom w:w="100" w:type="dxa"/>
              <w:end w:w="110" w:type="dxa"/>
            </w:tcMar>
            <w:vAlign w:val="center"/>
          </w:tcPr>
          <w:p>
            <w:pPr>
              <w:pStyle w:val="TableText"/>
              <w:jc w:val="center"/>
            </w:pPr>
            <w:r>
              <w:rPr>
                <w:b/>
                <w:color w:val="FFFFFF"/>
                <w:sz w:val="17"/>
              </w:rPr>
              <w:t>ID</w:t>
            </w:r>
          </w:p>
        </w:tc>
        <w:tc>
          <w:tcPr>
            <w:tcW w:type="dxa" w:w="2376"/>
            <w:shd w:fill="17365D"/>
            <w:tcMar>
              <w:top w:w="100" w:type="dxa"/>
              <w:start w:w="110" w:type="dxa"/>
              <w:bottom w:w="100" w:type="dxa"/>
              <w:end w:w="110" w:type="dxa"/>
            </w:tcMar>
            <w:vAlign w:val="center"/>
          </w:tcPr>
          <w:p>
            <w:pPr>
              <w:pStyle w:val="TableText"/>
              <w:jc w:val="center"/>
            </w:pPr>
            <w:r>
              <w:rPr>
                <w:b/>
                <w:color w:val="FFFFFF"/>
                <w:sz w:val="17"/>
              </w:rPr>
              <w:t>Purpose</w:t>
            </w:r>
          </w:p>
        </w:tc>
        <w:tc>
          <w:tcPr>
            <w:tcW w:type="dxa" w:w="3600"/>
            <w:shd w:fill="17365D"/>
            <w:tcMar>
              <w:top w:w="100" w:type="dxa"/>
              <w:start w:w="110" w:type="dxa"/>
              <w:bottom w:w="100" w:type="dxa"/>
              <w:end w:w="110" w:type="dxa"/>
            </w:tcMar>
            <w:vAlign w:val="center"/>
          </w:tcPr>
          <w:p>
            <w:pPr>
              <w:pStyle w:val="TableText"/>
              <w:jc w:val="center"/>
            </w:pPr>
            <w:r>
              <w:rPr>
                <w:b/>
                <w:color w:val="FFFFFF"/>
                <w:sz w:val="17"/>
              </w:rPr>
              <w:t>Setup</w:t>
            </w:r>
          </w:p>
        </w:tc>
        <w:tc>
          <w:tcPr>
            <w:tcW w:type="dxa" w:w="2951"/>
            <w:shd w:fill="17365D"/>
            <w:tcMar>
              <w:top w:w="100" w:type="dxa"/>
              <w:start w:w="110" w:type="dxa"/>
              <w:bottom w:w="100" w:type="dxa"/>
              <w:end w:w="110" w:type="dxa"/>
            </w:tcMar>
            <w:vAlign w:val="center"/>
          </w:tcPr>
          <w:p>
            <w:pPr>
              <w:pStyle w:val="TableText"/>
              <w:jc w:val="center"/>
            </w:pPr>
            <w:r>
              <w:rPr>
                <w:b/>
                <w:color w:val="FFFFFF"/>
                <w:sz w:val="17"/>
              </w:rPr>
              <w:t>Acceptance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CPL3D01</w:t>
            </w:r>
          </w:p>
        </w:tc>
        <w:tc>
          <w:tcPr>
            <w:tcW w:type="dxa" w:w="2376"/>
            <w:shd w:fill="FFFFFF"/>
            <w:tcMar>
              <w:top w:w="85" w:type="dxa"/>
              <w:start w:w="100" w:type="dxa"/>
              <w:bottom w:w="85" w:type="dxa"/>
              <w:end w:w="100" w:type="dxa"/>
            </w:tcMar>
            <w:vAlign w:val="center"/>
          </w:tcPr>
          <w:p>
            <w:pPr>
              <w:pStyle w:val="TableText"/>
              <w:jc w:val="left"/>
            </w:pPr>
            <w:r>
              <w:rPr>
                <w:sz w:val="17"/>
              </w:rPr>
              <w:t>First receive gate</w:t>
            </w:r>
          </w:p>
        </w:tc>
        <w:tc>
          <w:tcPr>
            <w:tcW w:type="dxa" w:w="3600"/>
            <w:shd w:fill="FFFFFF"/>
            <w:tcMar>
              <w:top w:w="85" w:type="dxa"/>
              <w:start w:w="100" w:type="dxa"/>
              <w:bottom w:w="85" w:type="dxa"/>
              <w:end w:w="100" w:type="dxa"/>
            </w:tcMar>
            <w:vAlign w:val="center"/>
          </w:tcPr>
          <w:p>
            <w:pPr>
              <w:pStyle w:val="TableText"/>
              <w:jc w:val="left"/>
            </w:pPr>
            <w:r>
              <w:rPr>
                <w:sz w:val="17"/>
              </w:rPr>
              <w:t>Call time step before and after the first complete receive</w:t>
            </w:r>
          </w:p>
        </w:tc>
        <w:tc>
          <w:tcPr>
            <w:tcW w:type="dxa" w:w="2951"/>
            <w:shd w:fill="FFFFFF"/>
            <w:tcMar>
              <w:top w:w="85" w:type="dxa"/>
              <w:start w:w="100" w:type="dxa"/>
              <w:bottom w:w="85" w:type="dxa"/>
              <w:end w:w="100" w:type="dxa"/>
            </w:tcMar>
            <w:vAlign w:val="center"/>
          </w:tcPr>
          <w:p>
            <w:pPr>
              <w:pStyle w:val="TableText"/>
              <w:jc w:val="left"/>
            </w:pPr>
            <w:r>
              <w:rPr>
                <w:sz w:val="17"/>
              </w:rPr>
              <w:t>No particle advancement before SnapshotReady</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CPL3D02</w:t>
            </w:r>
          </w:p>
        </w:tc>
        <w:tc>
          <w:tcPr>
            <w:tcW w:type="dxa" w:w="2376"/>
            <w:shd w:fill="EAF1F8"/>
            <w:tcMar>
              <w:top w:w="85" w:type="dxa"/>
              <w:start w:w="100" w:type="dxa"/>
              <w:bottom w:w="85" w:type="dxa"/>
              <w:end w:w="100" w:type="dxa"/>
            </w:tcMar>
            <w:vAlign w:val="center"/>
          </w:tcPr>
          <w:p>
            <w:pPr>
              <w:pStyle w:val="TableText"/>
              <w:jc w:val="left"/>
            </w:pPr>
            <w:r>
              <w:rPr>
                <w:sz w:val="17"/>
              </w:rPr>
              <w:t>Required field offsets</w:t>
            </w:r>
          </w:p>
        </w:tc>
        <w:tc>
          <w:tcPr>
            <w:tcW w:type="dxa" w:w="3600"/>
            <w:shd w:fill="EAF1F8"/>
            <w:tcMar>
              <w:top w:w="85" w:type="dxa"/>
              <w:start w:w="100" w:type="dxa"/>
              <w:bottom w:w="85" w:type="dxa"/>
              <w:end w:w="100" w:type="dxa"/>
            </w:tcMar>
            <w:vAlign w:val="center"/>
          </w:tcPr>
          <w:p>
            <w:pPr>
              <w:pStyle w:val="TableText"/>
              <w:jc w:val="left"/>
            </w:pPr>
            <w:r>
              <w:rPr>
                <w:sz w:val="17"/>
              </w:rPr>
              <w:t>Remove B  velocity  density  divergence  gradient or wave fields one at a time</w:t>
            </w:r>
          </w:p>
        </w:tc>
        <w:tc>
          <w:tcPr>
            <w:tcW w:type="dxa" w:w="2951"/>
            <w:shd w:fill="EAF1F8"/>
            <w:tcMar>
              <w:top w:w="85" w:type="dxa"/>
              <w:start w:w="100" w:type="dxa"/>
              <w:bottom w:w="85" w:type="dxa"/>
              <w:end w:w="100" w:type="dxa"/>
            </w:tcMar>
            <w:vAlign w:val="center"/>
          </w:tcPr>
          <w:p>
            <w:pPr>
              <w:pStyle w:val="TableText"/>
              <w:jc w:val="left"/>
            </w:pPr>
            <w:r>
              <w:rPr>
                <w:sz w:val="17"/>
              </w:rPr>
              <w:t>Collective readiness is false and names the missing field</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CPL3D03</w:t>
            </w:r>
          </w:p>
        </w:tc>
        <w:tc>
          <w:tcPr>
            <w:tcW w:type="dxa" w:w="2376"/>
            <w:shd w:fill="FFFFFF"/>
            <w:tcMar>
              <w:top w:w="85" w:type="dxa"/>
              <w:start w:w="100" w:type="dxa"/>
              <w:bottom w:w="85" w:type="dxa"/>
              <w:end w:w="100" w:type="dxa"/>
            </w:tcMar>
            <w:vAlign w:val="center"/>
          </w:tcPr>
          <w:p>
            <w:pPr>
              <w:pStyle w:val="TableText"/>
              <w:jc w:val="left"/>
            </w:pPr>
            <w:r>
              <w:rPr>
                <w:sz w:val="17"/>
              </w:rPr>
              <w:t>Collective completeness</w:t>
            </w:r>
          </w:p>
        </w:tc>
        <w:tc>
          <w:tcPr>
            <w:tcW w:type="dxa" w:w="3600"/>
            <w:shd w:fill="FFFFFF"/>
            <w:tcMar>
              <w:top w:w="85" w:type="dxa"/>
              <w:start w:w="100" w:type="dxa"/>
              <w:bottom w:w="85" w:type="dxa"/>
              <w:end w:w="100" w:type="dxa"/>
            </w:tcMar>
            <w:vAlign w:val="center"/>
          </w:tcPr>
          <w:p>
            <w:pPr>
              <w:pStyle w:val="TableText"/>
              <w:jc w:val="left"/>
            </w:pPr>
            <w:r>
              <w:rPr>
                <w:sz w:val="17"/>
              </w:rPr>
              <w:t>Make one MPI rank report an invalid candidate</w:t>
            </w:r>
          </w:p>
        </w:tc>
        <w:tc>
          <w:tcPr>
            <w:tcW w:type="dxa" w:w="2951"/>
            <w:shd w:fill="FFFFFF"/>
            <w:tcMar>
              <w:top w:w="85" w:type="dxa"/>
              <w:start w:w="100" w:type="dxa"/>
              <w:bottom w:w="85" w:type="dxa"/>
              <w:end w:w="100" w:type="dxa"/>
            </w:tcMar>
            <w:vAlign w:val="center"/>
          </w:tcPr>
          <w:p>
            <w:pPr>
              <w:pStyle w:val="TableText"/>
              <w:jc w:val="left"/>
            </w:pPr>
            <w:r>
              <w:rPr>
                <w:sz w:val="17"/>
              </w:rPr>
              <w:t>No rank publishes the snapshot</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CPL3D04</w:t>
            </w:r>
          </w:p>
        </w:tc>
        <w:tc>
          <w:tcPr>
            <w:tcW w:type="dxa" w:w="2376"/>
            <w:shd w:fill="EAF1F8"/>
            <w:tcMar>
              <w:top w:w="85" w:type="dxa"/>
              <w:start w:w="100" w:type="dxa"/>
              <w:bottom w:w="85" w:type="dxa"/>
              <w:end w:w="100" w:type="dxa"/>
            </w:tcMar>
            <w:vAlign w:val="center"/>
          </w:tcPr>
          <w:p>
            <w:pPr>
              <w:pStyle w:val="TableText"/>
              <w:jc w:val="left"/>
            </w:pPr>
            <w:r>
              <w:rPr>
                <w:sz w:val="17"/>
              </w:rPr>
              <w:t>Owner and ghost handling</w:t>
            </w:r>
          </w:p>
        </w:tc>
        <w:tc>
          <w:tcPr>
            <w:tcW w:type="dxa" w:w="3600"/>
            <w:shd w:fill="EAF1F8"/>
            <w:tcMar>
              <w:top w:w="85" w:type="dxa"/>
              <w:start w:w="100" w:type="dxa"/>
              <w:bottom w:w="85" w:type="dxa"/>
              <w:end w:w="100" w:type="dxa"/>
            </w:tcMar>
            <w:vAlign w:val="center"/>
          </w:tcPr>
          <w:p>
            <w:pPr>
              <w:pStyle w:val="TableText"/>
              <w:jc w:val="left"/>
            </w:pPr>
            <w:r>
              <w:rPr>
                <w:sz w:val="17"/>
              </w:rPr>
              <w:t>Populate owner cells and exchange or interpolate boundary values</w:t>
            </w:r>
          </w:p>
        </w:tc>
        <w:tc>
          <w:tcPr>
            <w:tcW w:type="dxa" w:w="2951"/>
            <w:shd w:fill="EAF1F8"/>
            <w:tcMar>
              <w:top w:w="85" w:type="dxa"/>
              <w:start w:w="100" w:type="dxa"/>
              <w:bottom w:w="85" w:type="dxa"/>
              <w:end w:w="100" w:type="dxa"/>
            </w:tcMar>
            <w:vAlign w:val="center"/>
          </w:tcPr>
          <w:p>
            <w:pPr>
              <w:pStyle w:val="TableText"/>
              <w:jc w:val="left"/>
            </w:pPr>
            <w:r>
              <w:rPr>
                <w:sz w:val="17"/>
              </w:rPr>
              <w:t>Every physical cell has exactly one authority and interpolation is continuous</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CPL3D05</w:t>
            </w:r>
          </w:p>
        </w:tc>
        <w:tc>
          <w:tcPr>
            <w:tcW w:type="dxa" w:w="2376"/>
            <w:shd w:fill="FFFFFF"/>
            <w:tcMar>
              <w:top w:w="85" w:type="dxa"/>
              <w:start w:w="100" w:type="dxa"/>
              <w:bottom w:w="85" w:type="dxa"/>
              <w:end w:w="100" w:type="dxa"/>
            </w:tcMar>
            <w:vAlign w:val="center"/>
          </w:tcPr>
          <w:p>
            <w:pPr>
              <w:pStyle w:val="TableText"/>
              <w:jc w:val="left"/>
            </w:pPr>
            <w:r>
              <w:rPr>
                <w:sz w:val="17"/>
              </w:rPr>
              <w:t>Unit and frame mapping</w:t>
            </w:r>
          </w:p>
        </w:tc>
        <w:tc>
          <w:tcPr>
            <w:tcW w:type="dxa" w:w="3600"/>
            <w:shd w:fill="FFFFFF"/>
            <w:tcMar>
              <w:top w:w="85" w:type="dxa"/>
              <w:start w:w="100" w:type="dxa"/>
              <w:bottom w:w="85" w:type="dxa"/>
              <w:end w:w="100" w:type="dxa"/>
            </w:tcMar>
            <w:vAlign w:val="center"/>
          </w:tcPr>
          <w:p>
            <w:pPr>
              <w:pStyle w:val="TableText"/>
              <w:jc w:val="left"/>
            </w:pPr>
            <w:r>
              <w:rPr>
                <w:sz w:val="17"/>
              </w:rPr>
              <w:t>Compare SWMF fixture values with direct PIC CPLR access</w:t>
            </w:r>
          </w:p>
        </w:tc>
        <w:tc>
          <w:tcPr>
            <w:tcW w:type="dxa" w:w="2951"/>
            <w:shd w:fill="FFFFFF"/>
            <w:tcMar>
              <w:top w:w="85" w:type="dxa"/>
              <w:start w:w="100" w:type="dxa"/>
              <w:bottom w:w="85" w:type="dxa"/>
              <w:end w:w="100" w:type="dxa"/>
            </w:tcMar>
            <w:vAlign w:val="center"/>
          </w:tcPr>
          <w:p>
            <w:pPr>
              <w:pStyle w:val="TableText"/>
              <w:jc w:val="left"/>
            </w:pPr>
            <w:r>
              <w:rPr>
                <w:sz w:val="17"/>
              </w:rPr>
              <w:t>Snapshot values match the documented conversion</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CPL3D06</w:t>
            </w:r>
          </w:p>
        </w:tc>
        <w:tc>
          <w:tcPr>
            <w:tcW w:type="dxa" w:w="2376"/>
            <w:shd w:fill="EAF1F8"/>
            <w:tcMar>
              <w:top w:w="85" w:type="dxa"/>
              <w:start w:w="100" w:type="dxa"/>
              <w:bottom w:w="85" w:type="dxa"/>
              <w:end w:w="100" w:type="dxa"/>
            </w:tcMar>
            <w:vAlign w:val="center"/>
          </w:tcPr>
          <w:p>
            <w:pPr>
              <w:pStyle w:val="TableText"/>
              <w:jc w:val="left"/>
            </w:pPr>
            <w:r>
              <w:rPr>
                <w:sz w:val="17"/>
              </w:rPr>
              <w:t>Epoch and generation</w:t>
            </w:r>
          </w:p>
        </w:tc>
        <w:tc>
          <w:tcPr>
            <w:tcW w:type="dxa" w:w="3600"/>
            <w:shd w:fill="EAF1F8"/>
            <w:tcMar>
              <w:top w:w="85" w:type="dxa"/>
              <w:start w:w="100" w:type="dxa"/>
              <w:bottom w:w="85" w:type="dxa"/>
              <w:end w:w="100" w:type="dxa"/>
            </w:tcMar>
            <w:vAlign w:val="center"/>
          </w:tcPr>
          <w:p>
            <w:pPr>
              <w:pStyle w:val="TableText"/>
              <w:jc w:val="left"/>
            </w:pPr>
            <w:r>
              <w:rPr>
                <w:sz w:val="17"/>
              </w:rPr>
              <w:t>Mix old wave data with new plasma data</w:t>
            </w:r>
          </w:p>
        </w:tc>
        <w:tc>
          <w:tcPr>
            <w:tcW w:type="dxa" w:w="2951"/>
            <w:shd w:fill="EAF1F8"/>
            <w:tcMar>
              <w:top w:w="85" w:type="dxa"/>
              <w:start w:w="100" w:type="dxa"/>
              <w:bottom w:w="85" w:type="dxa"/>
              <w:end w:w="100" w:type="dxa"/>
            </w:tcMar>
            <w:vAlign w:val="center"/>
          </w:tcPr>
          <w:p>
            <w:pPr>
              <w:pStyle w:val="TableText"/>
              <w:jc w:val="left"/>
            </w:pPr>
            <w:r>
              <w:rPr>
                <w:sz w:val="17"/>
              </w:rPr>
              <w:t>Rejected as an incoherent snapshot</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CPL3D07</w:t>
            </w:r>
          </w:p>
        </w:tc>
        <w:tc>
          <w:tcPr>
            <w:tcW w:type="dxa" w:w="2376"/>
            <w:shd w:fill="FFFFFF"/>
            <w:tcMar>
              <w:top w:w="85" w:type="dxa"/>
              <w:start w:w="100" w:type="dxa"/>
              <w:bottom w:w="85" w:type="dxa"/>
              <w:end w:w="100" w:type="dxa"/>
            </w:tcMar>
            <w:vAlign w:val="center"/>
          </w:tcPr>
          <w:p>
            <w:pPr>
              <w:pStyle w:val="TableText"/>
              <w:jc w:val="left"/>
            </w:pPr>
            <w:r>
              <w:rPr>
                <w:sz w:val="17"/>
              </w:rPr>
              <w:t>Atomic replacement</w:t>
            </w:r>
          </w:p>
        </w:tc>
        <w:tc>
          <w:tcPr>
            <w:tcW w:type="dxa" w:w="3600"/>
            <w:shd w:fill="FFFFFF"/>
            <w:tcMar>
              <w:top w:w="85" w:type="dxa"/>
              <w:start w:w="100" w:type="dxa"/>
              <w:bottom w:w="85" w:type="dxa"/>
              <w:end w:w="100" w:type="dxa"/>
            </w:tcMar>
            <w:vAlign w:val="center"/>
          </w:tcPr>
          <w:p>
            <w:pPr>
              <w:pStyle w:val="TableText"/>
              <w:jc w:val="left"/>
            </w:pPr>
            <w:r>
              <w:rPr>
                <w:sz w:val="17"/>
              </w:rPr>
              <w:t>Fail a later receive while particles use the current snapshot</w:t>
            </w:r>
          </w:p>
        </w:tc>
        <w:tc>
          <w:tcPr>
            <w:tcW w:type="dxa" w:w="2951"/>
            <w:shd w:fill="FFFFFF"/>
            <w:tcMar>
              <w:top w:w="85" w:type="dxa"/>
              <w:start w:w="100" w:type="dxa"/>
              <w:bottom w:w="85" w:type="dxa"/>
              <w:end w:w="100" w:type="dxa"/>
            </w:tcMar>
            <w:vAlign w:val="center"/>
          </w:tcPr>
          <w:p>
            <w:pPr>
              <w:pStyle w:val="TableText"/>
              <w:jc w:val="left"/>
            </w:pPr>
            <w:r>
              <w:rPr>
                <w:sz w:val="17"/>
              </w:rPr>
              <w:t>Pinned snapshot remains valid and unchanged</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CPL3D08</w:t>
            </w:r>
          </w:p>
        </w:tc>
        <w:tc>
          <w:tcPr>
            <w:tcW w:type="dxa" w:w="2376"/>
            <w:shd w:fill="EAF1F8"/>
            <w:tcMar>
              <w:top w:w="85" w:type="dxa"/>
              <w:start w:w="100" w:type="dxa"/>
              <w:bottom w:w="85" w:type="dxa"/>
              <w:end w:w="100" w:type="dxa"/>
            </w:tcMar>
            <w:vAlign w:val="center"/>
          </w:tcPr>
          <w:p>
            <w:pPr>
              <w:pStyle w:val="TableText"/>
              <w:jc w:val="left"/>
            </w:pPr>
            <w:r>
              <w:rPr>
                <w:sz w:val="17"/>
              </w:rPr>
              <w:t>Time interpolation</w:t>
            </w:r>
          </w:p>
        </w:tc>
        <w:tc>
          <w:tcPr>
            <w:tcW w:type="dxa" w:w="3600"/>
            <w:shd w:fill="EAF1F8"/>
            <w:tcMar>
              <w:top w:w="85" w:type="dxa"/>
              <w:start w:w="100" w:type="dxa"/>
              <w:bottom w:w="85" w:type="dxa"/>
              <w:end w:w="100" w:type="dxa"/>
            </w:tcMar>
            <w:vAlign w:val="center"/>
          </w:tcPr>
          <w:p>
            <w:pPr>
              <w:pStyle w:val="TableText"/>
              <w:jc w:val="left"/>
            </w:pPr>
            <w:r>
              <w:rPr>
                <w:sz w:val="17"/>
              </w:rPr>
              <w:t>Use two linearly evolving analytic SWMF fixtures</w:t>
            </w:r>
          </w:p>
        </w:tc>
        <w:tc>
          <w:tcPr>
            <w:tcW w:type="dxa" w:w="2951"/>
            <w:shd w:fill="EAF1F8"/>
            <w:tcMar>
              <w:top w:w="85" w:type="dxa"/>
              <w:start w:w="100" w:type="dxa"/>
              <w:bottom w:w="85" w:type="dxa"/>
              <w:end w:w="100" w:type="dxa"/>
            </w:tcMar>
            <w:vAlign w:val="center"/>
          </w:tcPr>
          <w:p>
            <w:pPr>
              <w:pStyle w:val="TableText"/>
              <w:jc w:val="left"/>
            </w:pPr>
            <w:r>
              <w:rPr>
                <w:sz w:val="17"/>
              </w:rPr>
              <w:t>Values and source time are exact within the validity interval</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CPL3D09</w:t>
            </w:r>
          </w:p>
        </w:tc>
        <w:tc>
          <w:tcPr>
            <w:tcW w:type="dxa" w:w="2376"/>
            <w:shd w:fill="FFFFFF"/>
            <w:tcMar>
              <w:top w:w="85" w:type="dxa"/>
              <w:start w:w="100" w:type="dxa"/>
              <w:bottom w:w="85" w:type="dxa"/>
              <w:end w:w="100" w:type="dxa"/>
            </w:tcMar>
            <w:vAlign w:val="center"/>
          </w:tcPr>
          <w:p>
            <w:pPr>
              <w:pStyle w:val="TableText"/>
              <w:jc w:val="left"/>
            </w:pPr>
            <w:r>
              <w:rPr>
                <w:sz w:val="17"/>
              </w:rPr>
              <w:t>Cadence restart</w:t>
            </w:r>
          </w:p>
        </w:tc>
        <w:tc>
          <w:tcPr>
            <w:tcW w:type="dxa" w:w="3600"/>
            <w:shd w:fill="FFFFFF"/>
            <w:tcMar>
              <w:top w:w="85" w:type="dxa"/>
              <w:start w:w="100" w:type="dxa"/>
              <w:bottom w:w="85" w:type="dxa"/>
              <w:end w:w="100" w:type="dxa"/>
            </w:tcMar>
            <w:vAlign w:val="center"/>
          </w:tcPr>
          <w:p>
            <w:pPr>
              <w:pStyle w:val="TableText"/>
              <w:jc w:val="left"/>
            </w:pPr>
            <w:r>
              <w:rPr>
                <w:sz w:val="17"/>
              </w:rPr>
              <w:t>Checkpoint between coupling callbacks and resume</w:t>
            </w:r>
          </w:p>
        </w:tc>
        <w:tc>
          <w:tcPr>
            <w:tcW w:type="dxa" w:w="2951"/>
            <w:shd w:fill="FFFFFF"/>
            <w:tcMar>
              <w:top w:w="85" w:type="dxa"/>
              <w:start w:w="100" w:type="dxa"/>
              <w:bottom w:w="85" w:type="dxa"/>
              <w:end w:w="100" w:type="dxa"/>
            </w:tcMar>
            <w:vAlign w:val="center"/>
          </w:tcPr>
          <w:p>
            <w:pPr>
              <w:pStyle w:val="TableText"/>
              <w:jc w:val="left"/>
            </w:pPr>
            <w:r>
              <w:rPr>
                <w:sz w:val="17"/>
              </w:rPr>
              <w:t>Next accepted coupling and output times match uninterrupted execution</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CPL3D10</w:t>
            </w:r>
          </w:p>
        </w:tc>
        <w:tc>
          <w:tcPr>
            <w:tcW w:type="dxa" w:w="2376"/>
            <w:shd w:fill="EAF1F8"/>
            <w:tcMar>
              <w:top w:w="85" w:type="dxa"/>
              <w:start w:w="100" w:type="dxa"/>
              <w:bottom w:w="85" w:type="dxa"/>
              <w:end w:w="100" w:type="dxa"/>
            </w:tcMar>
            <w:vAlign w:val="center"/>
          </w:tcPr>
          <w:p>
            <w:pPr>
              <w:pStyle w:val="TableText"/>
              <w:jc w:val="left"/>
            </w:pPr>
            <w:r>
              <w:rPr>
                <w:sz w:val="17"/>
              </w:rPr>
              <w:t>Shock synchronization</w:t>
            </w:r>
          </w:p>
        </w:tc>
        <w:tc>
          <w:tcPr>
            <w:tcW w:type="dxa" w:w="3600"/>
            <w:shd w:fill="EAF1F8"/>
            <w:tcMar>
              <w:top w:w="85" w:type="dxa"/>
              <w:start w:w="100" w:type="dxa"/>
              <w:bottom w:w="85" w:type="dxa"/>
              <w:end w:w="100" w:type="dxa"/>
            </w:tcMar>
            <w:vAlign w:val="center"/>
          </w:tcPr>
          <w:p>
            <w:pPr>
              <w:pStyle w:val="TableText"/>
              <w:jc w:val="left"/>
            </w:pPr>
            <w:r>
              <w:rPr>
                <w:sz w:val="17"/>
              </w:rPr>
              <w:t>Advance SWCME and background on different proposed times</w:t>
            </w:r>
          </w:p>
        </w:tc>
        <w:tc>
          <w:tcPr>
            <w:tcW w:type="dxa" w:w="2951"/>
            <w:shd w:fill="EAF1F8"/>
            <w:tcMar>
              <w:top w:w="85" w:type="dxa"/>
              <w:start w:w="100" w:type="dxa"/>
              <w:bottom w:w="85" w:type="dxa"/>
              <w:end w:w="100" w:type="dxa"/>
            </w:tcMar>
            <w:vAlign w:val="center"/>
          </w:tcPr>
          <w:p>
            <w:pPr>
              <w:pStyle w:val="TableText"/>
              <w:jc w:val="left"/>
            </w:pPr>
            <w:r>
              <w:rPr>
                <w:sz w:val="17"/>
              </w:rPr>
              <w:t>Publication waits for declared synchronization or rejects the candidate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CPL3D11</w:t>
            </w:r>
          </w:p>
        </w:tc>
        <w:tc>
          <w:tcPr>
            <w:tcW w:type="dxa" w:w="2376"/>
            <w:shd w:fill="FFFFFF"/>
            <w:tcMar>
              <w:top w:w="85" w:type="dxa"/>
              <w:start w:w="100" w:type="dxa"/>
              <w:bottom w:w="85" w:type="dxa"/>
              <w:end w:w="100" w:type="dxa"/>
            </w:tcMar>
            <w:vAlign w:val="center"/>
          </w:tcPr>
          <w:p>
            <w:pPr>
              <w:pStyle w:val="TableText"/>
              <w:jc w:val="left"/>
            </w:pPr>
            <w:r>
              <w:rPr>
                <w:sz w:val="17"/>
              </w:rPr>
              <w:t>Fault propagation</w:t>
            </w:r>
          </w:p>
        </w:tc>
        <w:tc>
          <w:tcPr>
            <w:tcW w:type="dxa" w:w="3600"/>
            <w:shd w:fill="FFFFFF"/>
            <w:tcMar>
              <w:top w:w="85" w:type="dxa"/>
              <w:start w:w="100" w:type="dxa"/>
              <w:bottom w:w="85" w:type="dxa"/>
              <w:end w:w="100" w:type="dxa"/>
            </w:tcMar>
            <w:vAlign w:val="center"/>
          </w:tcPr>
          <w:p>
            <w:pPr>
              <w:pStyle w:val="TableText"/>
              <w:jc w:val="left"/>
            </w:pPr>
            <w:r>
              <w:rPr>
                <w:sz w:val="17"/>
              </w:rPr>
              <w:t>Inject nonfinite divergence and missing wave intensity</w:t>
            </w:r>
          </w:p>
        </w:tc>
        <w:tc>
          <w:tcPr>
            <w:tcW w:type="dxa" w:w="2951"/>
            <w:shd w:fill="FFFFFF"/>
            <w:tcMar>
              <w:top w:w="85" w:type="dxa"/>
              <w:start w:w="100" w:type="dxa"/>
              <w:bottom w:w="85" w:type="dxa"/>
              <w:end w:w="100" w:type="dxa"/>
            </w:tcMar>
            <w:vAlign w:val="center"/>
          </w:tcPr>
          <w:p>
            <w:pPr>
              <w:pStyle w:val="TableText"/>
              <w:jc w:val="left"/>
            </w:pPr>
            <w:r>
              <w:rPr>
                <w:sz w:val="17"/>
              </w:rPr>
              <w:t>No zero substitution  status reaches the host</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CPL3D12</w:t>
            </w:r>
          </w:p>
        </w:tc>
        <w:tc>
          <w:tcPr>
            <w:tcW w:type="dxa" w:w="2376"/>
            <w:shd w:fill="EAF1F8"/>
            <w:tcMar>
              <w:top w:w="85" w:type="dxa"/>
              <w:start w:w="100" w:type="dxa"/>
              <w:bottom w:w="85" w:type="dxa"/>
              <w:end w:w="100" w:type="dxa"/>
            </w:tcMar>
            <w:vAlign w:val="center"/>
          </w:tcPr>
          <w:p>
            <w:pPr>
              <w:pStyle w:val="TableText"/>
              <w:jc w:val="left"/>
            </w:pPr>
            <w:r>
              <w:rPr>
                <w:sz w:val="17"/>
              </w:rPr>
              <w:t>Parker and SWMF path identity</w:t>
            </w:r>
          </w:p>
        </w:tc>
        <w:tc>
          <w:tcPr>
            <w:tcW w:type="dxa" w:w="3600"/>
            <w:shd w:fill="EAF1F8"/>
            <w:tcMar>
              <w:top w:w="85" w:type="dxa"/>
              <w:start w:w="100" w:type="dxa"/>
              <w:bottom w:w="85" w:type="dxa"/>
              <w:end w:w="100" w:type="dxa"/>
            </w:tcMar>
            <w:vAlign w:val="center"/>
          </w:tcPr>
          <w:p>
            <w:pPr>
              <w:pStyle w:val="TableText"/>
              <w:jc w:val="left"/>
            </w:pPr>
            <w:r>
              <w:rPr>
                <w:sz w:val="17"/>
              </w:rPr>
              <w:t>Feed analytic Parker values through the SWMF fixture</w:t>
            </w:r>
          </w:p>
        </w:tc>
        <w:tc>
          <w:tcPr>
            <w:tcW w:type="dxa" w:w="2951"/>
            <w:shd w:fill="EAF1F8"/>
            <w:tcMar>
              <w:top w:w="85" w:type="dxa"/>
              <w:start w:w="100" w:type="dxa"/>
              <w:bottom w:w="85" w:type="dxa"/>
              <w:end w:w="100" w:type="dxa"/>
            </w:tcMar>
            <w:vAlign w:val="center"/>
          </w:tcPr>
          <w:p>
            <w:pPr>
              <w:pStyle w:val="TableText"/>
              <w:jc w:val="left"/>
            </w:pPr>
            <w:r>
              <w:rPr>
                <w:sz w:val="17"/>
              </w:rPr>
              <w:t>Mover input records are equivalent within conversion round-off</w:t>
            </w:r>
          </w:p>
        </w:tc>
      </w:tr>
    </w:tbl>
    <w:p>
      <w:pPr>
        <w:pStyle w:val="Heading2"/>
      </w:pPr>
      <w:r>
        <w:t>3 Native AMPS Integration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296"/>
            <w:shd w:fill="17365D"/>
            <w:tcMar>
              <w:top w:w="100" w:type="dxa"/>
              <w:start w:w="110" w:type="dxa"/>
              <w:bottom w:w="100" w:type="dxa"/>
              <w:end w:w="110" w:type="dxa"/>
            </w:tcMar>
            <w:vAlign w:val="center"/>
          </w:tcPr>
          <w:p>
            <w:pPr>
              <w:pStyle w:val="TableText"/>
              <w:jc w:val="center"/>
            </w:pPr>
            <w:r>
              <w:rPr>
                <w:b/>
                <w:color w:val="FFFFFF"/>
                <w:sz w:val="17"/>
              </w:rPr>
              <w:t>ID</w:t>
            </w:r>
          </w:p>
        </w:tc>
        <w:tc>
          <w:tcPr>
            <w:tcW w:type="dxa" w:w="2376"/>
            <w:shd w:fill="17365D"/>
            <w:tcMar>
              <w:top w:w="100" w:type="dxa"/>
              <w:start w:w="110" w:type="dxa"/>
              <w:bottom w:w="100" w:type="dxa"/>
              <w:end w:w="110" w:type="dxa"/>
            </w:tcMar>
            <w:vAlign w:val="center"/>
          </w:tcPr>
          <w:p>
            <w:pPr>
              <w:pStyle w:val="TableText"/>
              <w:jc w:val="center"/>
            </w:pPr>
            <w:r>
              <w:rPr>
                <w:b/>
                <w:color w:val="FFFFFF"/>
                <w:sz w:val="17"/>
              </w:rPr>
              <w:t>Purpose</w:t>
            </w:r>
          </w:p>
        </w:tc>
        <w:tc>
          <w:tcPr>
            <w:tcW w:type="dxa" w:w="3600"/>
            <w:shd w:fill="17365D"/>
            <w:tcMar>
              <w:top w:w="100" w:type="dxa"/>
              <w:start w:w="110" w:type="dxa"/>
              <w:bottom w:w="100" w:type="dxa"/>
              <w:end w:w="110" w:type="dxa"/>
            </w:tcMar>
            <w:vAlign w:val="center"/>
          </w:tcPr>
          <w:p>
            <w:pPr>
              <w:pStyle w:val="TableText"/>
              <w:jc w:val="center"/>
            </w:pPr>
            <w:r>
              <w:rPr>
                <w:b/>
                <w:color w:val="FFFFFF"/>
                <w:sz w:val="17"/>
              </w:rPr>
              <w:t>Setup</w:t>
            </w:r>
          </w:p>
        </w:tc>
        <w:tc>
          <w:tcPr>
            <w:tcW w:type="dxa" w:w="2951"/>
            <w:shd w:fill="17365D"/>
            <w:tcMar>
              <w:top w:w="100" w:type="dxa"/>
              <w:start w:w="110" w:type="dxa"/>
              <w:bottom w:w="100" w:type="dxa"/>
              <w:end w:w="110" w:type="dxa"/>
            </w:tcMar>
            <w:vAlign w:val="center"/>
          </w:tcPr>
          <w:p>
            <w:pPr>
              <w:pStyle w:val="TableText"/>
              <w:jc w:val="center"/>
            </w:pPr>
            <w:r>
              <w:rPr>
                <w:b/>
                <w:color w:val="FFFFFF"/>
                <w:sz w:val="17"/>
              </w:rPr>
              <w:t>Acceptance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NAT3D01</w:t>
            </w:r>
          </w:p>
        </w:tc>
        <w:tc>
          <w:tcPr>
            <w:tcW w:type="dxa" w:w="2376"/>
            <w:shd w:fill="FFFFFF"/>
            <w:tcMar>
              <w:top w:w="85" w:type="dxa"/>
              <w:start w:w="100" w:type="dxa"/>
              <w:bottom w:w="85" w:type="dxa"/>
              <w:end w:w="100" w:type="dxa"/>
            </w:tcMar>
            <w:vAlign w:val="center"/>
          </w:tcPr>
          <w:p>
            <w:pPr>
              <w:pStyle w:val="TableText"/>
              <w:jc w:val="left"/>
            </w:pPr>
            <w:r>
              <w:rPr>
                <w:sz w:val="17"/>
              </w:rPr>
              <w:t>Mesh parity</w:t>
            </w:r>
          </w:p>
        </w:tc>
        <w:tc>
          <w:tcPr>
            <w:tcW w:type="dxa" w:w="3600"/>
            <w:shd w:fill="FFFFFF"/>
            <w:tcMar>
              <w:top w:w="85" w:type="dxa"/>
              <w:start w:w="100" w:type="dxa"/>
              <w:bottom w:w="85" w:type="dxa"/>
              <w:end w:w="100" w:type="dxa"/>
            </w:tcMar>
            <w:vAlign w:val="center"/>
          </w:tcPr>
          <w:p>
            <w:pPr>
              <w:pStyle w:val="TableText"/>
              <w:jc w:val="left"/>
            </w:pPr>
            <w:r>
              <w:rPr>
                <w:sz w:val="17"/>
              </w:rPr>
              <w:t>Build the same configuration with emulator and AMPS</w:t>
            </w:r>
          </w:p>
        </w:tc>
        <w:tc>
          <w:tcPr>
            <w:tcW w:type="dxa" w:w="2951"/>
            <w:shd w:fill="FFFFFF"/>
            <w:tcMar>
              <w:top w:w="85" w:type="dxa"/>
              <w:start w:w="100" w:type="dxa"/>
              <w:bottom w:w="85" w:type="dxa"/>
              <w:end w:w="100" w:type="dxa"/>
            </w:tcMar>
            <w:vAlign w:val="center"/>
          </w:tcPr>
          <w:p>
            <w:pPr>
              <w:pStyle w:val="TableText"/>
              <w:jc w:val="left"/>
            </w:pPr>
            <w:r>
              <w:rPr>
                <w:sz w:val="17"/>
              </w:rPr>
              <w:t>Leaf count and level histogram agree exactly</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NAT3D02</w:t>
            </w:r>
          </w:p>
        </w:tc>
        <w:tc>
          <w:tcPr>
            <w:tcW w:type="dxa" w:w="2376"/>
            <w:shd w:fill="EAF1F8"/>
            <w:tcMar>
              <w:top w:w="85" w:type="dxa"/>
              <w:start w:w="100" w:type="dxa"/>
              <w:bottom w:w="85" w:type="dxa"/>
              <w:end w:w="100" w:type="dxa"/>
            </w:tcMar>
            <w:vAlign w:val="center"/>
          </w:tcPr>
          <w:p>
            <w:pPr>
              <w:pStyle w:val="TableText"/>
              <w:jc w:val="left"/>
            </w:pPr>
            <w:r>
              <w:rPr>
                <w:sz w:val="17"/>
              </w:rPr>
              <w:t>Stored field parity</w:t>
            </w:r>
          </w:p>
        </w:tc>
        <w:tc>
          <w:tcPr>
            <w:tcW w:type="dxa" w:w="3600"/>
            <w:shd w:fill="EAF1F8"/>
            <w:tcMar>
              <w:top w:w="85" w:type="dxa"/>
              <w:start w:w="100" w:type="dxa"/>
              <w:bottom w:w="85" w:type="dxa"/>
              <w:end w:w="100" w:type="dxa"/>
            </w:tcMar>
            <w:vAlign w:val="center"/>
          </w:tcPr>
          <w:p>
            <w:pPr>
              <w:pStyle w:val="TableText"/>
              <w:jc w:val="left"/>
            </w:pPr>
            <w:r>
              <w:rPr>
                <w:sz w:val="17"/>
              </w:rPr>
              <w:t>Compare cell values with direct provider evaluation</w:t>
            </w:r>
          </w:p>
        </w:tc>
        <w:tc>
          <w:tcPr>
            <w:tcW w:type="dxa" w:w="2951"/>
            <w:shd w:fill="EAF1F8"/>
            <w:tcMar>
              <w:top w:w="85" w:type="dxa"/>
              <w:start w:w="100" w:type="dxa"/>
              <w:bottom w:w="85" w:type="dxa"/>
              <w:end w:w="100" w:type="dxa"/>
            </w:tcMar>
            <w:vAlign w:val="center"/>
          </w:tcPr>
          <w:p>
            <w:pPr>
              <w:pStyle w:val="TableText"/>
              <w:jc w:val="left"/>
            </w:pPr>
            <w:r>
              <w:rPr>
                <w:sz w:val="17"/>
              </w:rPr>
              <w:t>Analytic values agree to round-off and carry the same validity</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NAT3D03</w:t>
            </w:r>
          </w:p>
        </w:tc>
        <w:tc>
          <w:tcPr>
            <w:tcW w:type="dxa" w:w="2376"/>
            <w:shd w:fill="FFFFFF"/>
            <w:tcMar>
              <w:top w:w="85" w:type="dxa"/>
              <w:start w:w="100" w:type="dxa"/>
              <w:bottom w:w="85" w:type="dxa"/>
              <w:end w:w="100" w:type="dxa"/>
            </w:tcMar>
            <w:vAlign w:val="center"/>
          </w:tcPr>
          <w:p>
            <w:pPr>
              <w:pStyle w:val="TableText"/>
              <w:jc w:val="left"/>
            </w:pPr>
            <w:r>
              <w:rPr>
                <w:sz w:val="17"/>
              </w:rPr>
              <w:t>Refinement derivatives</w:t>
            </w:r>
          </w:p>
        </w:tc>
        <w:tc>
          <w:tcPr>
            <w:tcW w:type="dxa" w:w="3600"/>
            <w:shd w:fill="FFFFFF"/>
            <w:tcMar>
              <w:top w:w="85" w:type="dxa"/>
              <w:start w:w="100" w:type="dxa"/>
              <w:bottom w:w="85" w:type="dxa"/>
              <w:end w:w="100" w:type="dxa"/>
            </w:tcMar>
            <w:vAlign w:val="center"/>
          </w:tcPr>
          <w:p>
            <w:pPr>
              <w:pStyle w:val="TableText"/>
              <w:jc w:val="left"/>
            </w:pPr>
            <w:r>
              <w:rPr>
                <w:sz w:val="17"/>
              </w:rPr>
              <w:t>Evaluate gradients across coarse-fine boundaries</w:t>
            </w:r>
          </w:p>
        </w:tc>
        <w:tc>
          <w:tcPr>
            <w:tcW w:type="dxa" w:w="2951"/>
            <w:shd w:fill="FFFFFF"/>
            <w:tcMar>
              <w:top w:w="85" w:type="dxa"/>
              <w:start w:w="100" w:type="dxa"/>
              <w:bottom w:w="85" w:type="dxa"/>
              <w:end w:w="100" w:type="dxa"/>
            </w:tcMar>
            <w:vAlign w:val="center"/>
          </w:tcPr>
          <w:p>
            <w:pPr>
              <w:pStyle w:val="TableText"/>
              <w:jc w:val="left"/>
            </w:pPr>
            <w:r>
              <w:rPr>
                <w:sz w:val="17"/>
              </w:rPr>
              <w:t>Interior error below one percent and declared boundary metric below threshold</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NAT3D04</w:t>
            </w:r>
          </w:p>
        </w:tc>
        <w:tc>
          <w:tcPr>
            <w:tcW w:type="dxa" w:w="2376"/>
            <w:shd w:fill="EAF1F8"/>
            <w:tcMar>
              <w:top w:w="85" w:type="dxa"/>
              <w:start w:w="100" w:type="dxa"/>
              <w:bottom w:w="85" w:type="dxa"/>
              <w:end w:w="100" w:type="dxa"/>
            </w:tcMar>
            <w:vAlign w:val="center"/>
          </w:tcPr>
          <w:p>
            <w:pPr>
              <w:pStyle w:val="TableText"/>
              <w:jc w:val="left"/>
            </w:pPr>
            <w:r>
              <w:rPr>
                <w:sz w:val="17"/>
              </w:rPr>
              <w:t>Block crossing</w:t>
            </w:r>
          </w:p>
        </w:tc>
        <w:tc>
          <w:tcPr>
            <w:tcW w:type="dxa" w:w="3600"/>
            <w:shd w:fill="EAF1F8"/>
            <w:tcMar>
              <w:top w:w="85" w:type="dxa"/>
              <w:start w:w="100" w:type="dxa"/>
              <w:bottom w:w="85" w:type="dxa"/>
              <w:end w:w="100" w:type="dxa"/>
            </w:tcMar>
            <w:vAlign w:val="center"/>
          </w:tcPr>
          <w:p>
            <w:pPr>
              <w:pStyle w:val="TableText"/>
              <w:jc w:val="left"/>
            </w:pPr>
            <w:r>
              <w:rPr>
                <w:sz w:val="17"/>
              </w:rPr>
              <w:t>Move particles through many blocks and refinement changes</w:t>
            </w:r>
          </w:p>
        </w:tc>
        <w:tc>
          <w:tcPr>
            <w:tcW w:type="dxa" w:w="2951"/>
            <w:shd w:fill="EAF1F8"/>
            <w:tcMar>
              <w:top w:w="85" w:type="dxa"/>
              <w:start w:w="100" w:type="dxa"/>
              <w:bottom w:w="85" w:type="dxa"/>
              <w:end w:w="100" w:type="dxa"/>
            </w:tcMar>
            <w:vAlign w:val="center"/>
          </w:tcPr>
          <w:p>
            <w:pPr>
              <w:pStyle w:val="TableText"/>
              <w:jc w:val="left"/>
            </w:pPr>
            <w:r>
              <w:rPr>
                <w:sz w:val="17"/>
              </w:rPr>
              <w:t>Continuous trajectories and valid particle-list placement</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NAT3D05</w:t>
            </w:r>
          </w:p>
        </w:tc>
        <w:tc>
          <w:tcPr>
            <w:tcW w:type="dxa" w:w="2376"/>
            <w:shd w:fill="FFFFFF"/>
            <w:tcMar>
              <w:top w:w="85" w:type="dxa"/>
              <w:start w:w="100" w:type="dxa"/>
              <w:bottom w:w="85" w:type="dxa"/>
              <w:end w:w="100" w:type="dxa"/>
            </w:tcMar>
            <w:vAlign w:val="center"/>
          </w:tcPr>
          <w:p>
            <w:pPr>
              <w:pStyle w:val="TableText"/>
              <w:jc w:val="left"/>
            </w:pPr>
            <w:r>
              <w:rPr>
                <w:sz w:val="17"/>
              </w:rPr>
              <w:t>Particle ledger</w:t>
            </w:r>
          </w:p>
        </w:tc>
        <w:tc>
          <w:tcPr>
            <w:tcW w:type="dxa" w:w="3600"/>
            <w:shd w:fill="FFFFFF"/>
            <w:tcMar>
              <w:top w:w="85" w:type="dxa"/>
              <w:start w:w="100" w:type="dxa"/>
              <w:bottom w:w="85" w:type="dxa"/>
              <w:end w:w="100" w:type="dxa"/>
            </w:tcMar>
            <w:vAlign w:val="center"/>
          </w:tcPr>
          <w:p>
            <w:pPr>
              <w:pStyle w:val="TableText"/>
              <w:jc w:val="left"/>
            </w:pPr>
            <w:r>
              <w:rPr>
                <w:sz w:val="17"/>
              </w:rPr>
              <w:t>Run injection  absorption  escape  invalid and active outcomes</w:t>
            </w:r>
          </w:p>
        </w:tc>
        <w:tc>
          <w:tcPr>
            <w:tcW w:type="dxa" w:w="2951"/>
            <w:shd w:fill="FFFFFF"/>
            <w:tcMar>
              <w:top w:w="85" w:type="dxa"/>
              <w:start w:w="100" w:type="dxa"/>
              <w:bottom w:w="85" w:type="dxa"/>
              <w:end w:w="100" w:type="dxa"/>
            </w:tcMar>
            <w:vAlign w:val="center"/>
          </w:tcPr>
          <w:p>
            <w:pPr>
              <w:pStyle w:val="TableText"/>
              <w:jc w:val="left"/>
            </w:pPr>
            <w:r>
              <w:rPr>
                <w:sz w:val="17"/>
              </w:rPr>
              <w:t>Exact integer closure by species and step</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NAT3D06</w:t>
            </w:r>
          </w:p>
        </w:tc>
        <w:tc>
          <w:tcPr>
            <w:tcW w:type="dxa" w:w="2376"/>
            <w:shd w:fill="EAF1F8"/>
            <w:tcMar>
              <w:top w:w="85" w:type="dxa"/>
              <w:start w:w="100" w:type="dxa"/>
              <w:bottom w:w="85" w:type="dxa"/>
              <w:end w:w="100" w:type="dxa"/>
            </w:tcMar>
            <w:vAlign w:val="center"/>
          </w:tcPr>
          <w:p>
            <w:pPr>
              <w:pStyle w:val="TableText"/>
              <w:jc w:val="left"/>
            </w:pPr>
            <w:r>
              <w:rPr>
                <w:sz w:val="17"/>
              </w:rPr>
              <w:t>Sampling isolation</w:t>
            </w:r>
          </w:p>
        </w:tc>
        <w:tc>
          <w:tcPr>
            <w:tcW w:type="dxa" w:w="3600"/>
            <w:shd w:fill="EAF1F8"/>
            <w:tcMar>
              <w:top w:w="85" w:type="dxa"/>
              <w:start w:w="100" w:type="dxa"/>
              <w:bottom w:w="85" w:type="dxa"/>
              <w:end w:w="100" w:type="dxa"/>
            </w:tcMar>
            <w:vAlign w:val="center"/>
          </w:tcPr>
          <w:p>
            <w:pPr>
              <w:pStyle w:val="TableText"/>
              <w:jc w:val="left"/>
            </w:pPr>
            <w:r>
              <w:rPr>
                <w:sz w:val="17"/>
              </w:rPr>
              <w:t>Enable and disable each sampler</w:t>
            </w:r>
          </w:p>
        </w:tc>
        <w:tc>
          <w:tcPr>
            <w:tcW w:type="dxa" w:w="2951"/>
            <w:shd w:fill="EAF1F8"/>
            <w:tcMar>
              <w:top w:w="85" w:type="dxa"/>
              <w:start w:w="100" w:type="dxa"/>
              <w:bottom w:w="85" w:type="dxa"/>
              <w:end w:w="100" w:type="dxa"/>
            </w:tcMar>
            <w:vAlign w:val="center"/>
          </w:tcPr>
          <w:p>
            <w:pPr>
              <w:pStyle w:val="TableText"/>
              <w:jc w:val="left"/>
            </w:pPr>
            <w:r>
              <w:rPr>
                <w:sz w:val="17"/>
              </w:rPr>
              <w:t>Particle trajectories and weights are unchanged</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NAT3D07</w:t>
            </w:r>
          </w:p>
        </w:tc>
        <w:tc>
          <w:tcPr>
            <w:tcW w:type="dxa" w:w="2376"/>
            <w:shd w:fill="FFFFFF"/>
            <w:tcMar>
              <w:top w:w="85" w:type="dxa"/>
              <w:start w:w="100" w:type="dxa"/>
              <w:bottom w:w="85" w:type="dxa"/>
              <w:end w:w="100" w:type="dxa"/>
            </w:tcMar>
            <w:vAlign w:val="center"/>
          </w:tcPr>
          <w:p>
            <w:pPr>
              <w:pStyle w:val="TableText"/>
              <w:jc w:val="left"/>
            </w:pPr>
            <w:r>
              <w:rPr>
                <w:sz w:val="17"/>
              </w:rPr>
              <w:t>Output schema</w:t>
            </w:r>
          </w:p>
        </w:tc>
        <w:tc>
          <w:tcPr>
            <w:tcW w:type="dxa" w:w="3600"/>
            <w:shd w:fill="FFFFFF"/>
            <w:tcMar>
              <w:top w:w="85" w:type="dxa"/>
              <w:start w:w="100" w:type="dxa"/>
              <w:bottom w:w="85" w:type="dxa"/>
              <w:end w:w="100" w:type="dxa"/>
            </w:tcMar>
            <w:vAlign w:val="center"/>
          </w:tcPr>
          <w:p>
            <w:pPr>
              <w:pStyle w:val="TableText"/>
              <w:jc w:val="left"/>
            </w:pPr>
            <w:r>
              <w:rPr>
                <w:sz w:val="17"/>
              </w:rPr>
              <w:t>Read every CSV and Tecplot product with an independent parser</w:t>
            </w:r>
          </w:p>
        </w:tc>
        <w:tc>
          <w:tcPr>
            <w:tcW w:type="dxa" w:w="2951"/>
            <w:shd w:fill="FFFFFF"/>
            <w:tcMar>
              <w:top w:w="85" w:type="dxa"/>
              <w:start w:w="100" w:type="dxa"/>
              <w:bottom w:w="85" w:type="dxa"/>
              <w:end w:w="100" w:type="dxa"/>
            </w:tcMar>
            <w:vAlign w:val="center"/>
          </w:tcPr>
          <w:p>
            <w:pPr>
              <w:pStyle w:val="TableText"/>
              <w:jc w:val="left"/>
            </w:pPr>
            <w:r>
              <w:rPr>
                <w:sz w:val="17"/>
              </w:rPr>
              <w:t>Unit-bearing schema and declared dimensions are exact</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NAT3D08</w:t>
            </w:r>
          </w:p>
        </w:tc>
        <w:tc>
          <w:tcPr>
            <w:tcW w:type="dxa" w:w="2376"/>
            <w:shd w:fill="EAF1F8"/>
            <w:tcMar>
              <w:top w:w="85" w:type="dxa"/>
              <w:start w:w="100" w:type="dxa"/>
              <w:bottom w:w="85" w:type="dxa"/>
              <w:end w:w="100" w:type="dxa"/>
            </w:tcMar>
            <w:vAlign w:val="center"/>
          </w:tcPr>
          <w:p>
            <w:pPr>
              <w:pStyle w:val="TableText"/>
              <w:jc w:val="left"/>
            </w:pPr>
            <w:r>
              <w:rPr>
                <w:sz w:val="17"/>
              </w:rPr>
              <w:t>Shock crossing</w:t>
            </w:r>
          </w:p>
        </w:tc>
        <w:tc>
          <w:tcPr>
            <w:tcW w:type="dxa" w:w="3600"/>
            <w:shd w:fill="EAF1F8"/>
            <w:tcMar>
              <w:top w:w="85" w:type="dxa"/>
              <w:start w:w="100" w:type="dxa"/>
              <w:bottom w:w="85" w:type="dxa"/>
              <w:end w:w="100" w:type="dxa"/>
            </w:tcMar>
            <w:vAlign w:val="center"/>
          </w:tcPr>
          <w:p>
            <w:pPr>
              <w:pStyle w:val="TableText"/>
              <w:jc w:val="left"/>
            </w:pPr>
            <w:r>
              <w:rPr>
                <w:sz w:val="17"/>
              </w:rPr>
              <w:t>Analytic expanding shock and controlled particles</w:t>
            </w:r>
          </w:p>
        </w:tc>
        <w:tc>
          <w:tcPr>
            <w:tcW w:type="dxa" w:w="2951"/>
            <w:shd w:fill="EAF1F8"/>
            <w:tcMar>
              <w:top w:w="85" w:type="dxa"/>
              <w:start w:w="100" w:type="dxa"/>
              <w:bottom w:w="85" w:type="dxa"/>
              <w:end w:w="100" w:type="dxa"/>
            </w:tcMar>
            <w:vAlign w:val="center"/>
          </w:tcPr>
          <w:p>
            <w:pPr>
              <w:pStyle w:val="TableText"/>
              <w:jc w:val="left"/>
            </w:pPr>
            <w:r>
              <w:rPr>
                <w:sz w:val="17"/>
              </w:rPr>
              <w:t>First intersection time within one substep and no duplicate injection</w:t>
            </w:r>
          </w:p>
        </w:tc>
      </w:tr>
    </w:tbl>
    <w:p>
      <w:pPr>
        <w:pStyle w:val="Heading2"/>
      </w:pPr>
      <w:r>
        <w:t>4 MPI Restart and Performance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296"/>
            <w:shd w:fill="17365D"/>
            <w:tcMar>
              <w:top w:w="100" w:type="dxa"/>
              <w:start w:w="110" w:type="dxa"/>
              <w:bottom w:w="100" w:type="dxa"/>
              <w:end w:w="110" w:type="dxa"/>
            </w:tcMar>
            <w:vAlign w:val="center"/>
          </w:tcPr>
          <w:p>
            <w:pPr>
              <w:pStyle w:val="TableText"/>
              <w:jc w:val="center"/>
            </w:pPr>
            <w:r>
              <w:rPr>
                <w:b/>
                <w:color w:val="FFFFFF"/>
                <w:sz w:val="17"/>
              </w:rPr>
              <w:t>ID</w:t>
            </w:r>
          </w:p>
        </w:tc>
        <w:tc>
          <w:tcPr>
            <w:tcW w:type="dxa" w:w="2376"/>
            <w:shd w:fill="17365D"/>
            <w:tcMar>
              <w:top w:w="100" w:type="dxa"/>
              <w:start w:w="110" w:type="dxa"/>
              <w:bottom w:w="100" w:type="dxa"/>
              <w:end w:w="110" w:type="dxa"/>
            </w:tcMar>
            <w:vAlign w:val="center"/>
          </w:tcPr>
          <w:p>
            <w:pPr>
              <w:pStyle w:val="TableText"/>
              <w:jc w:val="center"/>
            </w:pPr>
            <w:r>
              <w:rPr>
                <w:b/>
                <w:color w:val="FFFFFF"/>
                <w:sz w:val="17"/>
              </w:rPr>
              <w:t>Purpose</w:t>
            </w:r>
          </w:p>
        </w:tc>
        <w:tc>
          <w:tcPr>
            <w:tcW w:type="dxa" w:w="3600"/>
            <w:shd w:fill="17365D"/>
            <w:tcMar>
              <w:top w:w="100" w:type="dxa"/>
              <w:start w:w="110" w:type="dxa"/>
              <w:bottom w:w="100" w:type="dxa"/>
              <w:end w:w="110" w:type="dxa"/>
            </w:tcMar>
            <w:vAlign w:val="center"/>
          </w:tcPr>
          <w:p>
            <w:pPr>
              <w:pStyle w:val="TableText"/>
              <w:jc w:val="center"/>
            </w:pPr>
            <w:r>
              <w:rPr>
                <w:b/>
                <w:color w:val="FFFFFF"/>
                <w:sz w:val="17"/>
              </w:rPr>
              <w:t>Setup</w:t>
            </w:r>
          </w:p>
        </w:tc>
        <w:tc>
          <w:tcPr>
            <w:tcW w:type="dxa" w:w="2951"/>
            <w:shd w:fill="17365D"/>
            <w:tcMar>
              <w:top w:w="100" w:type="dxa"/>
              <w:start w:w="110" w:type="dxa"/>
              <w:bottom w:w="100" w:type="dxa"/>
              <w:end w:w="110" w:type="dxa"/>
            </w:tcMar>
            <w:vAlign w:val="center"/>
          </w:tcPr>
          <w:p>
            <w:pPr>
              <w:pStyle w:val="TableText"/>
              <w:jc w:val="center"/>
            </w:pPr>
            <w:r>
              <w:rPr>
                <w:b/>
                <w:color w:val="FFFFFF"/>
                <w:sz w:val="17"/>
              </w:rPr>
              <w:t>Acceptance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MPI3D01</w:t>
            </w:r>
          </w:p>
        </w:tc>
        <w:tc>
          <w:tcPr>
            <w:tcW w:type="dxa" w:w="2376"/>
            <w:shd w:fill="FFFFFF"/>
            <w:tcMar>
              <w:top w:w="85" w:type="dxa"/>
              <w:start w:w="100" w:type="dxa"/>
              <w:bottom w:w="85" w:type="dxa"/>
              <w:end w:w="100" w:type="dxa"/>
            </w:tcMar>
            <w:vAlign w:val="center"/>
          </w:tcPr>
          <w:p>
            <w:pPr>
              <w:pStyle w:val="TableText"/>
              <w:jc w:val="left"/>
            </w:pPr>
            <w:r>
              <w:rPr>
                <w:sz w:val="17"/>
              </w:rPr>
              <w:t>Rank reproducibility</w:t>
            </w:r>
          </w:p>
        </w:tc>
        <w:tc>
          <w:tcPr>
            <w:tcW w:type="dxa" w:w="3600"/>
            <w:shd w:fill="FFFFFF"/>
            <w:tcMar>
              <w:top w:w="85" w:type="dxa"/>
              <w:start w:w="100" w:type="dxa"/>
              <w:bottom w:w="85" w:type="dxa"/>
              <w:end w:w="100" w:type="dxa"/>
            </w:tcMar>
            <w:vAlign w:val="center"/>
          </w:tcPr>
          <w:p>
            <w:pPr>
              <w:pStyle w:val="TableText"/>
              <w:jc w:val="left"/>
            </w:pPr>
            <w:r>
              <w:rPr>
                <w:sz w:val="17"/>
              </w:rPr>
              <w:t>Run one two four eight and sixty-four ranks</w:t>
            </w:r>
          </w:p>
        </w:tc>
        <w:tc>
          <w:tcPr>
            <w:tcW w:type="dxa" w:w="2951"/>
            <w:shd w:fill="FFFFFF"/>
            <w:tcMar>
              <w:top w:w="85" w:type="dxa"/>
              <w:start w:w="100" w:type="dxa"/>
              <w:bottom w:w="85" w:type="dxa"/>
              <w:end w:w="100" w:type="dxa"/>
            </w:tcMar>
            <w:vAlign w:val="center"/>
          </w:tcPr>
          <w:p>
            <w:pPr>
              <w:pStyle w:val="TableText"/>
              <w:jc w:val="left"/>
            </w:pPr>
            <w:r>
              <w:rPr>
                <w:sz w:val="17"/>
              </w:rPr>
              <w:t>Declared deterministic products are bitwise identical</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MPI3D02</w:t>
            </w:r>
          </w:p>
        </w:tc>
        <w:tc>
          <w:tcPr>
            <w:tcW w:type="dxa" w:w="2376"/>
            <w:shd w:fill="EAF1F8"/>
            <w:tcMar>
              <w:top w:w="85" w:type="dxa"/>
              <w:start w:w="100" w:type="dxa"/>
              <w:bottom w:w="85" w:type="dxa"/>
              <w:end w:w="100" w:type="dxa"/>
            </w:tcMar>
            <w:vAlign w:val="center"/>
          </w:tcPr>
          <w:p>
            <w:pPr>
              <w:pStyle w:val="TableText"/>
              <w:jc w:val="left"/>
            </w:pPr>
            <w:r>
              <w:rPr>
                <w:sz w:val="17"/>
              </w:rPr>
              <w:t>Reduction stability</w:t>
            </w:r>
          </w:p>
        </w:tc>
        <w:tc>
          <w:tcPr>
            <w:tcW w:type="dxa" w:w="3600"/>
            <w:shd w:fill="EAF1F8"/>
            <w:tcMar>
              <w:top w:w="85" w:type="dxa"/>
              <w:start w:w="100" w:type="dxa"/>
              <w:bottom w:w="85" w:type="dxa"/>
              <w:end w:w="100" w:type="dxa"/>
            </w:tcMar>
            <w:vAlign w:val="center"/>
          </w:tcPr>
          <w:p>
            <w:pPr>
              <w:pStyle w:val="TableText"/>
              <w:jc w:val="left"/>
            </w:pPr>
            <w:r>
              <w:rPr>
                <w:sz w:val="17"/>
              </w:rPr>
              <w:t>Change reduction tree and decomposition</w:t>
            </w:r>
          </w:p>
        </w:tc>
        <w:tc>
          <w:tcPr>
            <w:tcW w:type="dxa" w:w="2951"/>
            <w:shd w:fill="EAF1F8"/>
            <w:tcMar>
              <w:top w:w="85" w:type="dxa"/>
              <w:start w:w="100" w:type="dxa"/>
              <w:bottom w:w="85" w:type="dxa"/>
              <w:end w:w="100" w:type="dxa"/>
            </w:tcMar>
            <w:vAlign w:val="center"/>
          </w:tcPr>
          <w:p>
            <w:pPr>
              <w:pStyle w:val="TableText"/>
              <w:jc w:val="left"/>
            </w:pPr>
            <w:r>
              <w:rPr>
                <w:sz w:val="17"/>
              </w:rPr>
              <w:t>Integer ledgers exact and floating products use the documented reproducible reduction</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MPI3D03</w:t>
            </w:r>
          </w:p>
        </w:tc>
        <w:tc>
          <w:tcPr>
            <w:tcW w:type="dxa" w:w="2376"/>
            <w:shd w:fill="FFFFFF"/>
            <w:tcMar>
              <w:top w:w="85" w:type="dxa"/>
              <w:start w:w="100" w:type="dxa"/>
              <w:bottom w:w="85" w:type="dxa"/>
              <w:end w:w="100" w:type="dxa"/>
            </w:tcMar>
            <w:vAlign w:val="center"/>
          </w:tcPr>
          <w:p>
            <w:pPr>
              <w:pStyle w:val="TableText"/>
              <w:jc w:val="left"/>
            </w:pPr>
            <w:r>
              <w:rPr>
                <w:sz w:val="17"/>
              </w:rPr>
              <w:t>Load balance</w:t>
            </w:r>
          </w:p>
        </w:tc>
        <w:tc>
          <w:tcPr>
            <w:tcW w:type="dxa" w:w="3600"/>
            <w:shd w:fill="FFFFFF"/>
            <w:tcMar>
              <w:top w:w="85" w:type="dxa"/>
              <w:start w:w="100" w:type="dxa"/>
              <w:bottom w:w="85" w:type="dxa"/>
              <w:end w:w="100" w:type="dxa"/>
            </w:tcMar>
            <w:vAlign w:val="center"/>
          </w:tcPr>
          <w:p>
            <w:pPr>
              <w:pStyle w:val="TableText"/>
              <w:jc w:val="left"/>
            </w:pPr>
            <w:r>
              <w:rPr>
                <w:sz w:val="17"/>
              </w:rPr>
              <w:t>Strongly refined tube plus nonuniform particles</w:t>
            </w:r>
          </w:p>
        </w:tc>
        <w:tc>
          <w:tcPr>
            <w:tcW w:type="dxa" w:w="2951"/>
            <w:shd w:fill="FFFFFF"/>
            <w:tcMar>
              <w:top w:w="85" w:type="dxa"/>
              <w:start w:w="100" w:type="dxa"/>
              <w:bottom w:w="85" w:type="dxa"/>
              <w:end w:w="100" w:type="dxa"/>
            </w:tcMar>
            <w:vAlign w:val="center"/>
          </w:tcPr>
          <w:p>
            <w:pPr>
              <w:pStyle w:val="TableText"/>
              <w:jc w:val="left"/>
            </w:pPr>
            <w:r>
              <w:rPr>
                <w:sz w:val="17"/>
              </w:rPr>
              <w:t>Maximum to mean rank work below the declared bound</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RST3D01</w:t>
            </w:r>
          </w:p>
        </w:tc>
        <w:tc>
          <w:tcPr>
            <w:tcW w:type="dxa" w:w="2376"/>
            <w:shd w:fill="EAF1F8"/>
            <w:tcMar>
              <w:top w:w="85" w:type="dxa"/>
              <w:start w:w="100" w:type="dxa"/>
              <w:bottom w:w="85" w:type="dxa"/>
              <w:end w:w="100" w:type="dxa"/>
            </w:tcMar>
            <w:vAlign w:val="center"/>
          </w:tcPr>
          <w:p>
            <w:pPr>
              <w:pStyle w:val="TableText"/>
              <w:jc w:val="left"/>
            </w:pPr>
            <w:r>
              <w:rPr>
                <w:sz w:val="17"/>
              </w:rPr>
              <w:t>Exact restart</w:t>
            </w:r>
          </w:p>
        </w:tc>
        <w:tc>
          <w:tcPr>
            <w:tcW w:type="dxa" w:w="3600"/>
            <w:shd w:fill="EAF1F8"/>
            <w:tcMar>
              <w:top w:w="85" w:type="dxa"/>
              <w:start w:w="100" w:type="dxa"/>
              <w:bottom w:w="85" w:type="dxa"/>
              <w:end w:w="100" w:type="dxa"/>
            </w:tcMar>
            <w:vAlign w:val="center"/>
          </w:tcPr>
          <w:p>
            <w:pPr>
              <w:pStyle w:val="TableText"/>
              <w:jc w:val="left"/>
            </w:pPr>
            <w:r>
              <w:rPr>
                <w:sz w:val="17"/>
              </w:rPr>
              <w:t>Checkpoint at N and compare with uninterrupted 2N run</w:t>
            </w:r>
          </w:p>
        </w:tc>
        <w:tc>
          <w:tcPr>
            <w:tcW w:type="dxa" w:w="2951"/>
            <w:shd w:fill="EAF1F8"/>
            <w:tcMar>
              <w:top w:w="85" w:type="dxa"/>
              <w:start w:w="100" w:type="dxa"/>
              <w:bottom w:w="85" w:type="dxa"/>
              <w:end w:w="100" w:type="dxa"/>
            </w:tcMar>
            <w:vAlign w:val="center"/>
          </w:tcPr>
          <w:p>
            <w:pPr>
              <w:pStyle w:val="TableText"/>
              <w:jc w:val="left"/>
            </w:pPr>
            <w:r>
              <w:rPr>
                <w:sz w:val="17"/>
              </w:rPr>
              <w:t>Particle  RNG  snapshot  source and sampling state are bitwise identical</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RST3D02</w:t>
            </w:r>
          </w:p>
        </w:tc>
        <w:tc>
          <w:tcPr>
            <w:tcW w:type="dxa" w:w="2376"/>
            <w:shd w:fill="FFFFFF"/>
            <w:tcMar>
              <w:top w:w="85" w:type="dxa"/>
              <w:start w:w="100" w:type="dxa"/>
              <w:bottom w:w="85" w:type="dxa"/>
              <w:end w:w="100" w:type="dxa"/>
            </w:tcMar>
            <w:vAlign w:val="center"/>
          </w:tcPr>
          <w:p>
            <w:pPr>
              <w:pStyle w:val="TableText"/>
              <w:jc w:val="left"/>
            </w:pPr>
            <w:r>
              <w:rPr>
                <w:sz w:val="17"/>
              </w:rPr>
              <w:t>Fingerprint rejection</w:t>
            </w:r>
          </w:p>
        </w:tc>
        <w:tc>
          <w:tcPr>
            <w:tcW w:type="dxa" w:w="3600"/>
            <w:shd w:fill="FFFFFF"/>
            <w:tcMar>
              <w:top w:w="85" w:type="dxa"/>
              <w:start w:w="100" w:type="dxa"/>
              <w:bottom w:w="85" w:type="dxa"/>
              <w:end w:w="100" w:type="dxa"/>
            </w:tcMar>
            <w:vAlign w:val="center"/>
          </w:tcPr>
          <w:p>
            <w:pPr>
              <w:pStyle w:val="TableText"/>
              <w:jc w:val="left"/>
            </w:pPr>
            <w:r>
              <w:rPr>
                <w:sz w:val="17"/>
              </w:rPr>
              <w:t>Change one physics option before restart</w:t>
            </w:r>
          </w:p>
        </w:tc>
        <w:tc>
          <w:tcPr>
            <w:tcW w:type="dxa" w:w="2951"/>
            <w:shd w:fill="FFFFFF"/>
            <w:tcMar>
              <w:top w:w="85" w:type="dxa"/>
              <w:start w:w="100" w:type="dxa"/>
              <w:bottom w:w="85" w:type="dxa"/>
              <w:end w:w="100" w:type="dxa"/>
            </w:tcMar>
            <w:vAlign w:val="center"/>
          </w:tcPr>
          <w:p>
            <w:pPr>
              <w:pStyle w:val="TableText"/>
              <w:jc w:val="left"/>
            </w:pPr>
            <w:r>
              <w:rPr>
                <w:sz w:val="17"/>
              </w:rPr>
              <w:t>Rejected before state mutation with both fingerprints</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RST3D03</w:t>
            </w:r>
          </w:p>
        </w:tc>
        <w:tc>
          <w:tcPr>
            <w:tcW w:type="dxa" w:w="2376"/>
            <w:shd w:fill="EAF1F8"/>
            <w:tcMar>
              <w:top w:w="85" w:type="dxa"/>
              <w:start w:w="100" w:type="dxa"/>
              <w:bottom w:w="85" w:type="dxa"/>
              <w:end w:w="100" w:type="dxa"/>
            </w:tcMar>
            <w:vAlign w:val="center"/>
          </w:tcPr>
          <w:p>
            <w:pPr>
              <w:pStyle w:val="TableText"/>
              <w:jc w:val="left"/>
            </w:pPr>
            <w:r>
              <w:rPr>
                <w:sz w:val="17"/>
              </w:rPr>
              <w:t>Snapshot compatibility</w:t>
            </w:r>
          </w:p>
        </w:tc>
        <w:tc>
          <w:tcPr>
            <w:tcW w:type="dxa" w:w="3600"/>
            <w:shd w:fill="EAF1F8"/>
            <w:tcMar>
              <w:top w:w="85" w:type="dxa"/>
              <w:start w:w="100" w:type="dxa"/>
              <w:bottom w:w="85" w:type="dxa"/>
              <w:end w:w="100" w:type="dxa"/>
            </w:tcMar>
            <w:vAlign w:val="center"/>
          </w:tcPr>
          <w:p>
            <w:pPr>
              <w:pStyle w:val="TableText"/>
              <w:jc w:val="left"/>
            </w:pPr>
            <w:r>
              <w:rPr>
                <w:sz w:val="17"/>
              </w:rPr>
              <w:t>Restart with missing or incompatible coupled generation</w:t>
            </w:r>
          </w:p>
        </w:tc>
        <w:tc>
          <w:tcPr>
            <w:tcW w:type="dxa" w:w="2951"/>
            <w:shd w:fill="EAF1F8"/>
            <w:tcMar>
              <w:top w:w="85" w:type="dxa"/>
              <w:start w:w="100" w:type="dxa"/>
              <w:bottom w:w="85" w:type="dxa"/>
              <w:end w:w="100" w:type="dxa"/>
            </w:tcMar>
            <w:vAlign w:val="center"/>
          </w:tcPr>
          <w:p>
            <w:pPr>
              <w:pStyle w:val="TableText"/>
              <w:jc w:val="left"/>
            </w:pPr>
            <w:r>
              <w:rPr>
                <w:sz w:val="17"/>
              </w:rPr>
              <w:t>Waits for or rejects the snapshot according to the declared policy</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PERF3D01</w:t>
            </w:r>
          </w:p>
        </w:tc>
        <w:tc>
          <w:tcPr>
            <w:tcW w:type="dxa" w:w="2376"/>
            <w:shd w:fill="FFFFFF"/>
            <w:tcMar>
              <w:top w:w="85" w:type="dxa"/>
              <w:start w:w="100" w:type="dxa"/>
              <w:bottom w:w="85" w:type="dxa"/>
              <w:end w:w="100" w:type="dxa"/>
            </w:tcMar>
            <w:vAlign w:val="center"/>
          </w:tcPr>
          <w:p>
            <w:pPr>
              <w:pStyle w:val="TableText"/>
              <w:jc w:val="left"/>
            </w:pPr>
            <w:r>
              <w:rPr>
                <w:sz w:val="17"/>
              </w:rPr>
              <w:t>Memory budget</w:t>
            </w:r>
          </w:p>
        </w:tc>
        <w:tc>
          <w:tcPr>
            <w:tcW w:type="dxa" w:w="3600"/>
            <w:shd w:fill="FFFFFF"/>
            <w:tcMar>
              <w:top w:w="85" w:type="dxa"/>
              <w:start w:w="100" w:type="dxa"/>
              <w:bottom w:w="85" w:type="dxa"/>
              <w:end w:w="100" w:type="dxa"/>
            </w:tcMar>
            <w:vAlign w:val="center"/>
          </w:tcPr>
          <w:p>
            <w:pPr>
              <w:pStyle w:val="TableText"/>
              <w:jc w:val="left"/>
            </w:pPr>
            <w:r>
              <w:rPr>
                <w:sz w:val="17"/>
              </w:rPr>
              <w:t>Reference Earth and Mars meshes</w:t>
            </w:r>
          </w:p>
        </w:tc>
        <w:tc>
          <w:tcPr>
            <w:tcW w:type="dxa" w:w="2951"/>
            <w:shd w:fill="FFFFFF"/>
            <w:tcMar>
              <w:top w:w="85" w:type="dxa"/>
              <w:start w:w="100" w:type="dxa"/>
              <w:bottom w:w="85" w:type="dxa"/>
              <w:end w:w="100" w:type="dxa"/>
            </w:tcMar>
            <w:vAlign w:val="center"/>
          </w:tcPr>
          <w:p>
            <w:pPr>
              <w:pStyle w:val="TableText"/>
              <w:jc w:val="left"/>
            </w:pPr>
            <w:r>
              <w:rPr>
                <w:sz w:val="17"/>
              </w:rPr>
              <w:t>Measured allocation no greater than declared budget plus allocator tolerance</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PERF3D02</w:t>
            </w:r>
          </w:p>
        </w:tc>
        <w:tc>
          <w:tcPr>
            <w:tcW w:type="dxa" w:w="2376"/>
            <w:shd w:fill="EAF1F8"/>
            <w:tcMar>
              <w:top w:w="85" w:type="dxa"/>
              <w:start w:w="100" w:type="dxa"/>
              <w:bottom w:w="85" w:type="dxa"/>
              <w:end w:w="100" w:type="dxa"/>
            </w:tcMar>
            <w:vAlign w:val="center"/>
          </w:tcPr>
          <w:p>
            <w:pPr>
              <w:pStyle w:val="TableText"/>
              <w:jc w:val="left"/>
            </w:pPr>
            <w:r>
              <w:rPr>
                <w:sz w:val="17"/>
              </w:rPr>
              <w:t>Mover throughput</w:t>
            </w:r>
          </w:p>
        </w:tc>
        <w:tc>
          <w:tcPr>
            <w:tcW w:type="dxa" w:w="3600"/>
            <w:shd w:fill="EAF1F8"/>
            <w:tcMar>
              <w:top w:w="85" w:type="dxa"/>
              <w:start w:w="100" w:type="dxa"/>
              <w:bottom w:w="85" w:type="dxa"/>
              <w:end w:w="100" w:type="dxa"/>
            </w:tcMar>
            <w:vAlign w:val="center"/>
          </w:tcPr>
          <w:p>
            <w:pPr>
              <w:pStyle w:val="TableText"/>
              <w:jc w:val="left"/>
            </w:pPr>
            <w:r>
              <w:rPr>
                <w:sz w:val="17"/>
              </w:rPr>
              <w:t>Fixed particle and mesh benchmark</w:t>
            </w:r>
          </w:p>
        </w:tc>
        <w:tc>
          <w:tcPr>
            <w:tcW w:type="dxa" w:w="2951"/>
            <w:shd w:fill="EAF1F8"/>
            <w:tcMar>
              <w:top w:w="85" w:type="dxa"/>
              <w:start w:w="100" w:type="dxa"/>
              <w:bottom w:w="85" w:type="dxa"/>
              <w:end w:w="100" w:type="dxa"/>
            </w:tcMar>
            <w:vAlign w:val="center"/>
          </w:tcPr>
          <w:p>
            <w:pPr>
              <w:pStyle w:val="TableText"/>
              <w:jc w:val="left"/>
            </w:pPr>
            <w:r>
              <w:rPr>
                <w:sz w:val="17"/>
              </w:rPr>
              <w:t>Regression threshold based on an archived baseline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PERF3D03</w:t>
            </w:r>
          </w:p>
        </w:tc>
        <w:tc>
          <w:tcPr>
            <w:tcW w:type="dxa" w:w="2376"/>
            <w:shd w:fill="FFFFFF"/>
            <w:tcMar>
              <w:top w:w="85" w:type="dxa"/>
              <w:start w:w="100" w:type="dxa"/>
              <w:bottom w:w="85" w:type="dxa"/>
              <w:end w:w="100" w:type="dxa"/>
            </w:tcMar>
            <w:vAlign w:val="center"/>
          </w:tcPr>
          <w:p>
            <w:pPr>
              <w:pStyle w:val="TableText"/>
              <w:jc w:val="left"/>
            </w:pPr>
            <w:r>
              <w:rPr>
                <w:sz w:val="17"/>
              </w:rPr>
              <w:t>Coupling overhead</w:t>
            </w:r>
          </w:p>
        </w:tc>
        <w:tc>
          <w:tcPr>
            <w:tcW w:type="dxa" w:w="3600"/>
            <w:shd w:fill="FFFFFF"/>
            <w:tcMar>
              <w:top w:w="85" w:type="dxa"/>
              <w:start w:w="100" w:type="dxa"/>
              <w:bottom w:w="85" w:type="dxa"/>
              <w:end w:w="100" w:type="dxa"/>
            </w:tcMar>
            <w:vAlign w:val="center"/>
          </w:tcPr>
          <w:p>
            <w:pPr>
              <w:pStyle w:val="TableText"/>
              <w:jc w:val="left"/>
            </w:pPr>
            <w:r>
              <w:rPr>
                <w:sz w:val="17"/>
              </w:rPr>
              <w:t>Measure receive  validation and publication separately</w:t>
            </w:r>
          </w:p>
        </w:tc>
        <w:tc>
          <w:tcPr>
            <w:tcW w:type="dxa" w:w="2951"/>
            <w:shd w:fill="FFFFFF"/>
            <w:tcMar>
              <w:top w:w="85" w:type="dxa"/>
              <w:start w:w="100" w:type="dxa"/>
              <w:bottom w:w="85" w:type="dxa"/>
              <w:end w:w="100" w:type="dxa"/>
            </w:tcMar>
            <w:vAlign w:val="center"/>
          </w:tcPr>
          <w:p>
            <w:pPr>
              <w:pStyle w:val="TableText"/>
              <w:jc w:val="left"/>
            </w:pPr>
            <w:r>
              <w:rPr>
                <w:sz w:val="17"/>
              </w:rPr>
              <w:t>No per-particle prepare call and overhead reported per snapshot</w:t>
            </w:r>
          </w:p>
        </w:tc>
      </w:tr>
    </w:tbl>
    <w:p>
      <w:pPr>
        <w:pStyle w:val="Heading1"/>
      </w:pPr>
      <w:r>
        <w:t>9 Cross Model and Observational Validation</w:t>
      </w:r>
    </w:p>
    <w:p>
      <w:pPr>
        <w:pStyle w:val="Heading2"/>
      </w:pPr>
      <w:r>
        <w:t>1 Cross Model Cases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296"/>
            <w:shd w:fill="17365D"/>
            <w:tcMar>
              <w:top w:w="100" w:type="dxa"/>
              <w:start w:w="110" w:type="dxa"/>
              <w:bottom w:w="100" w:type="dxa"/>
              <w:end w:w="110" w:type="dxa"/>
            </w:tcMar>
            <w:vAlign w:val="center"/>
          </w:tcPr>
          <w:p>
            <w:pPr>
              <w:pStyle w:val="TableText"/>
              <w:jc w:val="center"/>
            </w:pPr>
            <w:r>
              <w:rPr>
                <w:b/>
                <w:color w:val="FFFFFF"/>
                <w:sz w:val="17"/>
              </w:rPr>
              <w:t>ID</w:t>
            </w:r>
          </w:p>
        </w:tc>
        <w:tc>
          <w:tcPr>
            <w:tcW w:type="dxa" w:w="3528"/>
            <w:shd w:fill="17365D"/>
            <w:tcMar>
              <w:top w:w="100" w:type="dxa"/>
              <w:start w:w="110" w:type="dxa"/>
              <w:bottom w:w="100" w:type="dxa"/>
              <w:end w:w="110" w:type="dxa"/>
            </w:tcMar>
            <w:vAlign w:val="center"/>
          </w:tcPr>
          <w:p>
            <w:pPr>
              <w:pStyle w:val="TableText"/>
              <w:jc w:val="center"/>
            </w:pPr>
            <w:r>
              <w:rPr>
                <w:b/>
                <w:color w:val="FFFFFF"/>
                <w:sz w:val="17"/>
              </w:rPr>
              <w:t>Configuration</w:t>
            </w:r>
          </w:p>
        </w:tc>
        <w:tc>
          <w:tcPr>
            <w:tcW w:type="dxa" w:w="3096"/>
            <w:shd w:fill="17365D"/>
            <w:tcMar>
              <w:top w:w="100" w:type="dxa"/>
              <w:start w:w="110" w:type="dxa"/>
              <w:bottom w:w="100" w:type="dxa"/>
              <w:end w:w="110" w:type="dxa"/>
            </w:tcMar>
            <w:vAlign w:val="center"/>
          </w:tcPr>
          <w:p>
            <w:pPr>
              <w:pStyle w:val="TableText"/>
              <w:jc w:val="center"/>
            </w:pPr>
            <w:r>
              <w:rPr>
                <w:b/>
                <w:color w:val="FFFFFF"/>
                <w:sz w:val="17"/>
              </w:rPr>
              <w:t>Comparison</w:t>
            </w:r>
          </w:p>
        </w:tc>
        <w:tc>
          <w:tcPr>
            <w:tcW w:type="dxa" w:w="2664"/>
            <w:shd w:fill="17365D"/>
            <w:tcMar>
              <w:top w:w="100" w:type="dxa"/>
              <w:start w:w="110" w:type="dxa"/>
              <w:bottom w:w="100" w:type="dxa"/>
              <w:end w:w="110" w:type="dxa"/>
            </w:tcMar>
            <w:vAlign w:val="center"/>
          </w:tcPr>
          <w:p>
            <w:pPr>
              <w:pStyle w:val="TableText"/>
              <w:jc w:val="center"/>
            </w:pPr>
            <w:r>
              <w:rPr>
                <w:b/>
                <w:color w:val="FFFFFF"/>
                <w:sz w:val="17"/>
              </w:rPr>
              <w:t>Acceptance role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XM3D01</w:t>
            </w:r>
          </w:p>
        </w:tc>
        <w:tc>
          <w:tcPr>
            <w:tcW w:type="dxa" w:w="3528"/>
            <w:shd w:fill="FFFFFF"/>
            <w:tcMar>
              <w:top w:w="85" w:type="dxa"/>
              <w:start w:w="100" w:type="dxa"/>
              <w:bottom w:w="85" w:type="dxa"/>
              <w:end w:w="100" w:type="dxa"/>
            </w:tcMar>
            <w:vAlign w:val="center"/>
          </w:tcPr>
          <w:p>
            <w:pPr>
              <w:pStyle w:val="TableText"/>
              <w:jc w:val="left"/>
            </w:pPr>
            <w:r>
              <w:rPr>
                <w:sz w:val="17"/>
              </w:rPr>
              <w:t>Analytic Parker background  one selected field line  zero perpendicular diffusion  matched source and parallel diffusion</w:t>
            </w:r>
          </w:p>
        </w:tc>
        <w:tc>
          <w:tcPr>
            <w:tcW w:type="dxa" w:w="3096"/>
            <w:shd w:fill="FFFFFF"/>
            <w:tcMar>
              <w:top w:w="85" w:type="dxa"/>
              <w:start w:w="100" w:type="dxa"/>
              <w:bottom w:w="85" w:type="dxa"/>
              <w:end w:w="100" w:type="dxa"/>
            </w:tcMar>
            <w:vAlign w:val="center"/>
          </w:tcPr>
          <w:p>
            <w:pPr>
              <w:pStyle w:val="TableText"/>
              <w:jc w:val="left"/>
            </w:pPr>
            <w:r>
              <w:rPr>
                <w:sz w:val="17"/>
              </w:rPr>
              <w:t>srcSEP Parker mover and srcSEP3D Parker mover projected onto the same line</w:t>
            </w:r>
          </w:p>
        </w:tc>
        <w:tc>
          <w:tcPr>
            <w:tcW w:type="dxa" w:w="2664"/>
            <w:shd w:fill="FFFFFF"/>
            <w:tcMar>
              <w:top w:w="85" w:type="dxa"/>
              <w:start w:w="100" w:type="dxa"/>
              <w:bottom w:w="85" w:type="dxa"/>
              <w:end w:w="100" w:type="dxa"/>
            </w:tcMar>
            <w:vAlign w:val="center"/>
          </w:tcPr>
          <w:p>
            <w:pPr>
              <w:pStyle w:val="TableText"/>
              <w:jc w:val="left"/>
            </w:pPr>
            <w:r>
              <w:rPr>
                <w:sz w:val="17"/>
              </w:rPr>
              <w:t>Release gate  intensity profiles within ten percent after resolution convergence</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XM3D02</w:t>
            </w:r>
          </w:p>
        </w:tc>
        <w:tc>
          <w:tcPr>
            <w:tcW w:type="dxa" w:w="3528"/>
            <w:shd w:fill="EAF1F8"/>
            <w:tcMar>
              <w:top w:w="85" w:type="dxa"/>
              <w:start w:w="100" w:type="dxa"/>
              <w:bottom w:w="85" w:type="dxa"/>
              <w:end w:w="100" w:type="dxa"/>
            </w:tcMar>
            <w:vAlign w:val="center"/>
          </w:tcPr>
          <w:p>
            <w:pPr>
              <w:pStyle w:val="TableText"/>
              <w:jc w:val="left"/>
            </w:pPr>
            <w:r>
              <w:rPr>
                <w:sz w:val="17"/>
              </w:rPr>
              <w:t>Matched focused transport with the same Dμμ kernel and source</w:t>
            </w:r>
          </w:p>
        </w:tc>
        <w:tc>
          <w:tcPr>
            <w:tcW w:type="dxa" w:w="3096"/>
            <w:shd w:fill="EAF1F8"/>
            <w:tcMar>
              <w:top w:w="85" w:type="dxa"/>
              <w:start w:w="100" w:type="dxa"/>
              <w:bottom w:w="85" w:type="dxa"/>
              <w:end w:w="100" w:type="dxa"/>
            </w:tcMar>
            <w:vAlign w:val="center"/>
          </w:tcPr>
          <w:p>
            <w:pPr>
              <w:pStyle w:val="TableText"/>
              <w:jc w:val="left"/>
            </w:pPr>
            <w:r>
              <w:rPr>
                <w:sz w:val="17"/>
              </w:rPr>
              <w:t>Onset  peak  fluence and first two anisotropy moments</w:t>
            </w:r>
          </w:p>
        </w:tc>
        <w:tc>
          <w:tcPr>
            <w:tcW w:type="dxa" w:w="2664"/>
            <w:shd w:fill="EAF1F8"/>
            <w:tcMar>
              <w:top w:w="85" w:type="dxa"/>
              <w:start w:w="100" w:type="dxa"/>
              <w:bottom w:w="85" w:type="dxa"/>
              <w:end w:w="100" w:type="dxa"/>
            </w:tcMar>
            <w:vAlign w:val="center"/>
          </w:tcPr>
          <w:p>
            <w:pPr>
              <w:pStyle w:val="TableText"/>
              <w:jc w:val="left"/>
            </w:pPr>
            <w:r>
              <w:rPr>
                <w:sz w:val="17"/>
              </w:rPr>
              <w:t>Release gate  onset within one output interval and peak within fifteen percent</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XM3D03</w:t>
            </w:r>
          </w:p>
        </w:tc>
        <w:tc>
          <w:tcPr>
            <w:tcW w:type="dxa" w:w="3528"/>
            <w:shd w:fill="FFFFFF"/>
            <w:tcMar>
              <w:top w:w="85" w:type="dxa"/>
              <w:start w:w="100" w:type="dxa"/>
              <w:bottom w:w="85" w:type="dxa"/>
              <w:end w:w="100" w:type="dxa"/>
            </w:tcMar>
            <w:vAlign w:val="center"/>
          </w:tcPr>
          <w:p>
            <w:pPr>
              <w:pStyle w:val="TableText"/>
              <w:jc w:val="left"/>
            </w:pPr>
            <w:r>
              <w:rPr>
                <w:sz w:val="17"/>
              </w:rPr>
              <w:t>Strong scattering limit</w:t>
            </w:r>
          </w:p>
        </w:tc>
        <w:tc>
          <w:tcPr>
            <w:tcW w:type="dxa" w:w="3096"/>
            <w:shd w:fill="FFFFFF"/>
            <w:tcMar>
              <w:top w:w="85" w:type="dxa"/>
              <w:start w:w="100" w:type="dxa"/>
              <w:bottom w:w="85" w:type="dxa"/>
              <w:end w:w="100" w:type="dxa"/>
            </w:tcMar>
            <w:vAlign w:val="center"/>
          </w:tcPr>
          <w:p>
            <w:pPr>
              <w:pStyle w:val="TableText"/>
              <w:jc w:val="left"/>
            </w:pPr>
            <w:r>
              <w:rPr>
                <w:sz w:val="17"/>
              </w:rPr>
              <w:t>srcSEP focused  srcSEP3D focused  and srcSEP3D Parker</w:t>
            </w:r>
          </w:p>
        </w:tc>
        <w:tc>
          <w:tcPr>
            <w:tcW w:type="dxa" w:w="2664"/>
            <w:shd w:fill="FFFFFF"/>
            <w:tcMar>
              <w:top w:w="85" w:type="dxa"/>
              <w:start w:w="100" w:type="dxa"/>
              <w:bottom w:w="85" w:type="dxa"/>
              <w:end w:w="100" w:type="dxa"/>
            </w:tcMar>
            <w:vAlign w:val="center"/>
          </w:tcPr>
          <w:p>
            <w:pPr>
              <w:pStyle w:val="TableText"/>
              <w:jc w:val="left"/>
            </w:pPr>
            <w:r>
              <w:rPr>
                <w:sz w:val="17"/>
              </w:rPr>
              <w:t>Release gate  ensemble moments satisfy the declared diffusion-limit tolerance</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XM3D04</w:t>
            </w:r>
          </w:p>
        </w:tc>
        <w:tc>
          <w:tcPr>
            <w:tcW w:type="dxa" w:w="3528"/>
            <w:shd w:fill="EAF1F8"/>
            <w:tcMar>
              <w:top w:w="85" w:type="dxa"/>
              <w:start w:w="100" w:type="dxa"/>
              <w:bottom w:w="85" w:type="dxa"/>
              <w:end w:w="100" w:type="dxa"/>
            </w:tcMar>
            <w:vAlign w:val="center"/>
          </w:tcPr>
          <w:p>
            <w:pPr>
              <w:pStyle w:val="TableText"/>
              <w:jc w:val="left"/>
            </w:pPr>
            <w:r>
              <w:rPr>
                <w:sz w:val="17"/>
              </w:rPr>
              <w:t>SWCME source in one-dimensional radial and three-dimensional spherical limits</w:t>
            </w:r>
          </w:p>
        </w:tc>
        <w:tc>
          <w:tcPr>
            <w:tcW w:type="dxa" w:w="3096"/>
            <w:shd w:fill="EAF1F8"/>
            <w:tcMar>
              <w:top w:w="85" w:type="dxa"/>
              <w:start w:w="100" w:type="dxa"/>
              <w:bottom w:w="85" w:type="dxa"/>
              <w:end w:w="100" w:type="dxa"/>
            </w:tcMar>
            <w:vAlign w:val="center"/>
          </w:tcPr>
          <w:p>
            <w:pPr>
              <w:pStyle w:val="TableText"/>
              <w:jc w:val="left"/>
            </w:pPr>
            <w:r>
              <w:rPr>
                <w:sz w:val="17"/>
              </w:rPr>
              <w:t>Source records and transported spectra</w:t>
            </w:r>
          </w:p>
        </w:tc>
        <w:tc>
          <w:tcPr>
            <w:tcW w:type="dxa" w:w="2664"/>
            <w:shd w:fill="EAF1F8"/>
            <w:tcMar>
              <w:top w:w="85" w:type="dxa"/>
              <w:start w:w="100" w:type="dxa"/>
              <w:bottom w:w="85" w:type="dxa"/>
              <w:end w:w="100" w:type="dxa"/>
            </w:tcMar>
            <w:vAlign w:val="center"/>
          </w:tcPr>
          <w:p>
            <w:pPr>
              <w:pStyle w:val="TableText"/>
              <w:jc w:val="left"/>
            </w:pPr>
            <w:r>
              <w:rPr>
                <w:sz w:val="17"/>
              </w:rPr>
              <w:t>Release gate  source identity exact and spectra within fifteen percent</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XM3D05</w:t>
            </w:r>
          </w:p>
        </w:tc>
        <w:tc>
          <w:tcPr>
            <w:tcW w:type="dxa" w:w="3528"/>
            <w:shd w:fill="FFFFFF"/>
            <w:tcMar>
              <w:top w:w="85" w:type="dxa"/>
              <w:start w:w="100" w:type="dxa"/>
              <w:bottom w:w="85" w:type="dxa"/>
              <w:end w:w="100" w:type="dxa"/>
            </w:tcMar>
            <w:vAlign w:val="center"/>
          </w:tcPr>
          <w:p>
            <w:pPr>
              <w:pStyle w:val="TableText"/>
              <w:jc w:val="left"/>
            </w:pPr>
            <w:r>
              <w:rPr>
                <w:sz w:val="17"/>
              </w:rPr>
              <w:t>Analytic Parker state sent through both standalone and coupled adapters</w:t>
            </w:r>
          </w:p>
        </w:tc>
        <w:tc>
          <w:tcPr>
            <w:tcW w:type="dxa" w:w="3096"/>
            <w:shd w:fill="FFFFFF"/>
            <w:tcMar>
              <w:top w:w="85" w:type="dxa"/>
              <w:start w:w="100" w:type="dxa"/>
              <w:bottom w:w="85" w:type="dxa"/>
              <w:end w:w="100" w:type="dxa"/>
            </w:tcMar>
            <w:vAlign w:val="center"/>
          </w:tcPr>
          <w:p>
            <w:pPr>
              <w:pStyle w:val="TableText"/>
              <w:jc w:val="left"/>
            </w:pPr>
            <w:r>
              <w:rPr>
                <w:sz w:val="17"/>
              </w:rPr>
              <w:t>Mover input records and outputs</w:t>
            </w:r>
          </w:p>
        </w:tc>
        <w:tc>
          <w:tcPr>
            <w:tcW w:type="dxa" w:w="2664"/>
            <w:shd w:fill="FFFFFF"/>
            <w:tcMar>
              <w:top w:w="85" w:type="dxa"/>
              <w:start w:w="100" w:type="dxa"/>
              <w:bottom w:w="85" w:type="dxa"/>
              <w:end w:w="100" w:type="dxa"/>
            </w:tcMar>
            <w:vAlign w:val="center"/>
          </w:tcPr>
          <w:p>
            <w:pPr>
              <w:pStyle w:val="TableText"/>
              <w:jc w:val="left"/>
            </w:pPr>
            <w:r>
              <w:rPr>
                <w:sz w:val="17"/>
              </w:rPr>
              <w:t>Release gate  adapter difference limited to documented conversion round-off</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XM3D06</w:t>
            </w:r>
          </w:p>
        </w:tc>
        <w:tc>
          <w:tcPr>
            <w:tcW w:type="dxa" w:w="3528"/>
            <w:shd w:fill="EAF1F8"/>
            <w:tcMar>
              <w:top w:w="85" w:type="dxa"/>
              <w:start w:w="100" w:type="dxa"/>
              <w:bottom w:w="85" w:type="dxa"/>
              <w:end w:w="100" w:type="dxa"/>
            </w:tcMar>
            <w:vAlign w:val="center"/>
          </w:tcPr>
          <w:p>
            <w:pPr>
              <w:pStyle w:val="TableText"/>
              <w:jc w:val="left"/>
            </w:pPr>
            <w:r>
              <w:rPr>
                <w:sz w:val="17"/>
              </w:rPr>
              <w:t>Manufactured three-dimensional diffusion problem</w:t>
            </w:r>
          </w:p>
        </w:tc>
        <w:tc>
          <w:tcPr>
            <w:tcW w:type="dxa" w:w="3096"/>
            <w:shd w:fill="EAF1F8"/>
            <w:tcMar>
              <w:top w:w="85" w:type="dxa"/>
              <w:start w:w="100" w:type="dxa"/>
              <w:bottom w:w="85" w:type="dxa"/>
              <w:end w:w="100" w:type="dxa"/>
            </w:tcMar>
            <w:vAlign w:val="center"/>
          </w:tcPr>
          <w:p>
            <w:pPr>
              <w:pStyle w:val="TableText"/>
              <w:jc w:val="left"/>
            </w:pPr>
            <w:r>
              <w:rPr>
                <w:sz w:val="17"/>
              </w:rPr>
              <w:t>Independent conservative finite-volume reference</w:t>
            </w:r>
          </w:p>
        </w:tc>
        <w:tc>
          <w:tcPr>
            <w:tcW w:type="dxa" w:w="2664"/>
            <w:shd w:fill="EAF1F8"/>
            <w:tcMar>
              <w:top w:w="85" w:type="dxa"/>
              <w:start w:w="100" w:type="dxa"/>
              <w:bottom w:w="85" w:type="dxa"/>
              <w:end w:w="100" w:type="dxa"/>
            </w:tcMar>
            <w:vAlign w:val="center"/>
          </w:tcPr>
          <w:p>
            <w:pPr>
              <w:pStyle w:val="TableText"/>
              <w:jc w:val="left"/>
            </w:pPr>
            <w:r>
              <w:rPr>
                <w:sz w:val="17"/>
              </w:rPr>
              <w:t>Extended release case  L1 difference below five percent</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XM3D07</w:t>
            </w:r>
          </w:p>
        </w:tc>
        <w:tc>
          <w:tcPr>
            <w:tcW w:type="dxa" w:w="3528"/>
            <w:shd w:fill="FFFFFF"/>
            <w:tcMar>
              <w:top w:w="85" w:type="dxa"/>
              <w:start w:w="100" w:type="dxa"/>
              <w:bottom w:w="85" w:type="dxa"/>
              <w:end w:w="100" w:type="dxa"/>
            </w:tcMar>
            <w:vAlign w:val="center"/>
          </w:tcPr>
          <w:p>
            <w:pPr>
              <w:pStyle w:val="TableText"/>
              <w:jc w:val="left"/>
            </w:pPr>
            <w:r>
              <w:rPr>
                <w:sz w:val="17"/>
              </w:rPr>
              <w:t>Longitude-displaced source and observer</w:t>
            </w:r>
          </w:p>
        </w:tc>
        <w:tc>
          <w:tcPr>
            <w:tcW w:type="dxa" w:w="3096"/>
            <w:shd w:fill="FFFFFF"/>
            <w:tcMar>
              <w:top w:w="85" w:type="dxa"/>
              <w:start w:w="100" w:type="dxa"/>
              <w:bottom w:w="85" w:type="dxa"/>
              <w:end w:w="100" w:type="dxa"/>
            </w:tcMar>
            <w:vAlign w:val="center"/>
          </w:tcPr>
          <w:p>
            <w:pPr>
              <w:pStyle w:val="TableText"/>
              <w:jc w:val="left"/>
            </w:pPr>
            <w:r>
              <w:rPr>
                <w:sz w:val="17"/>
              </w:rPr>
              <w:t>Zero perpendicular case then enabled future perpendicular model</w:t>
            </w:r>
          </w:p>
        </w:tc>
        <w:tc>
          <w:tcPr>
            <w:tcW w:type="dxa" w:w="2664"/>
            <w:shd w:fill="FFFFFF"/>
            <w:tcMar>
              <w:top w:w="85" w:type="dxa"/>
              <w:start w:w="100" w:type="dxa"/>
              <w:bottom w:w="85" w:type="dxa"/>
              <w:end w:w="100" w:type="dxa"/>
            </w:tcMar>
            <w:vAlign w:val="center"/>
          </w:tcPr>
          <w:p>
            <w:pPr>
              <w:pStyle w:val="TableText"/>
              <w:jc w:val="left"/>
            </w:pPr>
            <w:r>
              <w:rPr>
                <w:sz w:val="17"/>
              </w:rPr>
              <w:t>Diagnostic until perpendicular diffusion is implemented  then becomes a release gate</w:t>
            </w:r>
          </w:p>
        </w:tc>
      </w:tr>
    </w:tbl>
    <w:p>
      <w:pPr>
        <w:pStyle w:val="Heading2"/>
      </w:pPr>
      <w:r>
        <w:t>2 Numerical Convergence</w:t>
      </w:r>
    </w:p>
    <w:p>
      <w:r>
        <w:t>Every cross-model result must be preceded by a convergence record. The record varies mesh level  tube refinement  particle count  time-step tolerances  output cadence  and stochastic ensemble size independently. The selected production configuration must lie in the converged regime or carry a quantified numerical uncertainty. Agreement obtained only at one resolution is not accepted as validation.</w:t>
      </w:r>
    </w:p>
    <w:p>
      <w:pPr>
        <w:pStyle w:val="Heading2"/>
      </w:pPr>
      <w:r>
        <w:t>3 Observational Cases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296"/>
            <w:shd w:fill="17365D"/>
            <w:tcMar>
              <w:top w:w="100" w:type="dxa"/>
              <w:start w:w="110" w:type="dxa"/>
              <w:bottom w:w="100" w:type="dxa"/>
              <w:end w:w="110" w:type="dxa"/>
            </w:tcMar>
            <w:vAlign w:val="center"/>
          </w:tcPr>
          <w:p>
            <w:pPr>
              <w:pStyle w:val="TableText"/>
              <w:jc w:val="center"/>
            </w:pPr>
            <w:r>
              <w:rPr>
                <w:b/>
                <w:color w:val="FFFFFF"/>
                <w:sz w:val="17"/>
              </w:rPr>
              <w:t>ID</w:t>
            </w:r>
          </w:p>
        </w:tc>
        <w:tc>
          <w:tcPr>
            <w:tcW w:type="dxa" w:w="3671"/>
            <w:shd w:fill="17365D"/>
            <w:tcMar>
              <w:top w:w="100" w:type="dxa"/>
              <w:start w:w="110" w:type="dxa"/>
              <w:bottom w:w="100" w:type="dxa"/>
              <w:end w:w="110" w:type="dxa"/>
            </w:tcMar>
            <w:vAlign w:val="center"/>
          </w:tcPr>
          <w:p>
            <w:pPr>
              <w:pStyle w:val="TableText"/>
              <w:jc w:val="center"/>
            </w:pPr>
            <w:r>
              <w:rPr>
                <w:b/>
                <w:color w:val="FFFFFF"/>
                <w:sz w:val="17"/>
              </w:rPr>
              <w:t>Event and data</w:t>
            </w:r>
          </w:p>
        </w:tc>
        <w:tc>
          <w:tcPr>
            <w:tcW w:type="dxa" w:w="3240"/>
            <w:shd w:fill="17365D"/>
            <w:tcMar>
              <w:top w:w="100" w:type="dxa"/>
              <w:start w:w="110" w:type="dxa"/>
              <w:bottom w:w="100" w:type="dxa"/>
              <w:end w:w="110" w:type="dxa"/>
            </w:tcMar>
            <w:vAlign w:val="center"/>
          </w:tcPr>
          <w:p>
            <w:pPr>
              <w:pStyle w:val="TableText"/>
              <w:jc w:val="center"/>
            </w:pPr>
            <w:r>
              <w:rPr>
                <w:b/>
                <w:color w:val="FFFFFF"/>
                <w:sz w:val="17"/>
              </w:rPr>
              <w:t>Primary purpose</w:t>
            </w:r>
          </w:p>
        </w:tc>
        <w:tc>
          <w:tcPr>
            <w:tcW w:type="dxa" w:w="2376"/>
            <w:shd w:fill="17365D"/>
            <w:tcMar>
              <w:top w:w="100" w:type="dxa"/>
              <w:start w:w="110" w:type="dxa"/>
              <w:bottom w:w="100" w:type="dxa"/>
              <w:end w:w="110" w:type="dxa"/>
            </w:tcMar>
            <w:vAlign w:val="center"/>
          </w:tcPr>
          <w:p>
            <w:pPr>
              <w:pStyle w:val="TableText"/>
              <w:jc w:val="center"/>
            </w:pPr>
            <w:r>
              <w:rPr>
                <w:b/>
                <w:color w:val="FFFFFF"/>
                <w:sz w:val="17"/>
              </w:rPr>
              <w:t>Role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OV3D01</w:t>
            </w:r>
          </w:p>
        </w:tc>
        <w:tc>
          <w:tcPr>
            <w:tcW w:type="dxa" w:w="3671"/>
            <w:shd w:fill="FFFFFF"/>
            <w:tcMar>
              <w:top w:w="85" w:type="dxa"/>
              <w:start w:w="100" w:type="dxa"/>
              <w:bottom w:w="85" w:type="dxa"/>
              <w:end w:w="100" w:type="dxa"/>
            </w:tcMar>
            <w:vAlign w:val="center"/>
          </w:tcPr>
          <w:p>
            <w:pPr>
              <w:pStyle w:val="TableText"/>
              <w:jc w:val="left"/>
            </w:pPr>
            <w:r>
              <w:rPr>
                <w:sz w:val="17"/>
              </w:rPr>
              <w:t>2013 April 11 using the reviewed ACE EPAM  GOES 13 EPEAD and SOHO ERNE inputs already prepared for srcSEP</w:t>
            </w:r>
          </w:p>
        </w:tc>
        <w:tc>
          <w:tcPr>
            <w:tcW w:type="dxa" w:w="3240"/>
            <w:shd w:fill="FFFFFF"/>
            <w:tcMar>
              <w:top w:w="85" w:type="dxa"/>
              <w:start w:w="100" w:type="dxa"/>
              <w:bottom w:w="85" w:type="dxa"/>
              <w:end w:w="100" w:type="dxa"/>
            </w:tcMar>
            <w:vAlign w:val="center"/>
          </w:tcPr>
          <w:p>
            <w:pPr>
              <w:pStyle w:val="TableText"/>
              <w:jc w:val="left"/>
            </w:pPr>
            <w:r>
              <w:rPr>
                <w:sz w:val="17"/>
              </w:rPr>
              <w:t>Matched 1-D and 3-D connected-event baseline</w:t>
            </w:r>
          </w:p>
        </w:tc>
        <w:tc>
          <w:tcPr>
            <w:tcW w:type="dxa" w:w="2376"/>
            <w:shd w:fill="FFFFFF"/>
            <w:tcMar>
              <w:top w:w="85" w:type="dxa"/>
              <w:start w:w="100" w:type="dxa"/>
              <w:bottom w:w="85" w:type="dxa"/>
              <w:end w:w="100" w:type="dxa"/>
            </w:tcMar>
            <w:vAlign w:val="center"/>
          </w:tcPr>
          <w:p>
            <w:pPr>
              <w:pStyle w:val="TableText"/>
              <w:jc w:val="left"/>
            </w:pPr>
            <w:r>
              <w:rPr>
                <w:sz w:val="17"/>
              </w:rPr>
              <w:t>Release gate after XM3D cases pass</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OV3D02</w:t>
            </w:r>
          </w:p>
        </w:tc>
        <w:tc>
          <w:tcPr>
            <w:tcW w:type="dxa" w:w="3671"/>
            <w:shd w:fill="EAF1F8"/>
            <w:tcMar>
              <w:top w:w="85" w:type="dxa"/>
              <w:start w:w="100" w:type="dxa"/>
              <w:bottom w:w="85" w:type="dxa"/>
              <w:end w:w="100" w:type="dxa"/>
            </w:tcMar>
            <w:vAlign w:val="center"/>
          </w:tcPr>
          <w:p>
            <w:pPr>
              <w:pStyle w:val="TableText"/>
              <w:jc w:val="left"/>
            </w:pPr>
            <w:r>
              <w:rPr>
                <w:sz w:val="17"/>
              </w:rPr>
              <w:t>2020 May 29 using PSP EPI Hi and STEREO A LET</w:t>
            </w:r>
          </w:p>
        </w:tc>
        <w:tc>
          <w:tcPr>
            <w:tcW w:type="dxa" w:w="3240"/>
            <w:shd w:fill="EAF1F8"/>
            <w:tcMar>
              <w:top w:w="85" w:type="dxa"/>
              <w:start w:w="100" w:type="dxa"/>
              <w:bottom w:w="85" w:type="dxa"/>
              <w:end w:w="100" w:type="dxa"/>
            </w:tcMar>
            <w:vAlign w:val="center"/>
          </w:tcPr>
          <w:p>
            <w:pPr>
              <w:pStyle w:val="TableText"/>
              <w:jc w:val="left"/>
            </w:pPr>
            <w:r>
              <w:rPr>
                <w:sz w:val="17"/>
              </w:rPr>
              <w:t>Radial and longitudinal structure with evolving connectivity</w:t>
            </w:r>
          </w:p>
        </w:tc>
        <w:tc>
          <w:tcPr>
            <w:tcW w:type="dxa" w:w="2376"/>
            <w:shd w:fill="EAF1F8"/>
            <w:tcMar>
              <w:top w:w="85" w:type="dxa"/>
              <w:start w:w="100" w:type="dxa"/>
              <w:bottom w:w="85" w:type="dxa"/>
              <w:end w:w="100" w:type="dxa"/>
            </w:tcMar>
            <w:vAlign w:val="center"/>
          </w:tcPr>
          <w:p>
            <w:pPr>
              <w:pStyle w:val="TableText"/>
              <w:jc w:val="left"/>
            </w:pPr>
            <w:r>
              <w:rPr>
                <w:sz w:val="17"/>
              </w:rPr>
              <w:t>Release gate for the coupled three-dimensional model</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OV3D03</w:t>
            </w:r>
          </w:p>
        </w:tc>
        <w:tc>
          <w:tcPr>
            <w:tcW w:type="dxa" w:w="3671"/>
            <w:shd w:fill="FFFFFF"/>
            <w:tcMar>
              <w:top w:w="85" w:type="dxa"/>
              <w:start w:w="100" w:type="dxa"/>
              <w:bottom w:w="85" w:type="dxa"/>
              <w:end w:w="100" w:type="dxa"/>
            </w:tcMar>
            <w:vAlign w:val="center"/>
          </w:tcPr>
          <w:p>
            <w:pPr>
              <w:pStyle w:val="TableText"/>
              <w:jc w:val="left"/>
            </w:pPr>
            <w:r>
              <w:rPr>
                <w:sz w:val="17"/>
              </w:rPr>
              <w:t>2014 January 6 with PAMELA and available heliospheric observations</w:t>
            </w:r>
          </w:p>
        </w:tc>
        <w:tc>
          <w:tcPr>
            <w:tcW w:type="dxa" w:w="3240"/>
            <w:shd w:fill="FFFFFF"/>
            <w:tcMar>
              <w:top w:w="85" w:type="dxa"/>
              <w:start w:w="100" w:type="dxa"/>
              <w:bottom w:w="85" w:type="dxa"/>
              <w:end w:w="100" w:type="dxa"/>
            </w:tcMar>
            <w:vAlign w:val="center"/>
          </w:tcPr>
          <w:p>
            <w:pPr>
              <w:pStyle w:val="TableText"/>
              <w:jc w:val="left"/>
            </w:pPr>
            <w:r>
              <w:rPr>
                <w:sz w:val="17"/>
              </w:rPr>
              <w:t>Behind-the-limb connection sensitivity</w:t>
            </w:r>
          </w:p>
        </w:tc>
        <w:tc>
          <w:tcPr>
            <w:tcW w:type="dxa" w:w="2376"/>
            <w:shd w:fill="FFFFFF"/>
            <w:tcMar>
              <w:top w:w="85" w:type="dxa"/>
              <w:start w:w="100" w:type="dxa"/>
              <w:bottom w:w="85" w:type="dxa"/>
              <w:end w:w="100" w:type="dxa"/>
            </w:tcMar>
            <w:vAlign w:val="center"/>
          </w:tcPr>
          <w:p>
            <w:pPr>
              <w:pStyle w:val="TableText"/>
              <w:jc w:val="left"/>
            </w:pPr>
            <w:r>
              <w:rPr>
                <w:sz w:val="17"/>
              </w:rPr>
              <w:t>Diagnostic while perpendicular diffusion is zero</w:t>
            </w:r>
          </w:p>
        </w:tc>
      </w:tr>
      <w:tr>
        <w:trPr>
          <w:cantSplit/>
        </w:trPr>
        <w:tc>
          <w:tcPr>
            <w:tcW w:type="dxa" w:w="1296"/>
            <w:shd w:fill="EAF1F8"/>
            <w:tcMar>
              <w:top w:w="85" w:type="dxa"/>
              <w:start w:w="100" w:type="dxa"/>
              <w:bottom w:w="85" w:type="dxa"/>
              <w:end w:w="100" w:type="dxa"/>
            </w:tcMar>
            <w:vAlign w:val="center"/>
          </w:tcPr>
          <w:p>
            <w:pPr>
              <w:pStyle w:val="TableText"/>
              <w:jc w:val="center"/>
            </w:pPr>
            <w:r>
              <w:rPr>
                <w:sz w:val="17"/>
              </w:rPr>
              <w:t>OV3D04</w:t>
            </w:r>
          </w:p>
        </w:tc>
        <w:tc>
          <w:tcPr>
            <w:tcW w:type="dxa" w:w="3671"/>
            <w:shd w:fill="EAF1F8"/>
            <w:tcMar>
              <w:top w:w="85" w:type="dxa"/>
              <w:start w:w="100" w:type="dxa"/>
              <w:bottom w:w="85" w:type="dxa"/>
              <w:end w:w="100" w:type="dxa"/>
            </w:tcMar>
            <w:vAlign w:val="center"/>
          </w:tcPr>
          <w:p>
            <w:pPr>
              <w:pStyle w:val="TableText"/>
              <w:jc w:val="left"/>
            </w:pPr>
            <w:r>
              <w:rPr>
                <w:sz w:val="17"/>
              </w:rPr>
              <w:t>September 2017 multi-spacecraft SEP interval</w:t>
            </w:r>
          </w:p>
        </w:tc>
        <w:tc>
          <w:tcPr>
            <w:tcW w:type="dxa" w:w="3240"/>
            <w:shd w:fill="EAF1F8"/>
            <w:tcMar>
              <w:top w:w="85" w:type="dxa"/>
              <w:start w:w="100" w:type="dxa"/>
              <w:bottom w:w="85" w:type="dxa"/>
              <w:end w:w="100" w:type="dxa"/>
            </w:tcMar>
            <w:vAlign w:val="center"/>
          </w:tcPr>
          <w:p>
            <w:pPr>
              <w:pStyle w:val="TableText"/>
              <w:jc w:val="left"/>
            </w:pPr>
            <w:r>
              <w:rPr>
                <w:sz w:val="17"/>
              </w:rPr>
              <w:t>Time-dependent shock  connectivity and longitudinal spread</w:t>
            </w:r>
          </w:p>
        </w:tc>
        <w:tc>
          <w:tcPr>
            <w:tcW w:type="dxa" w:w="2376"/>
            <w:shd w:fill="EAF1F8"/>
            <w:tcMar>
              <w:top w:w="85" w:type="dxa"/>
              <w:start w:w="100" w:type="dxa"/>
              <w:bottom w:w="85" w:type="dxa"/>
              <w:end w:w="100" w:type="dxa"/>
            </w:tcMar>
            <w:vAlign w:val="center"/>
          </w:tcPr>
          <w:p>
            <w:pPr>
              <w:pStyle w:val="TableText"/>
              <w:jc w:val="left"/>
            </w:pPr>
            <w:r>
              <w:rPr>
                <w:sz w:val="17"/>
              </w:rPr>
              <w:t>Extended coupled case</w:t>
            </w:r>
          </w:p>
        </w:tc>
      </w:tr>
      <w:tr>
        <w:trPr>
          <w:cantSplit/>
        </w:trPr>
        <w:tc>
          <w:tcPr>
            <w:tcW w:type="dxa" w:w="1296"/>
            <w:shd w:fill="FFFFFF"/>
            <w:tcMar>
              <w:top w:w="85" w:type="dxa"/>
              <w:start w:w="100" w:type="dxa"/>
              <w:bottom w:w="85" w:type="dxa"/>
              <w:end w:w="100" w:type="dxa"/>
            </w:tcMar>
            <w:vAlign w:val="center"/>
          </w:tcPr>
          <w:p>
            <w:pPr>
              <w:pStyle w:val="TableText"/>
              <w:jc w:val="center"/>
            </w:pPr>
            <w:r>
              <w:rPr>
                <w:sz w:val="17"/>
              </w:rPr>
              <w:t>OV3D05</w:t>
            </w:r>
          </w:p>
        </w:tc>
        <w:tc>
          <w:tcPr>
            <w:tcW w:type="dxa" w:w="3671"/>
            <w:shd w:fill="FFFFFF"/>
            <w:tcMar>
              <w:top w:w="85" w:type="dxa"/>
              <w:start w:w="100" w:type="dxa"/>
              <w:bottom w:w="85" w:type="dxa"/>
              <w:end w:w="100" w:type="dxa"/>
            </w:tcMar>
            <w:vAlign w:val="center"/>
          </w:tcPr>
          <w:p>
            <w:pPr>
              <w:pStyle w:val="TableText"/>
              <w:jc w:val="left"/>
            </w:pPr>
            <w:r>
              <w:rPr>
                <w:sz w:val="17"/>
              </w:rPr>
              <w:t>Selected near-relativistic electron event with multi-spacecraft coverage</w:t>
            </w:r>
          </w:p>
        </w:tc>
        <w:tc>
          <w:tcPr>
            <w:tcW w:type="dxa" w:w="3240"/>
            <w:shd w:fill="FFFFFF"/>
            <w:tcMar>
              <w:top w:w="85" w:type="dxa"/>
              <w:start w:w="100" w:type="dxa"/>
              <w:bottom w:w="85" w:type="dxa"/>
              <w:end w:w="100" w:type="dxa"/>
            </w:tcMar>
            <w:vAlign w:val="center"/>
          </w:tcPr>
          <w:p>
            <w:pPr>
              <w:pStyle w:val="TableText"/>
              <w:jc w:val="left"/>
            </w:pPr>
            <w:r>
              <w:rPr>
                <w:sz w:val="17"/>
              </w:rPr>
              <w:t>Electron scattering  resonance range and transport timing</w:t>
            </w:r>
          </w:p>
        </w:tc>
        <w:tc>
          <w:tcPr>
            <w:tcW w:type="dxa" w:w="2376"/>
            <w:shd w:fill="FFFFFF"/>
            <w:tcMar>
              <w:top w:w="85" w:type="dxa"/>
              <w:start w:w="100" w:type="dxa"/>
              <w:bottom w:w="85" w:type="dxa"/>
              <w:end w:w="100" w:type="dxa"/>
            </w:tcMar>
            <w:vAlign w:val="center"/>
          </w:tcPr>
          <w:p>
            <w:pPr>
              <w:pStyle w:val="TableText"/>
              <w:jc w:val="left"/>
            </w:pPr>
            <w:r>
              <w:rPr>
                <w:sz w:val="17"/>
              </w:rPr>
              <w:t>Diagnostic until event and turbulence range are frozen</w:t>
            </w:r>
          </w:p>
        </w:tc>
      </w:tr>
    </w:tbl>
    <w:p>
      <w:pPr>
        <w:pStyle w:val="Heading2"/>
      </w:pPr>
      <w:r>
        <w:t>4 Observation Evidence Rules</w:t>
      </w:r>
    </w:p>
    <w:p>
      <w:pPr>
        <w:pStyle w:val="ListBullet"/>
        <w:spacing w:after="50"/>
      </w:pPr>
      <w:r>
        <w:t>Each dataset is archived with source  instrument  product  cadence  energy-channel definition  retrieval date  preprocessing script  and checksum.</w:t>
      </w:r>
    </w:p>
    <w:p>
      <w:pPr>
        <w:pStyle w:val="ListBullet"/>
        <w:spacing w:after="50"/>
      </w:pPr>
      <w:r>
        <w:t>Plots identify the observation source and the model quantity being compared.</w:t>
      </w:r>
    </w:p>
    <w:p>
      <w:pPr>
        <w:pStyle w:val="ListBullet"/>
        <w:spacing w:after="50"/>
      </w:pPr>
      <w:r>
        <w:t>Model tuning parameters are separated from evaluation metrics. A case used for tuning is not presented as an independent validation.</w:t>
      </w:r>
    </w:p>
    <w:p>
      <w:pPr>
        <w:pStyle w:val="ListBullet"/>
        <w:spacing w:after="50"/>
      </w:pPr>
      <w:r>
        <w:t>Time shifts  background substitutions  and unavailable channels are recorded explicitly in the case manifest.</w:t>
      </w:r>
    </w:p>
    <w:p>
      <w:pPr>
        <w:pStyle w:val="ListBullet"/>
        <w:spacing w:after="50"/>
      </w:pPr>
      <w:r>
        <w:t>The comparison reports onset  time to maximum  peak intensity  fluence  spectrum  anisotropy where available  and longitudinal or radial gradients.</w:t>
      </w:r>
    </w:p>
    <w:p>
      <w:pPr>
        <w:pStyle w:val="Heading1"/>
      </w:pPr>
      <w:r>
        <w:t>10 Automation Evidence and Release Control</w:t>
      </w:r>
    </w:p>
    <w:p>
      <w:pPr>
        <w:pStyle w:val="Heading2"/>
      </w:pPr>
      <w:r>
        <w:t>1 Execution Schedule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1800"/>
            <w:shd w:fill="17365D"/>
            <w:tcMar>
              <w:top w:w="100" w:type="dxa"/>
              <w:start w:w="110" w:type="dxa"/>
              <w:bottom w:w="100" w:type="dxa"/>
              <w:end w:w="110" w:type="dxa"/>
            </w:tcMar>
            <w:vAlign w:val="center"/>
          </w:tcPr>
          <w:p>
            <w:pPr>
              <w:pStyle w:val="TableText"/>
              <w:jc w:val="center"/>
            </w:pPr>
            <w:r>
              <w:rPr>
                <w:b/>
                <w:color w:val="FFFFFF"/>
                <w:sz w:val="17"/>
              </w:rPr>
              <w:t>Trigger</w:t>
            </w:r>
          </w:p>
        </w:tc>
        <w:tc>
          <w:tcPr>
            <w:tcW w:type="dxa" w:w="5976"/>
            <w:shd w:fill="17365D"/>
            <w:tcMar>
              <w:top w:w="100" w:type="dxa"/>
              <w:start w:w="110" w:type="dxa"/>
              <w:bottom w:w="100" w:type="dxa"/>
              <w:end w:w="110" w:type="dxa"/>
            </w:tcMar>
            <w:vAlign w:val="center"/>
          </w:tcPr>
          <w:p>
            <w:pPr>
              <w:pStyle w:val="TableText"/>
              <w:jc w:val="center"/>
            </w:pPr>
            <w:r>
              <w:rPr>
                <w:b/>
                <w:color w:val="FFFFFF"/>
                <w:sz w:val="17"/>
              </w:rPr>
              <w:t>Required tests</w:t>
            </w:r>
          </w:p>
        </w:tc>
        <w:tc>
          <w:tcPr>
            <w:tcW w:type="dxa" w:w="2376"/>
            <w:shd w:fill="17365D"/>
            <w:tcMar>
              <w:top w:w="100" w:type="dxa"/>
              <w:start w:w="110" w:type="dxa"/>
              <w:bottom w:w="100" w:type="dxa"/>
              <w:end w:w="110" w:type="dxa"/>
            </w:tcMar>
            <w:vAlign w:val="center"/>
          </w:tcPr>
          <w:p>
            <w:pPr>
              <w:pStyle w:val="TableText"/>
              <w:jc w:val="center"/>
            </w:pPr>
            <w:r>
              <w:rPr>
                <w:b/>
                <w:color w:val="FFFFFF"/>
                <w:sz w:val="17"/>
              </w:rPr>
              <w:t>Target wall time</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Every commit</w:t>
            </w:r>
          </w:p>
        </w:tc>
        <w:tc>
          <w:tcPr>
            <w:tcW w:type="dxa" w:w="5976"/>
            <w:shd w:fill="FFFFFF"/>
            <w:tcMar>
              <w:top w:w="85" w:type="dxa"/>
              <w:start w:w="100" w:type="dxa"/>
              <w:bottom w:w="85" w:type="dxa"/>
              <w:end w:w="100" w:type="dxa"/>
            </w:tcMar>
            <w:vAlign w:val="center"/>
          </w:tcPr>
          <w:p>
            <w:pPr>
              <w:pStyle w:val="TableText"/>
              <w:jc w:val="left"/>
            </w:pPr>
            <w:r>
              <w:rPr>
                <w:sz w:val="17"/>
              </w:rPr>
              <w:t>Architecture  configuration  deterministic unit tests  strict-warning L0 and L1 builds</w:t>
            </w:r>
          </w:p>
        </w:tc>
        <w:tc>
          <w:tcPr>
            <w:tcW w:type="dxa" w:w="2376"/>
            <w:shd w:fill="FFFFFF"/>
            <w:tcMar>
              <w:top w:w="85" w:type="dxa"/>
              <w:start w:w="100" w:type="dxa"/>
              <w:bottom w:w="85" w:type="dxa"/>
              <w:end w:w="100" w:type="dxa"/>
            </w:tcMar>
            <w:vAlign w:val="center"/>
          </w:tcPr>
          <w:p>
            <w:pPr>
              <w:pStyle w:val="TableText"/>
              <w:jc w:val="left"/>
            </w:pPr>
            <w:r>
              <w:rPr>
                <w:sz w:val="17"/>
              </w:rPr>
              <w:t>Less than five minutes</w:t>
            </w:r>
          </w:p>
        </w:tc>
      </w:tr>
      <w:tr>
        <w:trPr>
          <w:cantSplit/>
        </w:trPr>
        <w:tc>
          <w:tcPr>
            <w:tcW w:type="dxa" w:w="1800"/>
            <w:shd w:fill="EAF1F8"/>
            <w:tcMar>
              <w:top w:w="85" w:type="dxa"/>
              <w:start w:w="100" w:type="dxa"/>
              <w:bottom w:w="85" w:type="dxa"/>
              <w:end w:w="100" w:type="dxa"/>
            </w:tcMar>
            <w:vAlign w:val="center"/>
          </w:tcPr>
          <w:p>
            <w:pPr>
              <w:pStyle w:val="TableText"/>
              <w:jc w:val="center"/>
            </w:pPr>
            <w:r>
              <w:rPr>
                <w:sz w:val="17"/>
              </w:rPr>
              <w:t>Every AMPS pull request</w:t>
            </w:r>
          </w:p>
        </w:tc>
        <w:tc>
          <w:tcPr>
            <w:tcW w:type="dxa" w:w="5976"/>
            <w:shd w:fill="EAF1F8"/>
            <w:tcMar>
              <w:top w:w="85" w:type="dxa"/>
              <w:start w:w="100" w:type="dxa"/>
              <w:bottom w:w="85" w:type="dxa"/>
              <w:end w:w="100" w:type="dxa"/>
            </w:tcMar>
            <w:vAlign w:val="center"/>
          </w:tcPr>
          <w:p>
            <w:pPr>
              <w:pStyle w:val="TableText"/>
              <w:jc w:val="left"/>
            </w:pPr>
            <w:r>
              <w:rPr>
                <w:sz w:val="17"/>
              </w:rPr>
              <w:t>Commit suite plus production compile  lifecycle  native smoke and SWCME common tests</w:t>
            </w:r>
          </w:p>
        </w:tc>
        <w:tc>
          <w:tcPr>
            <w:tcW w:type="dxa" w:w="2376"/>
            <w:shd w:fill="EAF1F8"/>
            <w:tcMar>
              <w:top w:w="85" w:type="dxa"/>
              <w:start w:w="100" w:type="dxa"/>
              <w:bottom w:w="85" w:type="dxa"/>
              <w:end w:w="100" w:type="dxa"/>
            </w:tcMar>
            <w:vAlign w:val="center"/>
          </w:tcPr>
          <w:p>
            <w:pPr>
              <w:pStyle w:val="TableText"/>
              <w:jc w:val="left"/>
            </w:pPr>
            <w:r>
              <w:rPr>
                <w:sz w:val="17"/>
              </w:rPr>
              <w:t>Less than twenty minutes</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Nightly</w:t>
            </w:r>
          </w:p>
        </w:tc>
        <w:tc>
          <w:tcPr>
            <w:tcW w:type="dxa" w:w="5976"/>
            <w:shd w:fill="FFFFFF"/>
            <w:tcMar>
              <w:top w:w="85" w:type="dxa"/>
              <w:start w:w="100" w:type="dxa"/>
              <w:bottom w:w="85" w:type="dxa"/>
              <w:end w:w="100" w:type="dxa"/>
            </w:tcMar>
            <w:vAlign w:val="center"/>
          </w:tcPr>
          <w:p>
            <w:pPr>
              <w:pStyle w:val="TableText"/>
              <w:jc w:val="left"/>
            </w:pPr>
            <w:r>
              <w:rPr>
                <w:sz w:val="17"/>
              </w:rPr>
              <w:t>All standalone tests  sanitizers  linked NAT and CPL cases on eight ranks  exact restart</w:t>
            </w:r>
          </w:p>
        </w:tc>
        <w:tc>
          <w:tcPr>
            <w:tcW w:type="dxa" w:w="2376"/>
            <w:shd w:fill="FFFFFF"/>
            <w:tcMar>
              <w:top w:w="85" w:type="dxa"/>
              <w:start w:w="100" w:type="dxa"/>
              <w:bottom w:w="85" w:type="dxa"/>
              <w:end w:w="100" w:type="dxa"/>
            </w:tcMar>
            <w:vAlign w:val="center"/>
          </w:tcPr>
          <w:p>
            <w:pPr>
              <w:pStyle w:val="TableText"/>
              <w:jc w:val="left"/>
            </w:pPr>
            <w:r>
              <w:rPr>
                <w:sz w:val="17"/>
              </w:rPr>
              <w:t>Less than three hours</w:t>
            </w:r>
          </w:p>
        </w:tc>
      </w:tr>
      <w:tr>
        <w:trPr>
          <w:cantSplit/>
        </w:trPr>
        <w:tc>
          <w:tcPr>
            <w:tcW w:type="dxa" w:w="1800"/>
            <w:shd w:fill="EAF1F8"/>
            <w:tcMar>
              <w:top w:w="85" w:type="dxa"/>
              <w:start w:w="100" w:type="dxa"/>
              <w:bottom w:w="85" w:type="dxa"/>
              <w:end w:w="100" w:type="dxa"/>
            </w:tcMar>
            <w:vAlign w:val="center"/>
          </w:tcPr>
          <w:p>
            <w:pPr>
              <w:pStyle w:val="TableText"/>
              <w:jc w:val="center"/>
            </w:pPr>
            <w:r>
              <w:rPr>
                <w:sz w:val="17"/>
              </w:rPr>
              <w:t>Weekly</w:t>
            </w:r>
          </w:p>
        </w:tc>
        <w:tc>
          <w:tcPr>
            <w:tcW w:type="dxa" w:w="5976"/>
            <w:shd w:fill="EAF1F8"/>
            <w:tcMar>
              <w:top w:w="85" w:type="dxa"/>
              <w:start w:w="100" w:type="dxa"/>
              <w:bottom w:w="85" w:type="dxa"/>
              <w:end w:w="100" w:type="dxa"/>
            </w:tcMar>
            <w:vAlign w:val="center"/>
          </w:tcPr>
          <w:p>
            <w:pPr>
              <w:pStyle w:val="TableText"/>
              <w:jc w:val="left"/>
            </w:pPr>
            <w:r>
              <w:rPr>
                <w:sz w:val="17"/>
              </w:rPr>
              <w:t>Cross-model XM3D01 through XM3D05  sixty-four-rank reproducibility  performance trend</w:t>
            </w:r>
          </w:p>
        </w:tc>
        <w:tc>
          <w:tcPr>
            <w:tcW w:type="dxa" w:w="2376"/>
            <w:shd w:fill="EAF1F8"/>
            <w:tcMar>
              <w:top w:w="85" w:type="dxa"/>
              <w:start w:w="100" w:type="dxa"/>
              <w:bottom w:w="85" w:type="dxa"/>
              <w:end w:w="100" w:type="dxa"/>
            </w:tcMar>
            <w:vAlign w:val="center"/>
          </w:tcPr>
          <w:p>
            <w:pPr>
              <w:pStyle w:val="TableText"/>
              <w:jc w:val="left"/>
            </w:pPr>
            <w:r>
              <w:rPr>
                <w:sz w:val="17"/>
              </w:rPr>
              <w:t>Less than twenty-four hours</w:t>
            </w:r>
          </w:p>
        </w:tc>
      </w:tr>
      <w:tr>
        <w:trPr>
          <w:cantSplit/>
        </w:trPr>
        <w:tc>
          <w:tcPr>
            <w:tcW w:type="dxa" w:w="1800"/>
            <w:shd w:fill="FFFFFF"/>
            <w:tcMar>
              <w:top w:w="85" w:type="dxa"/>
              <w:start w:w="100" w:type="dxa"/>
              <w:bottom w:w="85" w:type="dxa"/>
              <w:end w:w="100" w:type="dxa"/>
            </w:tcMar>
            <w:vAlign w:val="center"/>
          </w:tcPr>
          <w:p>
            <w:pPr>
              <w:pStyle w:val="TableText"/>
              <w:jc w:val="center"/>
            </w:pPr>
            <w:r>
              <w:rPr>
                <w:sz w:val="17"/>
              </w:rPr>
              <w:t>Release</w:t>
            </w:r>
          </w:p>
        </w:tc>
        <w:tc>
          <w:tcPr>
            <w:tcW w:type="dxa" w:w="5976"/>
            <w:shd w:fill="FFFFFF"/>
            <w:tcMar>
              <w:top w:w="85" w:type="dxa"/>
              <w:start w:w="100" w:type="dxa"/>
              <w:bottom w:w="85" w:type="dxa"/>
              <w:end w:w="100" w:type="dxa"/>
            </w:tcMar>
            <w:vAlign w:val="center"/>
          </w:tcPr>
          <w:p>
            <w:pPr>
              <w:pStyle w:val="TableText"/>
              <w:jc w:val="left"/>
            </w:pPr>
            <w:r>
              <w:rPr>
                <w:sz w:val="17"/>
              </w:rPr>
              <w:t>Complete analytic  linked  cross-model  extended and observational campaign</w:t>
            </w:r>
          </w:p>
        </w:tc>
        <w:tc>
          <w:tcPr>
            <w:tcW w:type="dxa" w:w="2376"/>
            <w:shd w:fill="FFFFFF"/>
            <w:tcMar>
              <w:top w:w="85" w:type="dxa"/>
              <w:start w:w="100" w:type="dxa"/>
              <w:bottom w:w="85" w:type="dxa"/>
              <w:end w:w="100" w:type="dxa"/>
            </w:tcMar>
            <w:vAlign w:val="center"/>
          </w:tcPr>
          <w:p>
            <w:pPr>
              <w:pStyle w:val="TableText"/>
              <w:jc w:val="left"/>
            </w:pPr>
            <w:r>
              <w:rPr>
                <w:sz w:val="17"/>
              </w:rPr>
              <w:t>No fixed limit  evidence must be complete</w:t>
            </w:r>
          </w:p>
        </w:tc>
      </w:tr>
    </w:tbl>
    <w:p>
      <w:pPr>
        <w:pStyle w:val="Heading2"/>
      </w:pPr>
      <w:r>
        <w:t>2 Runner Requirements</w:t>
      </w:r>
    </w:p>
    <w:p>
      <w:pPr>
        <w:pStyle w:val="ListBullet"/>
        <w:spacing w:after="50"/>
      </w:pPr>
      <w:r>
        <w:t>Support list  single test  repeated test  group  all routine  all extended  and resume modes.</w:t>
      </w:r>
    </w:p>
    <w:p>
      <w:pPr>
        <w:pStyle w:val="ListBullet"/>
        <w:spacing w:after="50"/>
      </w:pPr>
      <w:r>
        <w:t>Print live case status and forward relevant AMPS output.</w:t>
      </w:r>
    </w:p>
    <w:p>
      <w:pPr>
        <w:pStyle w:val="ListBullet"/>
        <w:spacing w:after="50"/>
      </w:pPr>
      <w:r>
        <w:t>At completion list every failed  errored  skipped and incomplete case with its log path.</w:t>
      </w:r>
    </w:p>
    <w:p>
      <w:pPr>
        <w:pStyle w:val="ListBullet"/>
        <w:spacing w:after="50"/>
      </w:pPr>
      <w:r>
        <w:t>Separate serial-only cases from MPI cases and reject an incompatible launch before execution.</w:t>
      </w:r>
    </w:p>
    <w:p>
      <w:pPr>
        <w:pStyle w:val="ListBullet"/>
        <w:spacing w:after="50"/>
      </w:pPr>
      <w:r>
        <w:t>Write a machine-readable summary and a human-readable report from the same result records.</w:t>
      </w:r>
    </w:p>
    <w:p>
      <w:pPr>
        <w:pStyle w:val="ListBullet"/>
        <w:spacing w:after="50"/>
      </w:pPr>
      <w:r>
        <w:t>Never treat a missing executable  missing reference  timeout or parser failure as a physics failure.</w:t>
      </w:r>
    </w:p>
    <w:p>
      <w:pPr>
        <w:pStyle w:val="Heading2"/>
      </w:pPr>
      <w:r>
        <w:t>3 Release Evidence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trPr>
        <w:tc>
          <w:tcPr>
            <w:tcW w:type="dxa" w:w="2304"/>
            <w:shd w:fill="17365D"/>
            <w:tcMar>
              <w:top w:w="100" w:type="dxa"/>
              <w:start w:w="110" w:type="dxa"/>
              <w:bottom w:w="100" w:type="dxa"/>
              <w:end w:w="110" w:type="dxa"/>
            </w:tcMar>
            <w:vAlign w:val="center"/>
          </w:tcPr>
          <w:p>
            <w:pPr>
              <w:pStyle w:val="TableText"/>
              <w:jc w:val="center"/>
            </w:pPr>
            <w:r>
              <w:rPr>
                <w:b/>
                <w:color w:val="FFFFFF"/>
                <w:sz w:val="17"/>
              </w:rPr>
              <w:t>Artifact</w:t>
            </w:r>
          </w:p>
        </w:tc>
        <w:tc>
          <w:tcPr>
            <w:tcW w:type="dxa" w:w="7848"/>
            <w:shd w:fill="17365D"/>
            <w:tcMar>
              <w:top w:w="100" w:type="dxa"/>
              <w:start w:w="110" w:type="dxa"/>
              <w:bottom w:w="100" w:type="dxa"/>
              <w:end w:w="110" w:type="dxa"/>
            </w:tcMar>
            <w:vAlign w:val="center"/>
          </w:tcPr>
          <w:p>
            <w:pPr>
              <w:pStyle w:val="TableText"/>
              <w:jc w:val="center"/>
            </w:pPr>
            <w:r>
              <w:rPr>
                <w:b/>
                <w:color w:val="FFFFFF"/>
                <w:sz w:val="17"/>
              </w:rPr>
              <w:t>Required content</w:t>
            </w:r>
          </w:p>
        </w:tc>
      </w:tr>
      <w:tr>
        <w:trPr>
          <w:cantSplit/>
        </w:trPr>
        <w:tc>
          <w:tcPr>
            <w:tcW w:type="dxa" w:w="2304"/>
            <w:shd w:fill="FFFFFF"/>
            <w:tcMar>
              <w:top w:w="85" w:type="dxa"/>
              <w:start w:w="100" w:type="dxa"/>
              <w:bottom w:w="85" w:type="dxa"/>
              <w:end w:w="100" w:type="dxa"/>
            </w:tcMar>
            <w:vAlign w:val="center"/>
          </w:tcPr>
          <w:p>
            <w:pPr>
              <w:pStyle w:val="TableText"/>
              <w:jc w:val="center"/>
            </w:pPr>
            <w:r>
              <w:rPr>
                <w:sz w:val="17"/>
              </w:rPr>
              <w:t>Run manifest</w:t>
            </w:r>
          </w:p>
        </w:tc>
        <w:tc>
          <w:tcPr>
            <w:tcW w:type="dxa" w:w="7848"/>
            <w:shd w:fill="FFFFFF"/>
            <w:tcMar>
              <w:top w:w="85" w:type="dxa"/>
              <w:start w:w="100" w:type="dxa"/>
              <w:bottom w:w="85" w:type="dxa"/>
              <w:end w:w="100" w:type="dxa"/>
            </w:tcMar>
            <w:vAlign w:val="center"/>
          </w:tcPr>
          <w:p>
            <w:pPr>
              <w:pStyle w:val="TableText"/>
              <w:jc w:val="left"/>
            </w:pPr>
            <w:r>
              <w:rPr>
                <w:sz w:val="17"/>
              </w:rPr>
              <w:t>Code revision  configuration fingerprint  build flags  compiler  rank and thread counts  seed  provider identities  snapshot IDs</w:t>
            </w:r>
          </w:p>
        </w:tc>
      </w:tr>
      <w:tr>
        <w:trPr>
          <w:cantSplit/>
        </w:trPr>
        <w:tc>
          <w:tcPr>
            <w:tcW w:type="dxa" w:w="2304"/>
            <w:shd w:fill="EAF1F8"/>
            <w:tcMar>
              <w:top w:w="85" w:type="dxa"/>
              <w:start w:w="100" w:type="dxa"/>
              <w:bottom w:w="85" w:type="dxa"/>
              <w:end w:w="100" w:type="dxa"/>
            </w:tcMar>
            <w:vAlign w:val="center"/>
          </w:tcPr>
          <w:p>
            <w:pPr>
              <w:pStyle w:val="TableText"/>
              <w:jc w:val="center"/>
            </w:pPr>
            <w:r>
              <w:rPr>
                <w:sz w:val="17"/>
              </w:rPr>
              <w:t>Test summary</w:t>
            </w:r>
          </w:p>
        </w:tc>
        <w:tc>
          <w:tcPr>
            <w:tcW w:type="dxa" w:w="7848"/>
            <w:shd w:fill="EAF1F8"/>
            <w:tcMar>
              <w:top w:w="85" w:type="dxa"/>
              <w:start w:w="100" w:type="dxa"/>
              <w:bottom w:w="85" w:type="dxa"/>
              <w:end w:w="100" w:type="dxa"/>
            </w:tcMar>
            <w:vAlign w:val="center"/>
          </w:tcPr>
          <w:p>
            <w:pPr>
              <w:pStyle w:val="TableText"/>
              <w:jc w:val="left"/>
            </w:pPr>
            <w:r>
              <w:rPr>
                <w:sz w:val="17"/>
              </w:rPr>
              <w:t>Status  measurements  tolerances  wall time and log path for every selected test</w:t>
            </w:r>
          </w:p>
        </w:tc>
      </w:tr>
      <w:tr>
        <w:trPr>
          <w:cantSplit/>
        </w:trPr>
        <w:tc>
          <w:tcPr>
            <w:tcW w:type="dxa" w:w="2304"/>
            <w:shd w:fill="FFFFFF"/>
            <w:tcMar>
              <w:top w:w="85" w:type="dxa"/>
              <w:start w:w="100" w:type="dxa"/>
              <w:bottom w:w="85" w:type="dxa"/>
              <w:end w:w="100" w:type="dxa"/>
            </w:tcMar>
            <w:vAlign w:val="center"/>
          </w:tcPr>
          <w:p>
            <w:pPr>
              <w:pStyle w:val="TableText"/>
              <w:jc w:val="center"/>
            </w:pPr>
            <w:r>
              <w:rPr>
                <w:sz w:val="17"/>
              </w:rPr>
              <w:t>Convergence report</w:t>
            </w:r>
          </w:p>
        </w:tc>
        <w:tc>
          <w:tcPr>
            <w:tcW w:type="dxa" w:w="7848"/>
            <w:shd w:fill="FFFFFF"/>
            <w:tcMar>
              <w:top w:w="85" w:type="dxa"/>
              <w:start w:w="100" w:type="dxa"/>
              <w:bottom w:w="85" w:type="dxa"/>
              <w:end w:w="100" w:type="dxa"/>
            </w:tcMar>
            <w:vAlign w:val="center"/>
          </w:tcPr>
          <w:p>
            <w:pPr>
              <w:pStyle w:val="TableText"/>
              <w:jc w:val="left"/>
            </w:pPr>
            <w:r>
              <w:rPr>
                <w:sz w:val="17"/>
              </w:rPr>
              <w:t>Mesh  time-step  particle-number and ensemble-size studies with selected production point</w:t>
            </w:r>
          </w:p>
        </w:tc>
      </w:tr>
      <w:tr>
        <w:trPr>
          <w:cantSplit/>
        </w:trPr>
        <w:tc>
          <w:tcPr>
            <w:tcW w:type="dxa" w:w="2304"/>
            <w:shd w:fill="EAF1F8"/>
            <w:tcMar>
              <w:top w:w="85" w:type="dxa"/>
              <w:start w:w="100" w:type="dxa"/>
              <w:bottom w:w="85" w:type="dxa"/>
              <w:end w:w="100" w:type="dxa"/>
            </w:tcMar>
            <w:vAlign w:val="center"/>
          </w:tcPr>
          <w:p>
            <w:pPr>
              <w:pStyle w:val="TableText"/>
              <w:jc w:val="center"/>
            </w:pPr>
            <w:r>
              <w:rPr>
                <w:sz w:val="17"/>
              </w:rPr>
              <w:t>Data provenance</w:t>
            </w:r>
          </w:p>
        </w:tc>
        <w:tc>
          <w:tcPr>
            <w:tcW w:type="dxa" w:w="7848"/>
            <w:shd w:fill="EAF1F8"/>
            <w:tcMar>
              <w:top w:w="85" w:type="dxa"/>
              <w:start w:w="100" w:type="dxa"/>
              <w:bottom w:w="85" w:type="dxa"/>
              <w:end w:w="100" w:type="dxa"/>
            </w:tcMar>
            <w:vAlign w:val="center"/>
          </w:tcPr>
          <w:p>
            <w:pPr>
              <w:pStyle w:val="TableText"/>
              <w:jc w:val="left"/>
            </w:pPr>
            <w:r>
              <w:rPr>
                <w:sz w:val="17"/>
              </w:rPr>
              <w:t>Dataset location  source citation  preprocessing and checksums</w:t>
            </w:r>
          </w:p>
        </w:tc>
      </w:tr>
      <w:tr>
        <w:trPr>
          <w:cantSplit/>
        </w:trPr>
        <w:tc>
          <w:tcPr>
            <w:tcW w:type="dxa" w:w="2304"/>
            <w:shd w:fill="FFFFFF"/>
            <w:tcMar>
              <w:top w:w="85" w:type="dxa"/>
              <w:start w:w="100" w:type="dxa"/>
              <w:bottom w:w="85" w:type="dxa"/>
              <w:end w:w="100" w:type="dxa"/>
            </w:tcMar>
            <w:vAlign w:val="center"/>
          </w:tcPr>
          <w:p>
            <w:pPr>
              <w:pStyle w:val="TableText"/>
              <w:jc w:val="center"/>
            </w:pPr>
            <w:r>
              <w:rPr>
                <w:sz w:val="17"/>
              </w:rPr>
              <w:t>Plots</w:t>
            </w:r>
          </w:p>
        </w:tc>
        <w:tc>
          <w:tcPr>
            <w:tcW w:type="dxa" w:w="7848"/>
            <w:shd w:fill="FFFFFF"/>
            <w:tcMar>
              <w:top w:w="85" w:type="dxa"/>
              <w:start w:w="100" w:type="dxa"/>
              <w:bottom w:w="85" w:type="dxa"/>
              <w:end w:w="100" w:type="dxa"/>
            </w:tcMar>
            <w:vAlign w:val="center"/>
          </w:tcPr>
          <w:p>
            <w:pPr>
              <w:pStyle w:val="TableText"/>
              <w:jc w:val="left"/>
            </w:pPr>
            <w:r>
              <w:rPr>
                <w:sz w:val="17"/>
              </w:rPr>
              <w:t>Unit-bearing axes  case identifier  model configuration  observation source and uncertainty where available</w:t>
            </w:r>
          </w:p>
        </w:tc>
      </w:tr>
      <w:tr>
        <w:trPr>
          <w:cantSplit/>
        </w:trPr>
        <w:tc>
          <w:tcPr>
            <w:tcW w:type="dxa" w:w="2304"/>
            <w:shd w:fill="EAF1F8"/>
            <w:tcMar>
              <w:top w:w="85" w:type="dxa"/>
              <w:start w:w="100" w:type="dxa"/>
              <w:bottom w:w="85" w:type="dxa"/>
              <w:end w:w="100" w:type="dxa"/>
            </w:tcMar>
            <w:vAlign w:val="center"/>
          </w:tcPr>
          <w:p>
            <w:pPr>
              <w:pStyle w:val="TableText"/>
              <w:jc w:val="center"/>
            </w:pPr>
            <w:r>
              <w:rPr>
                <w:sz w:val="17"/>
              </w:rPr>
              <w:t>Hashes</w:t>
            </w:r>
          </w:p>
        </w:tc>
        <w:tc>
          <w:tcPr>
            <w:tcW w:type="dxa" w:w="7848"/>
            <w:shd w:fill="EAF1F8"/>
            <w:tcMar>
              <w:top w:w="85" w:type="dxa"/>
              <w:start w:w="100" w:type="dxa"/>
              <w:bottom w:w="85" w:type="dxa"/>
              <w:end w:w="100" w:type="dxa"/>
            </w:tcMar>
            <w:vAlign w:val="center"/>
          </w:tcPr>
          <w:p>
            <w:pPr>
              <w:pStyle w:val="TableText"/>
              <w:jc w:val="left"/>
            </w:pPr>
            <w:r>
              <w:rPr>
                <w:sz w:val="17"/>
              </w:rPr>
              <w:t>Inputs  executable  primary outputs  plots and reports</w:t>
            </w:r>
          </w:p>
        </w:tc>
      </w:tr>
    </w:tbl>
    <w:p>
      <w:pPr>
        <w:pStyle w:val="Heading2"/>
      </w:pPr>
      <w:r>
        <w:t>4 Failure Classification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1584"/>
            <w:shd w:fill="17365D"/>
            <w:tcMar>
              <w:top w:w="100" w:type="dxa"/>
              <w:start w:w="110" w:type="dxa"/>
              <w:bottom w:w="100" w:type="dxa"/>
              <w:end w:w="110" w:type="dxa"/>
            </w:tcMar>
            <w:vAlign w:val="center"/>
          </w:tcPr>
          <w:p>
            <w:pPr>
              <w:pStyle w:val="TableText"/>
              <w:jc w:val="center"/>
            </w:pPr>
            <w:r>
              <w:rPr>
                <w:b/>
                <w:color w:val="FFFFFF"/>
                <w:sz w:val="17"/>
              </w:rPr>
              <w:t>Status</w:t>
            </w:r>
          </w:p>
        </w:tc>
        <w:tc>
          <w:tcPr>
            <w:tcW w:type="dxa" w:w="5256"/>
            <w:shd w:fill="17365D"/>
            <w:tcMar>
              <w:top w:w="100" w:type="dxa"/>
              <w:start w:w="110" w:type="dxa"/>
              <w:bottom w:w="100" w:type="dxa"/>
              <w:end w:w="110" w:type="dxa"/>
            </w:tcMar>
            <w:vAlign w:val="center"/>
          </w:tcPr>
          <w:p>
            <w:pPr>
              <w:pStyle w:val="TableText"/>
              <w:jc w:val="center"/>
            </w:pPr>
            <w:r>
              <w:rPr>
                <w:b/>
                <w:color w:val="FFFFFF"/>
                <w:sz w:val="17"/>
              </w:rPr>
              <w:t>Meaning</w:t>
            </w:r>
          </w:p>
        </w:tc>
        <w:tc>
          <w:tcPr>
            <w:tcW w:type="dxa" w:w="3311"/>
            <w:shd w:fill="17365D"/>
            <w:tcMar>
              <w:top w:w="100" w:type="dxa"/>
              <w:start w:w="110" w:type="dxa"/>
              <w:bottom w:w="100" w:type="dxa"/>
              <w:end w:w="110" w:type="dxa"/>
            </w:tcMar>
            <w:vAlign w:val="center"/>
          </w:tcPr>
          <w:p>
            <w:pPr>
              <w:pStyle w:val="TableText"/>
              <w:jc w:val="center"/>
            </w:pPr>
            <w:r>
              <w:rPr>
                <w:b/>
                <w:color w:val="FFFFFF"/>
                <w:sz w:val="17"/>
              </w:rPr>
              <w:t>Release effect</w:t>
            </w:r>
          </w:p>
        </w:tc>
      </w:tr>
      <w:tr>
        <w:trPr>
          <w:cantSplit/>
        </w:trPr>
        <w:tc>
          <w:tcPr>
            <w:tcW w:type="dxa" w:w="1584"/>
            <w:shd w:fill="FFFFFF"/>
            <w:tcMar>
              <w:top w:w="85" w:type="dxa"/>
              <w:start w:w="100" w:type="dxa"/>
              <w:bottom w:w="85" w:type="dxa"/>
              <w:end w:w="100" w:type="dxa"/>
            </w:tcMar>
            <w:vAlign w:val="center"/>
          </w:tcPr>
          <w:p>
            <w:pPr>
              <w:pStyle w:val="TableText"/>
              <w:jc w:val="center"/>
            </w:pPr>
            <w:r>
              <w:rPr>
                <w:sz w:val="17"/>
              </w:rPr>
              <w:t>PASS</w:t>
            </w:r>
          </w:p>
        </w:tc>
        <w:tc>
          <w:tcPr>
            <w:tcW w:type="dxa" w:w="5256"/>
            <w:shd w:fill="FFFFFF"/>
            <w:tcMar>
              <w:top w:w="85" w:type="dxa"/>
              <w:start w:w="100" w:type="dxa"/>
              <w:bottom w:w="85" w:type="dxa"/>
              <w:end w:w="100" w:type="dxa"/>
            </w:tcMar>
            <w:vAlign w:val="center"/>
          </w:tcPr>
          <w:p>
            <w:pPr>
              <w:pStyle w:val="TableText"/>
              <w:jc w:val="left"/>
            </w:pPr>
            <w:r>
              <w:rPr>
                <w:sz w:val="17"/>
              </w:rPr>
              <w:t>All required measurements satisfy the declared acceptance criteria</w:t>
            </w:r>
          </w:p>
        </w:tc>
        <w:tc>
          <w:tcPr>
            <w:tcW w:type="dxa" w:w="3311"/>
            <w:shd w:fill="FFFFFF"/>
            <w:tcMar>
              <w:top w:w="85" w:type="dxa"/>
              <w:start w:w="100" w:type="dxa"/>
              <w:bottom w:w="85" w:type="dxa"/>
              <w:end w:w="100" w:type="dxa"/>
            </w:tcMar>
            <w:vAlign w:val="center"/>
          </w:tcPr>
          <w:p>
            <w:pPr>
              <w:pStyle w:val="TableText"/>
              <w:jc w:val="left"/>
            </w:pPr>
            <w:r>
              <w:rPr>
                <w:sz w:val="17"/>
              </w:rPr>
              <w:t>May proceed</w:t>
            </w:r>
          </w:p>
        </w:tc>
      </w:tr>
      <w:tr>
        <w:trPr>
          <w:cantSplit/>
        </w:trPr>
        <w:tc>
          <w:tcPr>
            <w:tcW w:type="dxa" w:w="1584"/>
            <w:shd w:fill="EAF1F8"/>
            <w:tcMar>
              <w:top w:w="85" w:type="dxa"/>
              <w:start w:w="100" w:type="dxa"/>
              <w:bottom w:w="85" w:type="dxa"/>
              <w:end w:w="100" w:type="dxa"/>
            </w:tcMar>
            <w:vAlign w:val="center"/>
          </w:tcPr>
          <w:p>
            <w:pPr>
              <w:pStyle w:val="TableText"/>
              <w:jc w:val="center"/>
            </w:pPr>
            <w:r>
              <w:rPr>
                <w:sz w:val="17"/>
              </w:rPr>
              <w:t>FAIL</w:t>
            </w:r>
          </w:p>
        </w:tc>
        <w:tc>
          <w:tcPr>
            <w:tcW w:type="dxa" w:w="5256"/>
            <w:shd w:fill="EAF1F8"/>
            <w:tcMar>
              <w:top w:w="85" w:type="dxa"/>
              <w:start w:w="100" w:type="dxa"/>
              <w:bottom w:w="85" w:type="dxa"/>
              <w:end w:w="100" w:type="dxa"/>
            </w:tcMar>
            <w:vAlign w:val="center"/>
          </w:tcPr>
          <w:p>
            <w:pPr>
              <w:pStyle w:val="TableText"/>
              <w:jc w:val="left"/>
            </w:pPr>
            <w:r>
              <w:rPr>
                <w:sz w:val="17"/>
              </w:rPr>
              <w:t>The test executed correctly and a physics or numerical criterion was not met</w:t>
            </w:r>
          </w:p>
        </w:tc>
        <w:tc>
          <w:tcPr>
            <w:tcW w:type="dxa" w:w="3311"/>
            <w:shd w:fill="EAF1F8"/>
            <w:tcMar>
              <w:top w:w="85" w:type="dxa"/>
              <w:start w:w="100" w:type="dxa"/>
              <w:bottom w:w="85" w:type="dxa"/>
              <w:end w:w="100" w:type="dxa"/>
            </w:tcMar>
            <w:vAlign w:val="center"/>
          </w:tcPr>
          <w:p>
            <w:pPr>
              <w:pStyle w:val="TableText"/>
              <w:jc w:val="left"/>
            </w:pPr>
            <w:r>
              <w:rPr>
                <w:sz w:val="17"/>
              </w:rPr>
              <w:t>Blocks the relevant gate</w:t>
            </w:r>
          </w:p>
        </w:tc>
      </w:tr>
      <w:tr>
        <w:trPr>
          <w:cantSplit/>
        </w:trPr>
        <w:tc>
          <w:tcPr>
            <w:tcW w:type="dxa" w:w="1584"/>
            <w:shd w:fill="FFFFFF"/>
            <w:tcMar>
              <w:top w:w="85" w:type="dxa"/>
              <w:start w:w="100" w:type="dxa"/>
              <w:bottom w:w="85" w:type="dxa"/>
              <w:end w:w="100" w:type="dxa"/>
            </w:tcMar>
            <w:vAlign w:val="center"/>
          </w:tcPr>
          <w:p>
            <w:pPr>
              <w:pStyle w:val="TableText"/>
              <w:jc w:val="center"/>
            </w:pPr>
            <w:r>
              <w:rPr>
                <w:sz w:val="17"/>
              </w:rPr>
              <w:t>ERROR</w:t>
            </w:r>
          </w:p>
        </w:tc>
        <w:tc>
          <w:tcPr>
            <w:tcW w:type="dxa" w:w="5256"/>
            <w:shd w:fill="FFFFFF"/>
            <w:tcMar>
              <w:top w:w="85" w:type="dxa"/>
              <w:start w:w="100" w:type="dxa"/>
              <w:bottom w:w="85" w:type="dxa"/>
              <w:end w:w="100" w:type="dxa"/>
            </w:tcMar>
            <w:vAlign w:val="center"/>
          </w:tcPr>
          <w:p>
            <w:pPr>
              <w:pStyle w:val="TableText"/>
              <w:jc w:val="left"/>
            </w:pPr>
            <w:r>
              <w:rPr>
                <w:sz w:val="17"/>
              </w:rPr>
              <w:t>Build  launch  parser  file or runtime infrastructure prevented evaluation</w:t>
            </w:r>
          </w:p>
        </w:tc>
        <w:tc>
          <w:tcPr>
            <w:tcW w:type="dxa" w:w="3311"/>
            <w:shd w:fill="FFFFFF"/>
            <w:tcMar>
              <w:top w:w="85" w:type="dxa"/>
              <w:start w:w="100" w:type="dxa"/>
              <w:bottom w:w="85" w:type="dxa"/>
              <w:end w:w="100" w:type="dxa"/>
            </w:tcMar>
            <w:vAlign w:val="center"/>
          </w:tcPr>
          <w:p>
            <w:pPr>
              <w:pStyle w:val="TableText"/>
              <w:jc w:val="left"/>
            </w:pPr>
            <w:r>
              <w:rPr>
                <w:sz w:val="17"/>
              </w:rPr>
              <w:t>Blocks the relevant gate and is not counted as a physics result</w:t>
            </w:r>
          </w:p>
        </w:tc>
      </w:tr>
      <w:tr>
        <w:trPr>
          <w:cantSplit/>
        </w:trPr>
        <w:tc>
          <w:tcPr>
            <w:tcW w:type="dxa" w:w="1584"/>
            <w:shd w:fill="EAF1F8"/>
            <w:tcMar>
              <w:top w:w="85" w:type="dxa"/>
              <w:start w:w="100" w:type="dxa"/>
              <w:bottom w:w="85" w:type="dxa"/>
              <w:end w:w="100" w:type="dxa"/>
            </w:tcMar>
            <w:vAlign w:val="center"/>
          </w:tcPr>
          <w:p>
            <w:pPr>
              <w:pStyle w:val="TableText"/>
              <w:jc w:val="center"/>
            </w:pPr>
            <w:r>
              <w:rPr>
                <w:sz w:val="17"/>
              </w:rPr>
              <w:t>SKIP</w:t>
            </w:r>
          </w:p>
        </w:tc>
        <w:tc>
          <w:tcPr>
            <w:tcW w:type="dxa" w:w="5256"/>
            <w:shd w:fill="EAF1F8"/>
            <w:tcMar>
              <w:top w:w="85" w:type="dxa"/>
              <w:start w:w="100" w:type="dxa"/>
              <w:bottom w:w="85" w:type="dxa"/>
              <w:end w:w="100" w:type="dxa"/>
            </w:tcMar>
            <w:vAlign w:val="center"/>
          </w:tcPr>
          <w:p>
            <w:pPr>
              <w:pStyle w:val="TableText"/>
              <w:jc w:val="left"/>
            </w:pPr>
            <w:r>
              <w:rPr>
                <w:sz w:val="17"/>
              </w:rPr>
              <w:t>An explicitly reserved feature or unavailable optional dataset was not run</w:t>
            </w:r>
          </w:p>
        </w:tc>
        <w:tc>
          <w:tcPr>
            <w:tcW w:type="dxa" w:w="3311"/>
            <w:shd w:fill="EAF1F8"/>
            <w:tcMar>
              <w:top w:w="85" w:type="dxa"/>
              <w:start w:w="100" w:type="dxa"/>
              <w:bottom w:w="85" w:type="dxa"/>
              <w:end w:w="100" w:type="dxa"/>
            </w:tcMar>
            <w:vAlign w:val="center"/>
          </w:tcPr>
          <w:p>
            <w:pPr>
              <w:pStyle w:val="TableText"/>
              <w:jc w:val="left"/>
            </w:pPr>
            <w:r>
              <w:rPr>
                <w:sz w:val="17"/>
              </w:rPr>
              <w:t>Allowed only when the plan marks the case diagnostic or reserved</w:t>
            </w:r>
          </w:p>
        </w:tc>
      </w:tr>
      <w:tr>
        <w:trPr>
          <w:cantSplit/>
        </w:trPr>
        <w:tc>
          <w:tcPr>
            <w:tcW w:type="dxa" w:w="1584"/>
            <w:shd w:fill="FFFFFF"/>
            <w:tcMar>
              <w:top w:w="85" w:type="dxa"/>
              <w:start w:w="100" w:type="dxa"/>
              <w:bottom w:w="85" w:type="dxa"/>
              <w:end w:w="100" w:type="dxa"/>
            </w:tcMar>
            <w:vAlign w:val="center"/>
          </w:tcPr>
          <w:p>
            <w:pPr>
              <w:pStyle w:val="TableText"/>
              <w:jc w:val="center"/>
            </w:pPr>
            <w:r>
              <w:rPr>
                <w:sz w:val="17"/>
              </w:rPr>
              <w:t>INCOMPLETE</w:t>
            </w:r>
          </w:p>
        </w:tc>
        <w:tc>
          <w:tcPr>
            <w:tcW w:type="dxa" w:w="5256"/>
            <w:shd w:fill="FFFFFF"/>
            <w:tcMar>
              <w:top w:w="85" w:type="dxa"/>
              <w:start w:w="100" w:type="dxa"/>
              <w:bottom w:w="85" w:type="dxa"/>
              <w:end w:w="100" w:type="dxa"/>
            </w:tcMar>
            <w:vAlign w:val="center"/>
          </w:tcPr>
          <w:p>
            <w:pPr>
              <w:pStyle w:val="TableText"/>
              <w:jc w:val="left"/>
            </w:pPr>
            <w:r>
              <w:rPr>
                <w:sz w:val="17"/>
              </w:rPr>
              <w:t>The run ended without sufficient evidence</w:t>
            </w:r>
          </w:p>
        </w:tc>
        <w:tc>
          <w:tcPr>
            <w:tcW w:type="dxa" w:w="3311"/>
            <w:shd w:fill="FFFFFF"/>
            <w:tcMar>
              <w:top w:w="85" w:type="dxa"/>
              <w:start w:w="100" w:type="dxa"/>
              <w:bottom w:w="85" w:type="dxa"/>
              <w:end w:w="100" w:type="dxa"/>
            </w:tcMar>
            <w:vAlign w:val="center"/>
          </w:tcPr>
          <w:p>
            <w:pPr>
              <w:pStyle w:val="TableText"/>
              <w:jc w:val="left"/>
            </w:pPr>
            <w:r>
              <w:rPr>
                <w:sz w:val="17"/>
              </w:rPr>
              <w:t>Blocks the relevant gate</w:t>
            </w:r>
          </w:p>
        </w:tc>
      </w:tr>
    </w:tbl>
    <w:p>
      <w:pPr>
        <w:pStyle w:val="Heading1"/>
      </w:pPr>
      <w:r>
        <w:t>11 Risks and Open Decisions</w:t>
      </w:r>
    </w:p>
    <w:p>
      <w:pPr>
        <w:pStyle w:val="Heading2"/>
      </w:pPr>
      <w:r>
        <w:t>1 Technical Risks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3168"/>
            <w:shd w:fill="17365D"/>
            <w:tcMar>
              <w:top w:w="100" w:type="dxa"/>
              <w:start w:w="110" w:type="dxa"/>
              <w:bottom w:w="100" w:type="dxa"/>
              <w:end w:w="110" w:type="dxa"/>
            </w:tcMar>
            <w:vAlign w:val="center"/>
          </w:tcPr>
          <w:p>
            <w:pPr>
              <w:pStyle w:val="TableText"/>
              <w:jc w:val="center"/>
            </w:pPr>
            <w:r>
              <w:rPr>
                <w:b/>
                <w:color w:val="FFFFFF"/>
                <w:sz w:val="17"/>
              </w:rPr>
              <w:t>Risk</w:t>
            </w:r>
          </w:p>
        </w:tc>
        <w:tc>
          <w:tcPr>
            <w:tcW w:type="dxa" w:w="3240"/>
            <w:shd w:fill="17365D"/>
            <w:tcMar>
              <w:top w:w="100" w:type="dxa"/>
              <w:start w:w="110" w:type="dxa"/>
              <w:bottom w:w="100" w:type="dxa"/>
              <w:end w:w="110" w:type="dxa"/>
            </w:tcMar>
            <w:vAlign w:val="center"/>
          </w:tcPr>
          <w:p>
            <w:pPr>
              <w:pStyle w:val="TableText"/>
              <w:jc w:val="center"/>
            </w:pPr>
            <w:r>
              <w:rPr>
                <w:b/>
                <w:color w:val="FFFFFF"/>
                <w:sz w:val="17"/>
              </w:rPr>
              <w:t>Consequence</w:t>
            </w:r>
          </w:p>
        </w:tc>
        <w:tc>
          <w:tcPr>
            <w:tcW w:type="dxa" w:w="3744"/>
            <w:shd w:fill="17365D"/>
            <w:tcMar>
              <w:top w:w="100" w:type="dxa"/>
              <w:start w:w="110" w:type="dxa"/>
              <w:bottom w:w="100" w:type="dxa"/>
              <w:end w:w="110" w:type="dxa"/>
            </w:tcMar>
            <w:vAlign w:val="center"/>
          </w:tcPr>
          <w:p>
            <w:pPr>
              <w:pStyle w:val="TableText"/>
              <w:jc w:val="center"/>
            </w:pPr>
            <w:r>
              <w:rPr>
                <w:b/>
                <w:color w:val="FFFFFF"/>
                <w:sz w:val="17"/>
              </w:rPr>
              <w:t>Control</w:t>
            </w:r>
          </w:p>
        </w:tc>
      </w:tr>
      <w:tr>
        <w:trPr>
          <w:cantSplit/>
        </w:trPr>
        <w:tc>
          <w:tcPr>
            <w:tcW w:type="dxa" w:w="3168"/>
            <w:shd w:fill="FFFFFF"/>
            <w:tcMar>
              <w:top w:w="85" w:type="dxa"/>
              <w:start w:w="100" w:type="dxa"/>
              <w:bottom w:w="85" w:type="dxa"/>
              <w:end w:w="100" w:type="dxa"/>
            </w:tcMar>
            <w:vAlign w:val="center"/>
          </w:tcPr>
          <w:p>
            <w:pPr>
              <w:pStyle w:val="TableText"/>
              <w:jc w:val="center"/>
            </w:pPr>
            <w:r>
              <w:rPr>
                <w:sz w:val="17"/>
              </w:rPr>
              <w:t>Incorrect diffusion drift</w:t>
            </w:r>
          </w:p>
        </w:tc>
        <w:tc>
          <w:tcPr>
            <w:tcW w:type="dxa" w:w="3240"/>
            <w:shd w:fill="FFFFFF"/>
            <w:tcMar>
              <w:top w:w="85" w:type="dxa"/>
              <w:start w:w="100" w:type="dxa"/>
              <w:bottom w:w="85" w:type="dxa"/>
              <w:end w:w="100" w:type="dxa"/>
            </w:tcMar>
            <w:vAlign w:val="center"/>
          </w:tcPr>
          <w:p>
            <w:pPr>
              <w:pStyle w:val="TableText"/>
              <w:jc w:val="left"/>
            </w:pPr>
            <w:r>
              <w:rPr>
                <w:sz w:val="17"/>
              </w:rPr>
              <w:t>Plausible but systematically migrating density</w:t>
            </w:r>
          </w:p>
        </w:tc>
        <w:tc>
          <w:tcPr>
            <w:tcW w:type="dxa" w:w="3744"/>
            <w:shd w:fill="FFFFFF"/>
            <w:tcMar>
              <w:top w:w="85" w:type="dxa"/>
              <w:start w:w="100" w:type="dxa"/>
              <w:bottom w:w="85" w:type="dxa"/>
              <w:end w:w="100" w:type="dxa"/>
            </w:tcMar>
            <w:vAlign w:val="center"/>
          </w:tcPr>
          <w:p>
            <w:pPr>
              <w:pStyle w:val="TableText"/>
              <w:jc w:val="left"/>
            </w:pPr>
            <w:r>
              <w:rPr>
                <w:sz w:val="17"/>
              </w:rPr>
              <w:t>Uniform-density negative-control test and independent tensor-divergence comparison</w:t>
            </w:r>
          </w:p>
        </w:tc>
      </w:tr>
      <w:tr>
        <w:trPr>
          <w:cantSplit/>
        </w:trPr>
        <w:tc>
          <w:tcPr>
            <w:tcW w:type="dxa" w:w="3168"/>
            <w:shd w:fill="EAF1F8"/>
            <w:tcMar>
              <w:top w:w="85" w:type="dxa"/>
              <w:start w:w="100" w:type="dxa"/>
              <w:bottom w:w="85" w:type="dxa"/>
              <w:end w:w="100" w:type="dxa"/>
            </w:tcMar>
            <w:vAlign w:val="center"/>
          </w:tcPr>
          <w:p>
            <w:pPr>
              <w:pStyle w:val="TableText"/>
              <w:jc w:val="center"/>
            </w:pPr>
            <w:r>
              <w:rPr>
                <w:sz w:val="17"/>
              </w:rPr>
              <w:t>Mixed coupling epochs</w:t>
            </w:r>
          </w:p>
        </w:tc>
        <w:tc>
          <w:tcPr>
            <w:tcW w:type="dxa" w:w="3240"/>
            <w:shd w:fill="EAF1F8"/>
            <w:tcMar>
              <w:top w:w="85" w:type="dxa"/>
              <w:start w:w="100" w:type="dxa"/>
              <w:bottom w:w="85" w:type="dxa"/>
              <w:end w:w="100" w:type="dxa"/>
            </w:tcMar>
            <w:vAlign w:val="center"/>
          </w:tcPr>
          <w:p>
            <w:pPr>
              <w:pStyle w:val="TableText"/>
              <w:jc w:val="left"/>
            </w:pPr>
            <w:r>
              <w:rPr>
                <w:sz w:val="17"/>
              </w:rPr>
              <w:t>Mover combines magnetic  flow and turbulence states that never coexisted</w:t>
            </w:r>
          </w:p>
        </w:tc>
        <w:tc>
          <w:tcPr>
            <w:tcW w:type="dxa" w:w="3744"/>
            <w:shd w:fill="EAF1F8"/>
            <w:tcMar>
              <w:top w:w="85" w:type="dxa"/>
              <w:start w:w="100" w:type="dxa"/>
              <w:bottom w:w="85" w:type="dxa"/>
              <w:end w:w="100" w:type="dxa"/>
            </w:tcMar>
            <w:vAlign w:val="center"/>
          </w:tcPr>
          <w:p>
            <w:pPr>
              <w:pStyle w:val="TableText"/>
              <w:jc w:val="left"/>
            </w:pPr>
            <w:r>
              <w:rPr>
                <w:sz w:val="17"/>
              </w:rPr>
              <w:t>Immutable snapshots  generation checks and collective publication</w:t>
            </w:r>
          </w:p>
        </w:tc>
      </w:tr>
      <w:tr>
        <w:trPr>
          <w:cantSplit/>
        </w:trPr>
        <w:tc>
          <w:tcPr>
            <w:tcW w:type="dxa" w:w="3168"/>
            <w:shd w:fill="FFFFFF"/>
            <w:tcMar>
              <w:top w:w="85" w:type="dxa"/>
              <w:start w:w="100" w:type="dxa"/>
              <w:bottom w:w="85" w:type="dxa"/>
              <w:end w:w="100" w:type="dxa"/>
            </w:tcMar>
            <w:vAlign w:val="center"/>
          </w:tcPr>
          <w:p>
            <w:pPr>
              <w:pStyle w:val="TableText"/>
              <w:jc w:val="center"/>
            </w:pPr>
            <w:r>
              <w:rPr>
                <w:sz w:val="17"/>
              </w:rPr>
              <w:t>Silent missing-field fallback</w:t>
            </w:r>
          </w:p>
        </w:tc>
        <w:tc>
          <w:tcPr>
            <w:tcW w:type="dxa" w:w="3240"/>
            <w:shd w:fill="FFFFFF"/>
            <w:tcMar>
              <w:top w:w="85" w:type="dxa"/>
              <w:start w:w="100" w:type="dxa"/>
              <w:bottom w:w="85" w:type="dxa"/>
              <w:end w:w="100" w:type="dxa"/>
            </w:tcMar>
            <w:vAlign w:val="center"/>
          </w:tcPr>
          <w:p>
            <w:pPr>
              <w:pStyle w:val="TableText"/>
              <w:jc w:val="left"/>
            </w:pPr>
            <w:r>
              <w:rPr>
                <w:sz w:val="17"/>
              </w:rPr>
              <w:t>Cooling or scattering disappears without an explicit failure</w:t>
            </w:r>
          </w:p>
        </w:tc>
        <w:tc>
          <w:tcPr>
            <w:tcW w:type="dxa" w:w="3744"/>
            <w:shd w:fill="FFFFFF"/>
            <w:tcMar>
              <w:top w:w="85" w:type="dxa"/>
              <w:start w:w="100" w:type="dxa"/>
              <w:bottom w:w="85" w:type="dxa"/>
              <w:end w:w="100" w:type="dxa"/>
            </w:tcMar>
            <w:vAlign w:val="center"/>
          </w:tcPr>
          <w:p>
            <w:pPr>
              <w:pStyle w:val="TableText"/>
              <w:jc w:val="left"/>
            </w:pPr>
            <w:r>
              <w:rPr>
                <w:sz w:val="17"/>
              </w:rPr>
              <w:t>Per-field validity and no zero substitution</w:t>
            </w:r>
          </w:p>
        </w:tc>
      </w:tr>
      <w:tr>
        <w:trPr>
          <w:cantSplit/>
        </w:trPr>
        <w:tc>
          <w:tcPr>
            <w:tcW w:type="dxa" w:w="3168"/>
            <w:shd w:fill="EAF1F8"/>
            <w:tcMar>
              <w:top w:w="85" w:type="dxa"/>
              <w:start w:w="100" w:type="dxa"/>
              <w:bottom w:w="85" w:type="dxa"/>
              <w:end w:w="100" w:type="dxa"/>
            </w:tcMar>
            <w:vAlign w:val="center"/>
          </w:tcPr>
          <w:p>
            <w:pPr>
              <w:pStyle w:val="TableText"/>
              <w:jc w:val="center"/>
            </w:pPr>
            <w:r>
              <w:rPr>
                <w:sz w:val="17"/>
              </w:rPr>
              <w:t>Copied geospace initialization globals</w:t>
            </w:r>
          </w:p>
        </w:tc>
        <w:tc>
          <w:tcPr>
            <w:tcW w:type="dxa" w:w="3240"/>
            <w:shd w:fill="EAF1F8"/>
            <w:tcMar>
              <w:top w:w="85" w:type="dxa"/>
              <w:start w:w="100" w:type="dxa"/>
              <w:bottom w:w="85" w:type="dxa"/>
              <w:end w:w="100" w:type="dxa"/>
            </w:tcMar>
            <w:vAlign w:val="center"/>
          </w:tcPr>
          <w:p>
            <w:pPr>
              <w:pStyle w:val="TableText"/>
              <w:jc w:val="left"/>
            </w:pPr>
            <w:r>
              <w:rPr>
                <w:sz w:val="17"/>
              </w:rPr>
              <w:t>Restart and repeated initialization depend on call order</w:t>
            </w:r>
          </w:p>
        </w:tc>
        <w:tc>
          <w:tcPr>
            <w:tcW w:type="dxa" w:w="3744"/>
            <w:shd w:fill="EAF1F8"/>
            <w:tcMar>
              <w:top w:w="85" w:type="dxa"/>
              <w:start w:w="100" w:type="dxa"/>
              <w:bottom w:w="85" w:type="dxa"/>
              <w:end w:w="100" w:type="dxa"/>
            </w:tcMar>
            <w:vAlign w:val="center"/>
          </w:tcPr>
          <w:p>
            <w:pPr>
              <w:pStyle w:val="TableText"/>
              <w:jc w:val="left"/>
            </w:pPr>
            <w:r>
              <w:rPr>
                <w:sz w:val="17"/>
              </w:rPr>
              <w:t>Typed Runtime lifecycle and serialized counters</w:t>
            </w:r>
          </w:p>
        </w:tc>
      </w:tr>
      <w:tr>
        <w:trPr>
          <w:cantSplit/>
        </w:trPr>
        <w:tc>
          <w:tcPr>
            <w:tcW w:type="dxa" w:w="3168"/>
            <w:shd w:fill="FFFFFF"/>
            <w:tcMar>
              <w:top w:w="85" w:type="dxa"/>
              <w:start w:w="100" w:type="dxa"/>
              <w:bottom w:w="85" w:type="dxa"/>
              <w:end w:w="100" w:type="dxa"/>
            </w:tcMar>
            <w:vAlign w:val="center"/>
          </w:tcPr>
          <w:p>
            <w:pPr>
              <w:pStyle w:val="TableText"/>
              <w:jc w:val="center"/>
            </w:pPr>
            <w:r>
              <w:rPr>
                <w:sz w:val="17"/>
              </w:rPr>
              <w:t>SWCME treated as ambient background</w:t>
            </w:r>
          </w:p>
        </w:tc>
        <w:tc>
          <w:tcPr>
            <w:tcW w:type="dxa" w:w="3240"/>
            <w:shd w:fill="FFFFFF"/>
            <w:tcMar>
              <w:top w:w="85" w:type="dxa"/>
              <w:start w:w="100" w:type="dxa"/>
              <w:bottom w:w="85" w:type="dxa"/>
              <w:end w:w="100" w:type="dxa"/>
            </w:tcMar>
            <w:vAlign w:val="center"/>
          </w:tcPr>
          <w:p>
            <w:pPr>
              <w:pStyle w:val="TableText"/>
              <w:jc w:val="left"/>
            </w:pPr>
            <w:r>
              <w:rPr>
                <w:sz w:val="17"/>
              </w:rPr>
              <w:t>Shock and solar-wind authority become ambiguous</w:t>
            </w:r>
          </w:p>
        </w:tc>
        <w:tc>
          <w:tcPr>
            <w:tcW w:type="dxa" w:w="3744"/>
            <w:shd w:fill="FFFFFF"/>
            <w:tcMar>
              <w:top w:w="85" w:type="dxa"/>
              <w:start w:w="100" w:type="dxa"/>
              <w:bottom w:w="85" w:type="dxa"/>
              <w:end w:w="100" w:type="dxa"/>
            </w:tcMar>
            <w:vAlign w:val="center"/>
          </w:tcPr>
          <w:p>
            <w:pPr>
              <w:pStyle w:val="TableText"/>
              <w:jc w:val="left"/>
            </w:pPr>
            <w:r>
              <w:rPr>
                <w:sz w:val="17"/>
              </w:rPr>
              <w:t>Separate Background  Turbulence and Shock provider interfaces</w:t>
            </w:r>
          </w:p>
        </w:tc>
      </w:tr>
      <w:tr>
        <w:trPr>
          <w:cantSplit/>
        </w:trPr>
        <w:tc>
          <w:tcPr>
            <w:tcW w:type="dxa" w:w="3168"/>
            <w:shd w:fill="EAF1F8"/>
            <w:tcMar>
              <w:top w:w="85" w:type="dxa"/>
              <w:start w:w="100" w:type="dxa"/>
              <w:bottom w:w="85" w:type="dxa"/>
              <w:end w:w="100" w:type="dxa"/>
            </w:tcMar>
            <w:vAlign w:val="center"/>
          </w:tcPr>
          <w:p>
            <w:pPr>
              <w:pStyle w:val="TableText"/>
              <w:jc w:val="center"/>
            </w:pPr>
            <w:r>
              <w:rPr>
                <w:sz w:val="17"/>
              </w:rPr>
              <w:t>Refinement-boundary derivative error</w:t>
            </w:r>
          </w:p>
        </w:tc>
        <w:tc>
          <w:tcPr>
            <w:tcW w:type="dxa" w:w="3240"/>
            <w:shd w:fill="EAF1F8"/>
            <w:tcMar>
              <w:top w:w="85" w:type="dxa"/>
              <w:start w:w="100" w:type="dxa"/>
              <w:bottom w:w="85" w:type="dxa"/>
              <w:end w:w="100" w:type="dxa"/>
            </w:tcMar>
            <w:vAlign w:val="center"/>
          </w:tcPr>
          <w:p>
            <w:pPr>
              <w:pStyle w:val="TableText"/>
              <w:jc w:val="left"/>
            </w:pPr>
            <w:r>
              <w:rPr>
                <w:sz w:val="17"/>
              </w:rPr>
              <w:t>Spurious focusing or diffusion drift near the most refined regions</w:t>
            </w:r>
          </w:p>
        </w:tc>
        <w:tc>
          <w:tcPr>
            <w:tcW w:type="dxa" w:w="3744"/>
            <w:shd w:fill="EAF1F8"/>
            <w:tcMar>
              <w:top w:w="85" w:type="dxa"/>
              <w:start w:w="100" w:type="dxa"/>
              <w:bottom w:w="85" w:type="dxa"/>
              <w:end w:w="100" w:type="dxa"/>
            </w:tcMar>
            <w:vAlign w:val="center"/>
          </w:tcPr>
          <w:p>
            <w:pPr>
              <w:pStyle w:val="TableText"/>
              <w:jc w:val="left"/>
            </w:pPr>
            <w:r>
              <w:rPr>
                <w:sz w:val="17"/>
              </w:rPr>
              <w:t>Analytic Parker derivatives and linked coarse-fine tests</w:t>
            </w:r>
          </w:p>
        </w:tc>
      </w:tr>
      <w:tr>
        <w:trPr>
          <w:cantSplit/>
        </w:trPr>
        <w:tc>
          <w:tcPr>
            <w:tcW w:type="dxa" w:w="3168"/>
            <w:shd w:fill="FFFFFF"/>
            <w:tcMar>
              <w:top w:w="85" w:type="dxa"/>
              <w:start w:w="100" w:type="dxa"/>
              <w:bottom w:w="85" w:type="dxa"/>
              <w:end w:w="100" w:type="dxa"/>
            </w:tcMar>
            <w:vAlign w:val="center"/>
          </w:tcPr>
          <w:p>
            <w:pPr>
              <w:pStyle w:val="TableText"/>
              <w:jc w:val="center"/>
            </w:pPr>
            <w:r>
              <w:rPr>
                <w:sz w:val="17"/>
              </w:rPr>
              <w:t>Duplicate shared kernels</w:t>
            </w:r>
          </w:p>
        </w:tc>
        <w:tc>
          <w:tcPr>
            <w:tcW w:type="dxa" w:w="3240"/>
            <w:shd w:fill="FFFFFF"/>
            <w:tcMar>
              <w:top w:w="85" w:type="dxa"/>
              <w:start w:w="100" w:type="dxa"/>
              <w:bottom w:w="85" w:type="dxa"/>
              <w:end w:w="100" w:type="dxa"/>
            </w:tcMar>
            <w:vAlign w:val="center"/>
          </w:tcPr>
          <w:p>
            <w:pPr>
              <w:pStyle w:val="TableText"/>
              <w:jc w:val="left"/>
            </w:pPr>
            <w:r>
              <w:rPr>
                <w:sz w:val="17"/>
              </w:rPr>
              <w:t>One-dimensional and three-dimensional models silently diverge</w:t>
            </w:r>
          </w:p>
        </w:tc>
        <w:tc>
          <w:tcPr>
            <w:tcW w:type="dxa" w:w="3744"/>
            <w:shd w:fill="FFFFFF"/>
            <w:tcMar>
              <w:top w:w="85" w:type="dxa"/>
              <w:start w:w="100" w:type="dxa"/>
              <w:bottom w:w="85" w:type="dxa"/>
              <w:end w:w="100" w:type="dxa"/>
            </w:tcMar>
            <w:vAlign w:val="center"/>
          </w:tcPr>
          <w:p>
            <w:pPr>
              <w:pStyle w:val="TableText"/>
              <w:jc w:val="left"/>
            </w:pPr>
            <w:r>
              <w:rPr>
                <w:sz w:val="17"/>
              </w:rPr>
              <w:t>Single archive  symbol inspection and cross-model bitwise coefficient tests</w:t>
            </w:r>
          </w:p>
        </w:tc>
      </w:tr>
      <w:tr>
        <w:trPr>
          <w:cantSplit/>
        </w:trPr>
        <w:tc>
          <w:tcPr>
            <w:tcW w:type="dxa" w:w="3168"/>
            <w:shd w:fill="EAF1F8"/>
            <w:tcMar>
              <w:top w:w="85" w:type="dxa"/>
              <w:start w:w="100" w:type="dxa"/>
              <w:bottom w:w="85" w:type="dxa"/>
              <w:end w:w="100" w:type="dxa"/>
            </w:tcMar>
            <w:vAlign w:val="center"/>
          </w:tcPr>
          <w:p>
            <w:pPr>
              <w:pStyle w:val="TableText"/>
              <w:jc w:val="center"/>
            </w:pPr>
            <w:r>
              <w:rPr>
                <w:sz w:val="17"/>
              </w:rPr>
              <w:t>Stochastic non-reproducibility</w:t>
            </w:r>
          </w:p>
        </w:tc>
        <w:tc>
          <w:tcPr>
            <w:tcW w:type="dxa" w:w="3240"/>
            <w:shd w:fill="EAF1F8"/>
            <w:tcMar>
              <w:top w:w="85" w:type="dxa"/>
              <w:start w:w="100" w:type="dxa"/>
              <w:bottom w:w="85" w:type="dxa"/>
              <w:end w:w="100" w:type="dxa"/>
            </w:tcMar>
            <w:vAlign w:val="center"/>
          </w:tcPr>
          <w:p>
            <w:pPr>
              <w:pStyle w:val="TableText"/>
              <w:jc w:val="left"/>
            </w:pPr>
            <w:r>
              <w:rPr>
                <w:sz w:val="17"/>
              </w:rPr>
              <w:t>MPI decomposition changes scientific results</w:t>
            </w:r>
          </w:p>
        </w:tc>
        <w:tc>
          <w:tcPr>
            <w:tcW w:type="dxa" w:w="3744"/>
            <w:shd w:fill="EAF1F8"/>
            <w:tcMar>
              <w:top w:w="85" w:type="dxa"/>
              <w:start w:w="100" w:type="dxa"/>
              <w:bottom w:w="85" w:type="dxa"/>
              <w:end w:w="100" w:type="dxa"/>
            </w:tcMar>
            <w:vAlign w:val="center"/>
          </w:tcPr>
          <w:p>
            <w:pPr>
              <w:pStyle w:val="TableText"/>
              <w:jc w:val="left"/>
            </w:pPr>
            <w:r>
              <w:rPr>
                <w:sz w:val="17"/>
              </w:rPr>
              <w:t>Particle-keyed counter RNG and reproducible reductions</w:t>
            </w:r>
          </w:p>
        </w:tc>
      </w:tr>
      <w:tr>
        <w:trPr>
          <w:cantSplit/>
        </w:trPr>
        <w:tc>
          <w:tcPr>
            <w:tcW w:type="dxa" w:w="3168"/>
            <w:shd w:fill="FFFFFF"/>
            <w:tcMar>
              <w:top w:w="85" w:type="dxa"/>
              <w:start w:w="100" w:type="dxa"/>
              <w:bottom w:w="85" w:type="dxa"/>
              <w:end w:w="100" w:type="dxa"/>
            </w:tcMar>
            <w:vAlign w:val="center"/>
          </w:tcPr>
          <w:p>
            <w:pPr>
              <w:pStyle w:val="TableText"/>
              <w:jc w:val="center"/>
            </w:pPr>
            <w:r>
              <w:rPr>
                <w:sz w:val="17"/>
              </w:rPr>
              <w:t>Premature perpendicular diffusion</w:t>
            </w:r>
          </w:p>
        </w:tc>
        <w:tc>
          <w:tcPr>
            <w:tcW w:type="dxa" w:w="3240"/>
            <w:shd w:fill="FFFFFF"/>
            <w:tcMar>
              <w:top w:w="85" w:type="dxa"/>
              <w:start w:w="100" w:type="dxa"/>
              <w:bottom w:w="85" w:type="dxa"/>
              <w:end w:w="100" w:type="dxa"/>
            </w:tcMar>
            <w:vAlign w:val="center"/>
          </w:tcPr>
          <w:p>
            <w:pPr>
              <w:pStyle w:val="TableText"/>
              <w:jc w:val="left"/>
            </w:pPr>
            <w:r>
              <w:rPr>
                <w:sz w:val="17"/>
              </w:rPr>
              <w:t>Event fitting hides errors in the parallel model</w:t>
            </w:r>
          </w:p>
        </w:tc>
        <w:tc>
          <w:tcPr>
            <w:tcW w:type="dxa" w:w="3744"/>
            <w:shd w:fill="FFFFFF"/>
            <w:tcMar>
              <w:top w:w="85" w:type="dxa"/>
              <w:start w:w="100" w:type="dxa"/>
              <w:bottom w:w="85" w:type="dxa"/>
              <w:end w:w="100" w:type="dxa"/>
            </w:tcMar>
            <w:vAlign w:val="center"/>
          </w:tcPr>
          <w:p>
            <w:pPr>
              <w:pStyle w:val="TableText"/>
              <w:jc w:val="left"/>
            </w:pPr>
            <w:r>
              <w:rPr>
                <w:sz w:val="17"/>
              </w:rPr>
              <w:t>Reserved names remain rejected until separate gates pass</w:t>
            </w:r>
          </w:p>
        </w:tc>
      </w:tr>
      <w:tr>
        <w:trPr>
          <w:cantSplit/>
        </w:trPr>
        <w:tc>
          <w:tcPr>
            <w:tcW w:type="dxa" w:w="3168"/>
            <w:shd w:fill="EAF1F8"/>
            <w:tcMar>
              <w:top w:w="85" w:type="dxa"/>
              <w:start w:w="100" w:type="dxa"/>
              <w:bottom w:w="85" w:type="dxa"/>
              <w:end w:w="100" w:type="dxa"/>
            </w:tcMar>
            <w:vAlign w:val="center"/>
          </w:tcPr>
          <w:p>
            <w:pPr>
              <w:pStyle w:val="TableText"/>
              <w:jc w:val="center"/>
            </w:pPr>
            <w:r>
              <w:rPr>
                <w:sz w:val="17"/>
              </w:rPr>
              <w:t>Electron resonance outside wave range</w:t>
            </w:r>
          </w:p>
        </w:tc>
        <w:tc>
          <w:tcPr>
            <w:tcW w:type="dxa" w:w="3240"/>
            <w:shd w:fill="EAF1F8"/>
            <w:tcMar>
              <w:top w:w="85" w:type="dxa"/>
              <w:start w:w="100" w:type="dxa"/>
              <w:bottom w:w="85" w:type="dxa"/>
              <w:end w:w="100" w:type="dxa"/>
            </w:tcMar>
            <w:vAlign w:val="center"/>
          </w:tcPr>
          <w:p>
            <w:pPr>
              <w:pStyle w:val="TableText"/>
              <w:jc w:val="left"/>
            </w:pPr>
            <w:r>
              <w:rPr>
                <w:sz w:val="17"/>
              </w:rPr>
              <w:t>Finite but physically unsupported scattering</w:t>
            </w:r>
          </w:p>
        </w:tc>
        <w:tc>
          <w:tcPr>
            <w:tcW w:type="dxa" w:w="3744"/>
            <w:shd w:fill="EAF1F8"/>
            <w:tcMar>
              <w:top w:w="85" w:type="dxa"/>
              <w:start w:w="100" w:type="dxa"/>
              <w:bottom w:w="85" w:type="dxa"/>
              <w:end w:w="100" w:type="dxa"/>
            </w:tcMar>
            <w:vAlign w:val="center"/>
          </w:tcPr>
          <w:p>
            <w:pPr>
              <w:pStyle w:val="TableText"/>
              <w:jc w:val="left"/>
            </w:pPr>
            <w:r>
              <w:rPr>
                <w:sz w:val="17"/>
              </w:rPr>
              <w:t>Explicit resonance-range policy and electron-specific tests</w:t>
            </w:r>
          </w:p>
        </w:tc>
      </w:tr>
    </w:tbl>
    <w:p>
      <w:pPr>
        <w:pStyle w:val="Heading2"/>
      </w:pPr>
      <w:r>
        <w:t>2 Decisions Required Before Coupled Physics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2664"/>
            <w:shd w:fill="17365D"/>
            <w:tcMar>
              <w:top w:w="100" w:type="dxa"/>
              <w:start w:w="110" w:type="dxa"/>
              <w:bottom w:w="100" w:type="dxa"/>
              <w:end w:w="110" w:type="dxa"/>
            </w:tcMar>
            <w:vAlign w:val="center"/>
          </w:tcPr>
          <w:p>
            <w:pPr>
              <w:pStyle w:val="TableText"/>
              <w:jc w:val="center"/>
            </w:pPr>
            <w:r>
              <w:rPr>
                <w:b/>
                <w:color w:val="FFFFFF"/>
                <w:sz w:val="17"/>
              </w:rPr>
              <w:t>Decision</w:t>
            </w:r>
          </w:p>
        </w:tc>
        <w:tc>
          <w:tcPr>
            <w:tcW w:type="dxa" w:w="3816"/>
            <w:shd w:fill="17365D"/>
            <w:tcMar>
              <w:top w:w="100" w:type="dxa"/>
              <w:start w:w="110" w:type="dxa"/>
              <w:bottom w:w="100" w:type="dxa"/>
              <w:end w:w="110" w:type="dxa"/>
            </w:tcMar>
            <w:vAlign w:val="center"/>
          </w:tcPr>
          <w:p>
            <w:pPr>
              <w:pStyle w:val="TableText"/>
              <w:jc w:val="center"/>
            </w:pPr>
            <w:r>
              <w:rPr>
                <w:b/>
                <w:color w:val="FFFFFF"/>
                <w:sz w:val="17"/>
              </w:rPr>
              <w:t>Recommended baseline</w:t>
            </w:r>
          </w:p>
        </w:tc>
        <w:tc>
          <w:tcPr>
            <w:tcW w:type="dxa" w:w="3671"/>
            <w:shd w:fill="17365D"/>
            <w:tcMar>
              <w:top w:w="100" w:type="dxa"/>
              <w:start w:w="110" w:type="dxa"/>
              <w:bottom w:w="100" w:type="dxa"/>
              <w:end w:w="110" w:type="dxa"/>
            </w:tcMar>
            <w:vAlign w:val="center"/>
          </w:tcPr>
          <w:p>
            <w:pPr>
              <w:pStyle w:val="TableText"/>
              <w:jc w:val="center"/>
            </w:pPr>
            <w:r>
              <w:rPr>
                <w:b/>
                <w:color w:val="FFFFFF"/>
                <w:sz w:val="17"/>
              </w:rPr>
              <w:t>Reason to record now</w:t>
            </w:r>
          </w:p>
        </w:tc>
      </w:tr>
      <w:tr>
        <w:trPr>
          <w:cantSplit/>
        </w:trPr>
        <w:tc>
          <w:tcPr>
            <w:tcW w:type="dxa" w:w="2664"/>
            <w:shd w:fill="FFFFFF"/>
            <w:tcMar>
              <w:top w:w="85" w:type="dxa"/>
              <w:start w:w="100" w:type="dxa"/>
              <w:bottom w:w="85" w:type="dxa"/>
              <w:end w:w="100" w:type="dxa"/>
            </w:tcMar>
            <w:vAlign w:val="center"/>
          </w:tcPr>
          <w:p>
            <w:pPr>
              <w:pStyle w:val="TableText"/>
              <w:jc w:val="center"/>
            </w:pPr>
            <w:r>
              <w:rPr>
                <w:sz w:val="17"/>
              </w:rPr>
              <w:t>SWMF field list and units</w:t>
            </w:r>
          </w:p>
        </w:tc>
        <w:tc>
          <w:tcPr>
            <w:tcW w:type="dxa" w:w="3816"/>
            <w:shd w:fill="FFFFFF"/>
            <w:tcMar>
              <w:top w:w="85" w:type="dxa"/>
              <w:start w:w="100" w:type="dxa"/>
              <w:bottom w:w="85" w:type="dxa"/>
              <w:end w:w="100" w:type="dxa"/>
            </w:tcMar>
            <w:vAlign w:val="center"/>
          </w:tcPr>
          <w:p>
            <w:pPr>
              <w:pStyle w:val="TableText"/>
              <w:jc w:val="left"/>
            </w:pPr>
            <w:r>
              <w:rPr>
                <w:sz w:val="17"/>
              </w:rPr>
              <w:t>Freeze a versioned coupling record including wave variables and derivative provenance</w:t>
            </w:r>
          </w:p>
        </w:tc>
        <w:tc>
          <w:tcPr>
            <w:tcW w:type="dxa" w:w="3671"/>
            <w:shd w:fill="FFFFFF"/>
            <w:tcMar>
              <w:top w:w="85" w:type="dxa"/>
              <w:start w:w="100" w:type="dxa"/>
              <w:bottom w:w="85" w:type="dxa"/>
              <w:end w:w="100" w:type="dxa"/>
            </w:tcMar>
            <w:vAlign w:val="center"/>
          </w:tcPr>
          <w:p>
            <w:pPr>
              <w:pStyle w:val="TableText"/>
              <w:jc w:val="left"/>
            </w:pPr>
            <w:r>
              <w:rPr>
                <w:sz w:val="17"/>
              </w:rPr>
              <w:t>Storage layout and validation depend on it</w:t>
            </w:r>
          </w:p>
        </w:tc>
      </w:tr>
      <w:tr>
        <w:trPr>
          <w:cantSplit/>
        </w:trPr>
        <w:tc>
          <w:tcPr>
            <w:tcW w:type="dxa" w:w="2664"/>
            <w:shd w:fill="EAF1F8"/>
            <w:tcMar>
              <w:top w:w="85" w:type="dxa"/>
              <w:start w:w="100" w:type="dxa"/>
              <w:bottom w:w="85" w:type="dxa"/>
              <w:end w:w="100" w:type="dxa"/>
            </w:tcMar>
            <w:vAlign w:val="center"/>
          </w:tcPr>
          <w:p>
            <w:pPr>
              <w:pStyle w:val="TableText"/>
              <w:jc w:val="center"/>
            </w:pPr>
            <w:r>
              <w:rPr>
                <w:sz w:val="17"/>
              </w:rPr>
              <w:t>Coordinate frame</w:t>
            </w:r>
          </w:p>
        </w:tc>
        <w:tc>
          <w:tcPr>
            <w:tcW w:type="dxa" w:w="3816"/>
            <w:shd w:fill="EAF1F8"/>
            <w:tcMar>
              <w:top w:w="85" w:type="dxa"/>
              <w:start w:w="100" w:type="dxa"/>
              <w:bottom w:w="85" w:type="dxa"/>
              <w:end w:w="100" w:type="dxa"/>
            </w:tcMar>
            <w:vAlign w:val="center"/>
          </w:tcPr>
          <w:p>
            <w:pPr>
              <w:pStyle w:val="TableText"/>
              <w:jc w:val="left"/>
            </w:pPr>
            <w:r>
              <w:rPr>
                <w:sz w:val="17"/>
              </w:rPr>
              <w:t>Use one named heliocentric frame and include it in every snapshot</w:t>
            </w:r>
          </w:p>
        </w:tc>
        <w:tc>
          <w:tcPr>
            <w:tcW w:type="dxa" w:w="3671"/>
            <w:shd w:fill="EAF1F8"/>
            <w:tcMar>
              <w:top w:w="85" w:type="dxa"/>
              <w:start w:w="100" w:type="dxa"/>
              <w:bottom w:w="85" w:type="dxa"/>
              <w:end w:w="100" w:type="dxa"/>
            </w:tcMar>
            <w:vAlign w:val="center"/>
          </w:tcPr>
          <w:p>
            <w:pPr>
              <w:pStyle w:val="TableText"/>
              <w:jc w:val="left"/>
            </w:pPr>
            <w:r>
              <w:rPr>
                <w:sz w:val="17"/>
              </w:rPr>
              <w:t>Parker  SWMF  SWCME and spacecraft locations must agree</w:t>
            </w:r>
          </w:p>
        </w:tc>
      </w:tr>
      <w:tr>
        <w:trPr>
          <w:cantSplit/>
        </w:trPr>
        <w:tc>
          <w:tcPr>
            <w:tcW w:type="dxa" w:w="2664"/>
            <w:shd w:fill="FFFFFF"/>
            <w:tcMar>
              <w:top w:w="85" w:type="dxa"/>
              <w:start w:w="100" w:type="dxa"/>
              <w:bottom w:w="85" w:type="dxa"/>
              <w:end w:w="100" w:type="dxa"/>
            </w:tcMar>
            <w:vAlign w:val="center"/>
          </w:tcPr>
          <w:p>
            <w:pPr>
              <w:pStyle w:val="TableText"/>
              <w:jc w:val="center"/>
            </w:pPr>
            <w:r>
              <w:rPr>
                <w:sz w:val="17"/>
              </w:rPr>
              <w:t>Divergence source</w:t>
            </w:r>
          </w:p>
        </w:tc>
        <w:tc>
          <w:tcPr>
            <w:tcW w:type="dxa" w:w="3816"/>
            <w:shd w:fill="FFFFFF"/>
            <w:tcMar>
              <w:top w:w="85" w:type="dxa"/>
              <w:start w:w="100" w:type="dxa"/>
              <w:bottom w:w="85" w:type="dxa"/>
              <w:end w:w="100" w:type="dxa"/>
            </w:tcMar>
            <w:vAlign w:val="center"/>
          </w:tcPr>
          <w:p>
            <w:pPr>
              <w:pStyle w:val="TableText"/>
              <w:jc w:val="left"/>
            </w:pPr>
            <w:r>
              <w:rPr>
                <w:sz w:val="17"/>
              </w:rPr>
              <w:t>Prefer a coupled authoritative value when defined  otherwise one tested derivative method</w:t>
            </w:r>
          </w:p>
        </w:tc>
        <w:tc>
          <w:tcPr>
            <w:tcW w:type="dxa" w:w="3671"/>
            <w:shd w:fill="FFFFFF"/>
            <w:tcMar>
              <w:top w:w="85" w:type="dxa"/>
              <w:start w:w="100" w:type="dxa"/>
              <w:bottom w:w="85" w:type="dxa"/>
              <w:end w:w="100" w:type="dxa"/>
            </w:tcMar>
            <w:vAlign w:val="center"/>
          </w:tcPr>
          <w:p>
            <w:pPr>
              <w:pStyle w:val="TableText"/>
              <w:jc w:val="left"/>
            </w:pPr>
            <w:r>
              <w:rPr>
                <w:sz w:val="17"/>
              </w:rPr>
              <w:t>Cooling is sensitive to inconsistent divergence</w:t>
            </w:r>
          </w:p>
        </w:tc>
      </w:tr>
      <w:tr>
        <w:trPr>
          <w:cantSplit/>
        </w:trPr>
        <w:tc>
          <w:tcPr>
            <w:tcW w:type="dxa" w:w="2664"/>
            <w:shd w:fill="EAF1F8"/>
            <w:tcMar>
              <w:top w:w="85" w:type="dxa"/>
              <w:start w:w="100" w:type="dxa"/>
              <w:bottom w:w="85" w:type="dxa"/>
              <w:end w:w="100" w:type="dxa"/>
            </w:tcMar>
            <w:vAlign w:val="center"/>
          </w:tcPr>
          <w:p>
            <w:pPr>
              <w:pStyle w:val="TableText"/>
              <w:jc w:val="center"/>
            </w:pPr>
            <w:r>
              <w:rPr>
                <w:sz w:val="17"/>
              </w:rPr>
              <w:t>AWSoM wave interpretation</w:t>
            </w:r>
          </w:p>
        </w:tc>
        <w:tc>
          <w:tcPr>
            <w:tcW w:type="dxa" w:w="3816"/>
            <w:shd w:fill="EAF1F8"/>
            <w:tcMar>
              <w:top w:w="85" w:type="dxa"/>
              <w:start w:w="100" w:type="dxa"/>
              <w:bottom w:w="85" w:type="dxa"/>
              <w:end w:w="100" w:type="dxa"/>
            </w:tcMar>
            <w:vAlign w:val="center"/>
          </w:tcPr>
          <w:p>
            <w:pPr>
              <w:pStyle w:val="TableText"/>
              <w:jc w:val="left"/>
            </w:pPr>
            <w:r>
              <w:rPr>
                <w:sz w:val="17"/>
              </w:rPr>
              <w:t>Document mapping from coupled variables to forward and backward turbulence energies</w:t>
            </w:r>
          </w:p>
        </w:tc>
        <w:tc>
          <w:tcPr>
            <w:tcW w:type="dxa" w:w="3671"/>
            <w:shd w:fill="EAF1F8"/>
            <w:tcMar>
              <w:top w:w="85" w:type="dxa"/>
              <w:start w:w="100" w:type="dxa"/>
              <w:bottom w:w="85" w:type="dxa"/>
              <w:end w:w="100" w:type="dxa"/>
            </w:tcMar>
            <w:vAlign w:val="center"/>
          </w:tcPr>
          <w:p>
            <w:pPr>
              <w:pStyle w:val="TableText"/>
              <w:jc w:val="left"/>
            </w:pPr>
            <w:r>
              <w:rPr>
                <w:sz w:val="17"/>
              </w:rPr>
              <w:t>Pitch-angle scattering depends on polarity and propagation direction</w:t>
            </w:r>
          </w:p>
        </w:tc>
      </w:tr>
      <w:tr>
        <w:trPr>
          <w:cantSplit/>
        </w:trPr>
        <w:tc>
          <w:tcPr>
            <w:tcW w:type="dxa" w:w="2664"/>
            <w:shd w:fill="FFFFFF"/>
            <w:tcMar>
              <w:top w:w="85" w:type="dxa"/>
              <w:start w:w="100" w:type="dxa"/>
              <w:bottom w:w="85" w:type="dxa"/>
              <w:end w:w="100" w:type="dxa"/>
            </w:tcMar>
            <w:vAlign w:val="center"/>
          </w:tcPr>
          <w:p>
            <w:pPr>
              <w:pStyle w:val="TableText"/>
              <w:jc w:val="center"/>
            </w:pPr>
            <w:r>
              <w:rPr>
                <w:sz w:val="17"/>
              </w:rPr>
              <w:t>Snapshot interpolation</w:t>
            </w:r>
          </w:p>
        </w:tc>
        <w:tc>
          <w:tcPr>
            <w:tcW w:type="dxa" w:w="3816"/>
            <w:shd w:fill="FFFFFF"/>
            <w:tcMar>
              <w:top w:w="85" w:type="dxa"/>
              <w:start w:w="100" w:type="dxa"/>
              <w:bottom w:w="85" w:type="dxa"/>
              <w:end w:w="100" w:type="dxa"/>
            </w:tcMar>
            <w:vAlign w:val="center"/>
          </w:tcPr>
          <w:p>
            <w:pPr>
              <w:pStyle w:val="TableText"/>
              <w:jc w:val="left"/>
            </w:pPr>
            <w:r>
              <w:rPr>
                <w:sz w:val="17"/>
              </w:rPr>
              <w:t>Linear interpolation only between coherent validated snapshots</w:t>
            </w:r>
          </w:p>
        </w:tc>
        <w:tc>
          <w:tcPr>
            <w:tcW w:type="dxa" w:w="3671"/>
            <w:shd w:fill="FFFFFF"/>
            <w:tcMar>
              <w:top w:w="85" w:type="dxa"/>
              <w:start w:w="100" w:type="dxa"/>
              <w:bottom w:w="85" w:type="dxa"/>
              <w:end w:w="100" w:type="dxa"/>
            </w:tcMar>
            <w:vAlign w:val="center"/>
          </w:tcPr>
          <w:p>
            <w:pPr>
              <w:pStyle w:val="TableText"/>
              <w:jc w:val="left"/>
            </w:pPr>
            <w:r>
              <w:rPr>
                <w:sz w:val="17"/>
              </w:rPr>
              <w:t>Time dependence must not mix source generations</w:t>
            </w:r>
          </w:p>
        </w:tc>
      </w:tr>
      <w:tr>
        <w:trPr>
          <w:cantSplit/>
        </w:trPr>
        <w:tc>
          <w:tcPr>
            <w:tcW w:type="dxa" w:w="2664"/>
            <w:shd w:fill="EAF1F8"/>
            <w:tcMar>
              <w:top w:w="85" w:type="dxa"/>
              <w:start w:w="100" w:type="dxa"/>
              <w:bottom w:w="85" w:type="dxa"/>
              <w:end w:w="100" w:type="dxa"/>
            </w:tcMar>
            <w:vAlign w:val="center"/>
          </w:tcPr>
          <w:p>
            <w:pPr>
              <w:pStyle w:val="TableText"/>
              <w:jc w:val="center"/>
            </w:pPr>
            <w:r>
              <w:rPr>
                <w:sz w:val="17"/>
              </w:rPr>
              <w:t>First release mover set</w:t>
            </w:r>
          </w:p>
        </w:tc>
        <w:tc>
          <w:tcPr>
            <w:tcW w:type="dxa" w:w="3816"/>
            <w:shd w:fill="EAF1F8"/>
            <w:tcMar>
              <w:top w:w="85" w:type="dxa"/>
              <w:start w:w="100" w:type="dxa"/>
              <w:bottom w:w="85" w:type="dxa"/>
              <w:end w:w="100" w:type="dxa"/>
            </w:tcMar>
            <w:vAlign w:val="center"/>
          </w:tcPr>
          <w:p>
            <w:pPr>
              <w:pStyle w:val="TableText"/>
              <w:jc w:val="left"/>
            </w:pPr>
            <w:r>
              <w:rPr>
                <w:sz w:val="17"/>
              </w:rPr>
              <w:t>Parker3D and focused3D only</w:t>
            </w:r>
          </w:p>
        </w:tc>
        <w:tc>
          <w:tcPr>
            <w:tcW w:type="dxa" w:w="3671"/>
            <w:shd w:fill="EAF1F8"/>
            <w:tcMar>
              <w:top w:w="85" w:type="dxa"/>
              <w:start w:w="100" w:type="dxa"/>
              <w:bottom w:w="85" w:type="dxa"/>
              <w:end w:w="100" w:type="dxa"/>
            </w:tcMar>
            <w:vAlign w:val="center"/>
          </w:tcPr>
          <w:p>
            <w:pPr>
              <w:pStyle w:val="TableText"/>
              <w:jc w:val="left"/>
            </w:pPr>
            <w:r>
              <w:rPr>
                <w:sz w:val="17"/>
              </w:rPr>
              <w:t>Event-driven mean-free-path mover requires its own 3-D boundary design</w:t>
            </w:r>
          </w:p>
        </w:tc>
      </w:tr>
      <w:tr>
        <w:trPr>
          <w:cantSplit/>
        </w:trPr>
        <w:tc>
          <w:tcPr>
            <w:tcW w:type="dxa" w:w="2664"/>
            <w:shd w:fill="FFFFFF"/>
            <w:tcMar>
              <w:top w:w="85" w:type="dxa"/>
              <w:start w:w="100" w:type="dxa"/>
              <w:bottom w:w="85" w:type="dxa"/>
              <w:end w:w="100" w:type="dxa"/>
            </w:tcMar>
            <w:vAlign w:val="center"/>
          </w:tcPr>
          <w:p>
            <w:pPr>
              <w:pStyle w:val="TableText"/>
              <w:jc w:val="center"/>
            </w:pPr>
            <w:r>
              <w:rPr>
                <w:sz w:val="17"/>
              </w:rPr>
              <w:t>Perpendicular diffusion schedule</w:t>
            </w:r>
          </w:p>
        </w:tc>
        <w:tc>
          <w:tcPr>
            <w:tcW w:type="dxa" w:w="3816"/>
            <w:shd w:fill="FFFFFF"/>
            <w:tcMar>
              <w:top w:w="85" w:type="dxa"/>
              <w:start w:w="100" w:type="dxa"/>
              <w:bottom w:w="85" w:type="dxa"/>
              <w:end w:w="100" w:type="dxa"/>
            </w:tcMar>
            <w:vAlign w:val="center"/>
          </w:tcPr>
          <w:p>
            <w:pPr>
              <w:pStyle w:val="TableText"/>
              <w:jc w:val="left"/>
            </w:pPr>
            <w:r>
              <w:rPr>
                <w:sz w:val="17"/>
              </w:rPr>
              <w:t>After the parallel release baseline</w:t>
            </w:r>
          </w:p>
        </w:tc>
        <w:tc>
          <w:tcPr>
            <w:tcW w:type="dxa" w:w="3671"/>
            <w:shd w:fill="FFFFFF"/>
            <w:tcMar>
              <w:top w:w="85" w:type="dxa"/>
              <w:start w:w="100" w:type="dxa"/>
              <w:bottom w:w="85" w:type="dxa"/>
              <w:end w:w="100" w:type="dxa"/>
            </w:tcMar>
            <w:vAlign w:val="center"/>
          </w:tcPr>
          <w:p>
            <w:pPr>
              <w:pStyle w:val="TableText"/>
              <w:jc w:val="left"/>
            </w:pPr>
            <w:r>
              <w:rPr>
                <w:sz w:val="17"/>
              </w:rPr>
              <w:t>The zero-perpendicular reduction is needed for srcSEP comparison</w:t>
            </w:r>
          </w:p>
        </w:tc>
      </w:tr>
      <w:tr>
        <w:trPr>
          <w:cantSplit/>
        </w:trPr>
        <w:tc>
          <w:tcPr>
            <w:tcW w:type="dxa" w:w="2664"/>
            <w:shd w:fill="EAF1F8"/>
            <w:tcMar>
              <w:top w:w="85" w:type="dxa"/>
              <w:start w:w="100" w:type="dxa"/>
              <w:bottom w:w="85" w:type="dxa"/>
              <w:end w:w="100" w:type="dxa"/>
            </w:tcMar>
            <w:vAlign w:val="center"/>
          </w:tcPr>
          <w:p>
            <w:pPr>
              <w:pStyle w:val="TableText"/>
              <w:jc w:val="center"/>
            </w:pPr>
            <w:r>
              <w:rPr>
                <w:sz w:val="17"/>
              </w:rPr>
              <w:t>Electron validation event</w:t>
            </w:r>
          </w:p>
        </w:tc>
        <w:tc>
          <w:tcPr>
            <w:tcW w:type="dxa" w:w="3816"/>
            <w:shd w:fill="EAF1F8"/>
            <w:tcMar>
              <w:top w:w="85" w:type="dxa"/>
              <w:start w:w="100" w:type="dxa"/>
              <w:bottom w:w="85" w:type="dxa"/>
              <w:end w:w="100" w:type="dxa"/>
            </w:tcMar>
            <w:vAlign w:val="center"/>
          </w:tcPr>
          <w:p>
            <w:pPr>
              <w:pStyle w:val="TableText"/>
              <w:jc w:val="left"/>
            </w:pPr>
            <w:r>
              <w:rPr>
                <w:sz w:val="17"/>
              </w:rPr>
              <w:t>Select after confirming instrument coverage and turbulence resonance range</w:t>
            </w:r>
          </w:p>
        </w:tc>
        <w:tc>
          <w:tcPr>
            <w:tcW w:type="dxa" w:w="3671"/>
            <w:shd w:fill="EAF1F8"/>
            <w:tcMar>
              <w:top w:w="85" w:type="dxa"/>
              <w:start w:w="100" w:type="dxa"/>
              <w:bottom w:w="85" w:type="dxa"/>
              <w:end w:w="100" w:type="dxa"/>
            </w:tcMar>
            <w:vAlign w:val="center"/>
          </w:tcPr>
          <w:p>
            <w:pPr>
              <w:pStyle w:val="TableText"/>
              <w:jc w:val="left"/>
            </w:pPr>
            <w:r>
              <w:rPr>
                <w:sz w:val="17"/>
              </w:rPr>
              <w:t>Avoids building acceptance around an unsuitable event</w:t>
            </w:r>
          </w:p>
        </w:tc>
      </w:tr>
    </w:tbl>
    <w:p>
      <w:pPr>
        <w:pStyle w:val="Heading1"/>
      </w:pPr>
      <w:r>
        <w:t>12 Completion Criteria</w:t>
      </w:r>
    </w:p>
    <w:p>
      <w:r>
        <w:t>srcSEP3D is ready for a scientific release only when all criteria below are satisfied. Completing source files or work packages without the corresponding evidence does not close the plan.</w:t>
      </w:r>
    </w:p>
    <w:p>
      <w:pPr>
        <w:pStyle w:val="ListBullet"/>
        <w:spacing w:after="50"/>
      </w:pPr>
      <w:r>
        <w:t>The production build contains no prototype mover  wedge-domain dependency  duplicate shared kernel  or stale SWCME path.</w:t>
      </w:r>
    </w:p>
    <w:p>
      <w:pPr>
        <w:pStyle w:val="ListBullet"/>
        <w:spacing w:after="50"/>
      </w:pPr>
      <w:r>
        <w:t>The Parker and focused cores pass all standalone analytic and manufactured tests.</w:t>
      </w:r>
    </w:p>
    <w:p>
      <w:pPr>
        <w:pStyle w:val="ListBullet"/>
        <w:spacing w:after="50"/>
      </w:pPr>
      <w:r>
        <w:t>The full coupled snapshot is validated  collectively published  immutable during a step  and restartable.</w:t>
      </w:r>
    </w:p>
    <w:p>
      <w:pPr>
        <w:pStyle w:val="ListBullet"/>
        <w:spacing w:after="50"/>
      </w:pPr>
      <w:r>
        <w:t>Parker and SWMF backgrounds drive the same Runtime and mover code paths.</w:t>
      </w:r>
    </w:p>
    <w:p>
      <w:pPr>
        <w:pStyle w:val="ListBullet"/>
        <w:spacing w:after="50"/>
      </w:pPr>
      <w:r>
        <w:t>Scattering coefficients have a traceable turbulence authority and no silent numerical fallback.</w:t>
      </w:r>
    </w:p>
    <w:p>
      <w:pPr>
        <w:pStyle w:val="ListBullet"/>
        <w:spacing w:after="50"/>
      </w:pPr>
      <w:r>
        <w:t>SWCME source state is shared with srcSEP and common source records are identical.</w:t>
      </w:r>
    </w:p>
    <w:p>
      <w:pPr>
        <w:pStyle w:val="ListBullet"/>
        <w:spacing w:after="50"/>
      </w:pPr>
      <w:r>
        <w:t>Particle conservation  deterministic restart  MPI reproducibility and output-schema tests pass.</w:t>
      </w:r>
    </w:p>
    <w:p>
      <w:pPr>
        <w:pStyle w:val="ListBullet"/>
        <w:spacing w:after="50"/>
      </w:pPr>
      <w:r>
        <w:t>The 3-D zero-perpendicular reduction agrees with srcSEP within declared convergence tolerances.</w:t>
      </w:r>
    </w:p>
    <w:p>
      <w:pPr>
        <w:pStyle w:val="ListBullet"/>
        <w:spacing w:after="50"/>
      </w:pPr>
      <w:r>
        <w:t>At least one connected and one connectivity-sensitive observational case are completed with reviewed data provenance.</w:t>
      </w:r>
    </w:p>
    <w:p>
      <w:pPr>
        <w:pStyle w:val="ListBullet"/>
        <w:spacing w:after="50"/>
      </w:pPr>
      <w:r>
        <w:t>The release evidence package contains manifests  hashes  logs  convergence records  plots and failure classifications.</w:t>
      </w:r>
    </w:p>
    <w:p>
      <w:pPr>
        <w:pStyle w:val="Heading2"/>
      </w:pPr>
      <w:r>
        <w:t>Recommended First Implementation Milestone</w:t>
      </w:r>
    </w:p>
    <w:p>
      <w:r>
        <w:t>The first milestone should stop at a frozen analytic Parker background with one validated transport core and no SWMF link. Its purpose is to prove that the reconstructed production tree  provider contract  mesh  snapshot  transport core and AMPS adapter form one executable path. The next milestone adds the deterministic SWMF receiver fixture. Live coupling should follow only after the fixture passes every CPL3D test.</w:t>
      </w:r>
    </w:p>
    <w:p>
      <w:pPr>
        <w:pStyle w:val="Heading1"/>
      </w:pPr>
      <w:r>
        <w:t>Appendix A Background Snapshot Fields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trPr>
        <w:tc>
          <w:tcPr>
            <w:tcW w:type="dxa" w:w="2232"/>
            <w:shd w:fill="17365D"/>
            <w:tcMar>
              <w:top w:w="100" w:type="dxa"/>
              <w:start w:w="110" w:type="dxa"/>
              <w:bottom w:w="100" w:type="dxa"/>
              <w:end w:w="110" w:type="dxa"/>
            </w:tcMar>
            <w:vAlign w:val="center"/>
          </w:tcPr>
          <w:p>
            <w:pPr>
              <w:pStyle w:val="TableText"/>
              <w:jc w:val="center"/>
            </w:pPr>
            <w:r>
              <w:rPr>
                <w:b/>
                <w:color w:val="FFFFFF"/>
                <w:sz w:val="17"/>
              </w:rPr>
              <w:t>Field</w:t>
            </w:r>
          </w:p>
        </w:tc>
        <w:tc>
          <w:tcPr>
            <w:tcW w:type="dxa" w:w="2448"/>
            <w:shd w:fill="17365D"/>
            <w:tcMar>
              <w:top w:w="100" w:type="dxa"/>
              <w:start w:w="110" w:type="dxa"/>
              <w:bottom w:w="100" w:type="dxa"/>
              <w:end w:w="110" w:type="dxa"/>
            </w:tcMar>
            <w:vAlign w:val="center"/>
          </w:tcPr>
          <w:p>
            <w:pPr>
              <w:pStyle w:val="TableText"/>
              <w:jc w:val="center"/>
            </w:pPr>
            <w:r>
              <w:rPr>
                <w:b/>
                <w:color w:val="FFFFFF"/>
                <w:sz w:val="17"/>
              </w:rPr>
              <w:t>Units</w:t>
            </w:r>
          </w:p>
        </w:tc>
        <w:tc>
          <w:tcPr>
            <w:tcW w:type="dxa" w:w="5472"/>
            <w:shd w:fill="17365D"/>
            <w:tcMar>
              <w:top w:w="100" w:type="dxa"/>
              <w:start w:w="110" w:type="dxa"/>
              <w:bottom w:w="100" w:type="dxa"/>
              <w:end w:w="110" w:type="dxa"/>
            </w:tcMar>
            <w:vAlign w:val="center"/>
          </w:tcPr>
          <w:p>
            <w:pPr>
              <w:pStyle w:val="TableText"/>
              <w:jc w:val="center"/>
            </w:pPr>
            <w:r>
              <w:rPr>
                <w:b/>
                <w:color w:val="FFFFFF"/>
                <w:sz w:val="17"/>
              </w:rPr>
              <w:t>Validity and provenance requirement</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Snapshot identifier</w:t>
            </w:r>
          </w:p>
        </w:tc>
        <w:tc>
          <w:tcPr>
            <w:tcW w:type="dxa" w:w="2448"/>
            <w:shd w:fill="FFFFFF"/>
            <w:tcMar>
              <w:top w:w="85" w:type="dxa"/>
              <w:start w:w="100" w:type="dxa"/>
              <w:bottom w:w="85" w:type="dxa"/>
              <w:end w:w="100" w:type="dxa"/>
            </w:tcMar>
            <w:vAlign w:val="center"/>
          </w:tcPr>
          <w:p>
            <w:pPr>
              <w:pStyle w:val="TableText"/>
              <w:jc w:val="left"/>
            </w:pPr>
            <w:r>
              <w:rPr>
                <w:sz w:val="17"/>
              </w:rPr>
              <w:t>Dimensionless</w:t>
            </w:r>
          </w:p>
        </w:tc>
        <w:tc>
          <w:tcPr>
            <w:tcW w:type="dxa" w:w="5472"/>
            <w:shd w:fill="FFFFFF"/>
            <w:tcMar>
              <w:top w:w="85" w:type="dxa"/>
              <w:start w:w="100" w:type="dxa"/>
              <w:bottom w:w="85" w:type="dxa"/>
              <w:end w:w="100" w:type="dxa"/>
            </w:tcMar>
            <w:vAlign w:val="center"/>
          </w:tcPr>
          <w:p>
            <w:pPr>
              <w:pStyle w:val="TableText"/>
              <w:jc w:val="left"/>
            </w:pPr>
            <w:r>
              <w:rPr>
                <w:sz w:val="17"/>
              </w:rPr>
              <w:t>Monotonic within one run and serialized in restart</w:t>
            </w:r>
          </w:p>
        </w:tc>
      </w:tr>
      <w:tr>
        <w:trPr>
          <w:cantSplit/>
        </w:trPr>
        <w:tc>
          <w:tcPr>
            <w:tcW w:type="dxa" w:w="2232"/>
            <w:shd w:fill="EAF1F8"/>
            <w:tcMar>
              <w:top w:w="85" w:type="dxa"/>
              <w:start w:w="100" w:type="dxa"/>
              <w:bottom w:w="85" w:type="dxa"/>
              <w:end w:w="100" w:type="dxa"/>
            </w:tcMar>
            <w:vAlign w:val="center"/>
          </w:tcPr>
          <w:p>
            <w:pPr>
              <w:pStyle w:val="TableText"/>
              <w:jc w:val="center"/>
            </w:pPr>
            <w:r>
              <w:rPr>
                <w:sz w:val="17"/>
              </w:rPr>
              <w:t>Source time and validity interval</w:t>
            </w:r>
          </w:p>
        </w:tc>
        <w:tc>
          <w:tcPr>
            <w:tcW w:type="dxa" w:w="2448"/>
            <w:shd w:fill="EAF1F8"/>
            <w:tcMar>
              <w:top w:w="85" w:type="dxa"/>
              <w:start w:w="100" w:type="dxa"/>
              <w:bottom w:w="85" w:type="dxa"/>
              <w:end w:w="100" w:type="dxa"/>
            </w:tcMar>
            <w:vAlign w:val="center"/>
          </w:tcPr>
          <w:p>
            <w:pPr>
              <w:pStyle w:val="TableText"/>
              <w:jc w:val="left"/>
            </w:pPr>
            <w:r>
              <w:rPr>
                <w:sz w:val="17"/>
              </w:rPr>
              <w:t>Seconds</w:t>
            </w:r>
          </w:p>
        </w:tc>
        <w:tc>
          <w:tcPr>
            <w:tcW w:type="dxa" w:w="5472"/>
            <w:shd w:fill="EAF1F8"/>
            <w:tcMar>
              <w:top w:w="85" w:type="dxa"/>
              <w:start w:w="100" w:type="dxa"/>
              <w:bottom w:w="85" w:type="dxa"/>
              <w:end w:w="100" w:type="dxa"/>
            </w:tcMar>
            <w:vAlign w:val="center"/>
          </w:tcPr>
          <w:p>
            <w:pPr>
              <w:pStyle w:val="TableText"/>
              <w:jc w:val="left"/>
            </w:pPr>
            <w:r>
              <w:rPr>
                <w:sz w:val="17"/>
              </w:rPr>
              <w:t>Finite ordered interval tied to the coupling clock</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Coordinate frame</w:t>
            </w:r>
          </w:p>
        </w:tc>
        <w:tc>
          <w:tcPr>
            <w:tcW w:type="dxa" w:w="2448"/>
            <w:shd w:fill="FFFFFF"/>
            <w:tcMar>
              <w:top w:w="85" w:type="dxa"/>
              <w:start w:w="100" w:type="dxa"/>
              <w:bottom w:w="85" w:type="dxa"/>
              <w:end w:w="100" w:type="dxa"/>
            </w:tcMar>
            <w:vAlign w:val="center"/>
          </w:tcPr>
          <w:p>
            <w:pPr>
              <w:pStyle w:val="TableText"/>
              <w:jc w:val="left"/>
            </w:pPr>
            <w:r>
              <w:rPr>
                <w:sz w:val="17"/>
              </w:rPr>
              <w:t>Named frame</w:t>
            </w:r>
          </w:p>
        </w:tc>
        <w:tc>
          <w:tcPr>
            <w:tcW w:type="dxa" w:w="5472"/>
            <w:shd w:fill="FFFFFF"/>
            <w:tcMar>
              <w:top w:w="85" w:type="dxa"/>
              <w:start w:w="100" w:type="dxa"/>
              <w:bottom w:w="85" w:type="dxa"/>
              <w:end w:w="100" w:type="dxa"/>
            </w:tcMar>
            <w:vAlign w:val="center"/>
          </w:tcPr>
          <w:p>
            <w:pPr>
              <w:pStyle w:val="TableText"/>
              <w:jc w:val="left"/>
            </w:pPr>
            <w:r>
              <w:rPr>
                <w:sz w:val="17"/>
              </w:rPr>
              <w:t>Must match positions and shock geometry</w:t>
            </w:r>
          </w:p>
        </w:tc>
      </w:tr>
      <w:tr>
        <w:trPr>
          <w:cantSplit/>
        </w:trPr>
        <w:tc>
          <w:tcPr>
            <w:tcW w:type="dxa" w:w="2232"/>
            <w:shd w:fill="EAF1F8"/>
            <w:tcMar>
              <w:top w:w="85" w:type="dxa"/>
              <w:start w:w="100" w:type="dxa"/>
              <w:bottom w:w="85" w:type="dxa"/>
              <w:end w:w="100" w:type="dxa"/>
            </w:tcMar>
            <w:vAlign w:val="center"/>
          </w:tcPr>
          <w:p>
            <w:pPr>
              <w:pStyle w:val="TableText"/>
              <w:jc w:val="center"/>
            </w:pPr>
            <w:r>
              <w:rPr>
                <w:sz w:val="17"/>
              </w:rPr>
              <w:t>Magnetic field</w:t>
            </w:r>
          </w:p>
        </w:tc>
        <w:tc>
          <w:tcPr>
            <w:tcW w:type="dxa" w:w="2448"/>
            <w:shd w:fill="EAF1F8"/>
            <w:tcMar>
              <w:top w:w="85" w:type="dxa"/>
              <w:start w:w="100" w:type="dxa"/>
              <w:bottom w:w="85" w:type="dxa"/>
              <w:end w:w="100" w:type="dxa"/>
            </w:tcMar>
            <w:vAlign w:val="center"/>
          </w:tcPr>
          <w:p>
            <w:pPr>
              <w:pStyle w:val="TableText"/>
              <w:jc w:val="left"/>
            </w:pPr>
            <w:r>
              <w:rPr>
                <w:sz w:val="17"/>
              </w:rPr>
              <w:t>Tesla</w:t>
            </w:r>
          </w:p>
        </w:tc>
        <w:tc>
          <w:tcPr>
            <w:tcW w:type="dxa" w:w="5472"/>
            <w:shd w:fill="EAF1F8"/>
            <w:tcMar>
              <w:top w:w="85" w:type="dxa"/>
              <w:start w:w="100" w:type="dxa"/>
              <w:bottom w:w="85" w:type="dxa"/>
              <w:end w:w="100" w:type="dxa"/>
            </w:tcMar>
            <w:vAlign w:val="center"/>
          </w:tcPr>
          <w:p>
            <w:pPr>
              <w:pStyle w:val="TableText"/>
              <w:jc w:val="left"/>
            </w:pPr>
            <w:r>
              <w:rPr>
                <w:sz w:val="17"/>
              </w:rPr>
              <w:t>Finite vector and nonzero magnitude where transport requires a field direction</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Bulk velocity</w:t>
            </w:r>
          </w:p>
        </w:tc>
        <w:tc>
          <w:tcPr>
            <w:tcW w:type="dxa" w:w="2448"/>
            <w:shd w:fill="FFFFFF"/>
            <w:tcMar>
              <w:top w:w="85" w:type="dxa"/>
              <w:start w:w="100" w:type="dxa"/>
              <w:bottom w:w="85" w:type="dxa"/>
              <w:end w:w="100" w:type="dxa"/>
            </w:tcMar>
            <w:vAlign w:val="center"/>
          </w:tcPr>
          <w:p>
            <w:pPr>
              <w:pStyle w:val="TableText"/>
              <w:jc w:val="left"/>
            </w:pPr>
            <w:r>
              <w:rPr>
                <w:sz w:val="17"/>
              </w:rPr>
              <w:t>Meters per second</w:t>
            </w:r>
          </w:p>
        </w:tc>
        <w:tc>
          <w:tcPr>
            <w:tcW w:type="dxa" w:w="5472"/>
            <w:shd w:fill="FFFFFF"/>
            <w:tcMar>
              <w:top w:w="85" w:type="dxa"/>
              <w:start w:w="100" w:type="dxa"/>
              <w:bottom w:w="85" w:type="dxa"/>
              <w:end w:w="100" w:type="dxa"/>
            </w:tcMar>
            <w:vAlign w:val="center"/>
          </w:tcPr>
          <w:p>
            <w:pPr>
              <w:pStyle w:val="TableText"/>
              <w:jc w:val="left"/>
            </w:pPr>
            <w:r>
              <w:rPr>
                <w:sz w:val="17"/>
              </w:rPr>
              <w:t>Finite vector from the same source epoch</w:t>
            </w:r>
          </w:p>
        </w:tc>
      </w:tr>
      <w:tr>
        <w:trPr>
          <w:cantSplit/>
        </w:trPr>
        <w:tc>
          <w:tcPr>
            <w:tcW w:type="dxa" w:w="2232"/>
            <w:shd w:fill="EAF1F8"/>
            <w:tcMar>
              <w:top w:w="85" w:type="dxa"/>
              <w:start w:w="100" w:type="dxa"/>
              <w:bottom w:w="85" w:type="dxa"/>
              <w:end w:w="100" w:type="dxa"/>
            </w:tcMar>
            <w:vAlign w:val="center"/>
          </w:tcPr>
          <w:p>
            <w:pPr>
              <w:pStyle w:val="TableText"/>
              <w:jc w:val="center"/>
            </w:pPr>
            <w:r>
              <w:rPr>
                <w:sz w:val="17"/>
              </w:rPr>
              <w:t>Density</w:t>
            </w:r>
          </w:p>
        </w:tc>
        <w:tc>
          <w:tcPr>
            <w:tcW w:type="dxa" w:w="2448"/>
            <w:shd w:fill="EAF1F8"/>
            <w:tcMar>
              <w:top w:w="85" w:type="dxa"/>
              <w:start w:w="100" w:type="dxa"/>
              <w:bottom w:w="85" w:type="dxa"/>
              <w:end w:w="100" w:type="dxa"/>
            </w:tcMar>
            <w:vAlign w:val="center"/>
          </w:tcPr>
          <w:p>
            <w:pPr>
              <w:pStyle w:val="TableText"/>
              <w:jc w:val="left"/>
            </w:pPr>
            <w:r>
              <w:rPr>
                <w:sz w:val="17"/>
              </w:rPr>
              <w:t>Per cubic meter or kilograms per cubic meter with type tag</w:t>
            </w:r>
          </w:p>
        </w:tc>
        <w:tc>
          <w:tcPr>
            <w:tcW w:type="dxa" w:w="5472"/>
            <w:shd w:fill="EAF1F8"/>
            <w:tcMar>
              <w:top w:w="85" w:type="dxa"/>
              <w:start w:w="100" w:type="dxa"/>
              <w:bottom w:w="85" w:type="dxa"/>
              <w:end w:w="100" w:type="dxa"/>
            </w:tcMar>
            <w:vAlign w:val="center"/>
          </w:tcPr>
          <w:p>
            <w:pPr>
              <w:pStyle w:val="TableText"/>
              <w:jc w:val="left"/>
            </w:pPr>
            <w:r>
              <w:rPr>
                <w:sz w:val="17"/>
              </w:rPr>
              <w:t>Positive with explicit number or mass-density convention</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Pressure or temperature</w:t>
            </w:r>
          </w:p>
        </w:tc>
        <w:tc>
          <w:tcPr>
            <w:tcW w:type="dxa" w:w="2448"/>
            <w:shd w:fill="FFFFFF"/>
            <w:tcMar>
              <w:top w:w="85" w:type="dxa"/>
              <w:start w:w="100" w:type="dxa"/>
              <w:bottom w:w="85" w:type="dxa"/>
              <w:end w:w="100" w:type="dxa"/>
            </w:tcMar>
            <w:vAlign w:val="center"/>
          </w:tcPr>
          <w:p>
            <w:pPr>
              <w:pStyle w:val="TableText"/>
              <w:jc w:val="left"/>
            </w:pPr>
            <w:r>
              <w:rPr>
                <w:sz w:val="17"/>
              </w:rPr>
              <w:t>Pascal or kelvin with type tag</w:t>
            </w:r>
          </w:p>
        </w:tc>
        <w:tc>
          <w:tcPr>
            <w:tcW w:type="dxa" w:w="5472"/>
            <w:shd w:fill="FFFFFF"/>
            <w:tcMar>
              <w:top w:w="85" w:type="dxa"/>
              <w:start w:w="100" w:type="dxa"/>
              <w:bottom w:w="85" w:type="dxa"/>
              <w:end w:w="100" w:type="dxa"/>
            </w:tcMar>
            <w:vAlign w:val="center"/>
          </w:tcPr>
          <w:p>
            <w:pPr>
              <w:pStyle w:val="TableText"/>
              <w:jc w:val="left"/>
            </w:pPr>
            <w:r>
              <w:rPr>
                <w:sz w:val="17"/>
              </w:rPr>
              <w:t>Required only by selected coefficient or source providers</w:t>
            </w:r>
          </w:p>
        </w:tc>
      </w:tr>
      <w:tr>
        <w:trPr>
          <w:cantSplit/>
        </w:trPr>
        <w:tc>
          <w:tcPr>
            <w:tcW w:type="dxa" w:w="2232"/>
            <w:shd w:fill="EAF1F8"/>
            <w:tcMar>
              <w:top w:w="85" w:type="dxa"/>
              <w:start w:w="100" w:type="dxa"/>
              <w:bottom w:w="85" w:type="dxa"/>
              <w:end w:w="100" w:type="dxa"/>
            </w:tcMar>
            <w:vAlign w:val="center"/>
          </w:tcPr>
          <w:p>
            <w:pPr>
              <w:pStyle w:val="TableText"/>
              <w:jc w:val="center"/>
            </w:pPr>
            <w:r>
              <w:rPr>
                <w:sz w:val="17"/>
              </w:rPr>
              <w:t>Velocity divergence</w:t>
            </w:r>
          </w:p>
        </w:tc>
        <w:tc>
          <w:tcPr>
            <w:tcW w:type="dxa" w:w="2448"/>
            <w:shd w:fill="EAF1F8"/>
            <w:tcMar>
              <w:top w:w="85" w:type="dxa"/>
              <w:start w:w="100" w:type="dxa"/>
              <w:bottom w:w="85" w:type="dxa"/>
              <w:end w:w="100" w:type="dxa"/>
            </w:tcMar>
            <w:vAlign w:val="center"/>
          </w:tcPr>
          <w:p>
            <w:pPr>
              <w:pStyle w:val="TableText"/>
              <w:jc w:val="left"/>
            </w:pPr>
            <w:r>
              <w:rPr>
                <w:sz w:val="17"/>
              </w:rPr>
              <w:t>Per second</w:t>
            </w:r>
          </w:p>
        </w:tc>
        <w:tc>
          <w:tcPr>
            <w:tcW w:type="dxa" w:w="5472"/>
            <w:shd w:fill="EAF1F8"/>
            <w:tcMar>
              <w:top w:w="85" w:type="dxa"/>
              <w:start w:w="100" w:type="dxa"/>
              <w:bottom w:w="85" w:type="dxa"/>
              <w:end w:w="100" w:type="dxa"/>
            </w:tcMar>
            <w:vAlign w:val="center"/>
          </w:tcPr>
          <w:p>
            <w:pPr>
              <w:pStyle w:val="TableText"/>
              <w:jc w:val="left"/>
            </w:pPr>
            <w:r>
              <w:rPr>
                <w:sz w:val="17"/>
              </w:rPr>
              <w:t>Received or derived provenance recorded  never silently set to zero</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Velocity gradient</w:t>
            </w:r>
          </w:p>
        </w:tc>
        <w:tc>
          <w:tcPr>
            <w:tcW w:type="dxa" w:w="2448"/>
            <w:shd w:fill="FFFFFF"/>
            <w:tcMar>
              <w:top w:w="85" w:type="dxa"/>
              <w:start w:w="100" w:type="dxa"/>
              <w:bottom w:w="85" w:type="dxa"/>
              <w:end w:w="100" w:type="dxa"/>
            </w:tcMar>
            <w:vAlign w:val="center"/>
          </w:tcPr>
          <w:p>
            <w:pPr>
              <w:pStyle w:val="TableText"/>
              <w:jc w:val="left"/>
            </w:pPr>
            <w:r>
              <w:rPr>
                <w:sz w:val="17"/>
              </w:rPr>
              <w:t>Per second</w:t>
            </w:r>
          </w:p>
        </w:tc>
        <w:tc>
          <w:tcPr>
            <w:tcW w:type="dxa" w:w="5472"/>
            <w:shd w:fill="FFFFFF"/>
            <w:tcMar>
              <w:top w:w="85" w:type="dxa"/>
              <w:start w:w="100" w:type="dxa"/>
              <w:bottom w:w="85" w:type="dxa"/>
              <w:end w:w="100" w:type="dxa"/>
            </w:tcMar>
            <w:vAlign w:val="center"/>
          </w:tcPr>
          <w:p>
            <w:pPr>
              <w:pStyle w:val="TableText"/>
              <w:jc w:val="left"/>
            </w:pPr>
            <w:r>
              <w:rPr>
                <w:sz w:val="17"/>
              </w:rPr>
              <w:t>Component ordering and differentiation method recorded</w:t>
            </w:r>
          </w:p>
        </w:tc>
      </w:tr>
      <w:tr>
        <w:trPr>
          <w:cantSplit/>
        </w:trPr>
        <w:tc>
          <w:tcPr>
            <w:tcW w:type="dxa" w:w="2232"/>
            <w:shd w:fill="EAF1F8"/>
            <w:tcMar>
              <w:top w:w="85" w:type="dxa"/>
              <w:start w:w="100" w:type="dxa"/>
              <w:bottom w:w="85" w:type="dxa"/>
              <w:end w:w="100" w:type="dxa"/>
            </w:tcMar>
            <w:vAlign w:val="center"/>
          </w:tcPr>
          <w:p>
            <w:pPr>
              <w:pStyle w:val="TableText"/>
              <w:jc w:val="center"/>
            </w:pPr>
            <w:r>
              <w:rPr>
                <w:sz w:val="17"/>
              </w:rPr>
              <w:t>Magnetic gradients</w:t>
            </w:r>
          </w:p>
        </w:tc>
        <w:tc>
          <w:tcPr>
            <w:tcW w:type="dxa" w:w="2448"/>
            <w:shd w:fill="EAF1F8"/>
            <w:tcMar>
              <w:top w:w="85" w:type="dxa"/>
              <w:start w:w="100" w:type="dxa"/>
              <w:bottom w:w="85" w:type="dxa"/>
              <w:end w:w="100" w:type="dxa"/>
            </w:tcMar>
            <w:vAlign w:val="center"/>
          </w:tcPr>
          <w:p>
            <w:pPr>
              <w:pStyle w:val="TableText"/>
              <w:jc w:val="left"/>
            </w:pPr>
            <w:r>
              <w:rPr>
                <w:sz w:val="17"/>
              </w:rPr>
              <w:t>Tesla per meter</w:t>
            </w:r>
          </w:p>
        </w:tc>
        <w:tc>
          <w:tcPr>
            <w:tcW w:type="dxa" w:w="5472"/>
            <w:shd w:fill="EAF1F8"/>
            <w:tcMar>
              <w:top w:w="85" w:type="dxa"/>
              <w:start w:w="100" w:type="dxa"/>
              <w:bottom w:w="85" w:type="dxa"/>
              <w:end w:w="100" w:type="dxa"/>
            </w:tcMar>
            <w:vAlign w:val="center"/>
          </w:tcPr>
          <w:p>
            <w:pPr>
              <w:pStyle w:val="TableText"/>
              <w:jc w:val="left"/>
            </w:pPr>
            <w:r>
              <w:rPr>
                <w:sz w:val="17"/>
              </w:rPr>
              <w:t>Analytic or derived provenance and validity recorded</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Forward wave state</w:t>
            </w:r>
          </w:p>
        </w:tc>
        <w:tc>
          <w:tcPr>
            <w:tcW w:type="dxa" w:w="2448"/>
            <w:shd w:fill="FFFFFF"/>
            <w:tcMar>
              <w:top w:w="85" w:type="dxa"/>
              <w:start w:w="100" w:type="dxa"/>
              <w:bottom w:w="85" w:type="dxa"/>
              <w:end w:w="100" w:type="dxa"/>
            </w:tcMar>
            <w:vAlign w:val="center"/>
          </w:tcPr>
          <w:p>
            <w:pPr>
              <w:pStyle w:val="TableText"/>
              <w:jc w:val="left"/>
            </w:pPr>
            <w:r>
              <w:rPr>
                <w:sz w:val="17"/>
              </w:rPr>
              <w:t>Versioned coupling units converted to SI</w:t>
            </w:r>
          </w:p>
        </w:tc>
        <w:tc>
          <w:tcPr>
            <w:tcW w:type="dxa" w:w="5472"/>
            <w:shd w:fill="FFFFFF"/>
            <w:tcMar>
              <w:top w:w="85" w:type="dxa"/>
              <w:start w:w="100" w:type="dxa"/>
              <w:bottom w:w="85" w:type="dxa"/>
              <w:end w:w="100" w:type="dxa"/>
            </w:tcMar>
            <w:vAlign w:val="center"/>
          </w:tcPr>
          <w:p>
            <w:pPr>
              <w:pStyle w:val="TableText"/>
              <w:jc w:val="left"/>
            </w:pPr>
            <w:r>
              <w:rPr>
                <w:sz w:val="17"/>
              </w:rPr>
              <w:t>Propagation convention relative to the magnetic field recorded</w:t>
            </w:r>
          </w:p>
        </w:tc>
      </w:tr>
      <w:tr>
        <w:trPr>
          <w:cantSplit/>
        </w:trPr>
        <w:tc>
          <w:tcPr>
            <w:tcW w:type="dxa" w:w="2232"/>
            <w:shd w:fill="EAF1F8"/>
            <w:tcMar>
              <w:top w:w="85" w:type="dxa"/>
              <w:start w:w="100" w:type="dxa"/>
              <w:bottom w:w="85" w:type="dxa"/>
              <w:end w:w="100" w:type="dxa"/>
            </w:tcMar>
            <w:vAlign w:val="center"/>
          </w:tcPr>
          <w:p>
            <w:pPr>
              <w:pStyle w:val="TableText"/>
              <w:jc w:val="center"/>
            </w:pPr>
            <w:r>
              <w:rPr>
                <w:sz w:val="17"/>
              </w:rPr>
              <w:t>Backward wave state</w:t>
            </w:r>
          </w:p>
        </w:tc>
        <w:tc>
          <w:tcPr>
            <w:tcW w:type="dxa" w:w="2448"/>
            <w:shd w:fill="EAF1F8"/>
            <w:tcMar>
              <w:top w:w="85" w:type="dxa"/>
              <w:start w:w="100" w:type="dxa"/>
              <w:bottom w:w="85" w:type="dxa"/>
              <w:end w:w="100" w:type="dxa"/>
            </w:tcMar>
            <w:vAlign w:val="center"/>
          </w:tcPr>
          <w:p>
            <w:pPr>
              <w:pStyle w:val="TableText"/>
              <w:jc w:val="left"/>
            </w:pPr>
            <w:r>
              <w:rPr>
                <w:sz w:val="17"/>
              </w:rPr>
              <w:t>Versioned coupling units converted to SI</w:t>
            </w:r>
          </w:p>
        </w:tc>
        <w:tc>
          <w:tcPr>
            <w:tcW w:type="dxa" w:w="5472"/>
            <w:shd w:fill="EAF1F8"/>
            <w:tcMar>
              <w:top w:w="85" w:type="dxa"/>
              <w:start w:w="100" w:type="dxa"/>
              <w:bottom w:w="85" w:type="dxa"/>
              <w:end w:w="100" w:type="dxa"/>
            </w:tcMar>
            <w:vAlign w:val="center"/>
          </w:tcPr>
          <w:p>
            <w:pPr>
              <w:pStyle w:val="TableText"/>
              <w:jc w:val="left"/>
            </w:pPr>
            <w:r>
              <w:rPr>
                <w:sz w:val="17"/>
              </w:rPr>
              <w:t>Propagation convention relative to the magnetic field recorded</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Cell validity mask</w:t>
            </w:r>
          </w:p>
        </w:tc>
        <w:tc>
          <w:tcPr>
            <w:tcW w:type="dxa" w:w="2448"/>
            <w:shd w:fill="FFFFFF"/>
            <w:tcMar>
              <w:top w:w="85" w:type="dxa"/>
              <w:start w:w="100" w:type="dxa"/>
              <w:bottom w:w="85" w:type="dxa"/>
              <w:end w:w="100" w:type="dxa"/>
            </w:tcMar>
            <w:vAlign w:val="center"/>
          </w:tcPr>
          <w:p>
            <w:pPr>
              <w:pStyle w:val="TableText"/>
              <w:jc w:val="left"/>
            </w:pPr>
            <w:r>
              <w:rPr>
                <w:sz w:val="17"/>
              </w:rPr>
              <w:t>Bit field</w:t>
            </w:r>
          </w:p>
        </w:tc>
        <w:tc>
          <w:tcPr>
            <w:tcW w:type="dxa" w:w="5472"/>
            <w:shd w:fill="FFFFFF"/>
            <w:tcMar>
              <w:top w:w="85" w:type="dxa"/>
              <w:start w:w="100" w:type="dxa"/>
              <w:bottom w:w="85" w:type="dxa"/>
              <w:end w:w="100" w:type="dxa"/>
            </w:tcMar>
            <w:vAlign w:val="center"/>
          </w:tcPr>
          <w:p>
            <w:pPr>
              <w:pStyle w:val="TableText"/>
              <w:jc w:val="left"/>
            </w:pPr>
            <w:r>
              <w:rPr>
                <w:sz w:val="17"/>
              </w:rPr>
              <w:t>Identifies every missing  nonfinite or out-of-domain quantity</w:t>
            </w:r>
          </w:p>
        </w:tc>
      </w:tr>
      <w:tr>
        <w:trPr>
          <w:cantSplit/>
        </w:trPr>
        <w:tc>
          <w:tcPr>
            <w:tcW w:type="dxa" w:w="2232"/>
            <w:shd w:fill="EAF1F8"/>
            <w:tcMar>
              <w:top w:w="85" w:type="dxa"/>
              <w:start w:w="100" w:type="dxa"/>
              <w:bottom w:w="85" w:type="dxa"/>
              <w:end w:w="100" w:type="dxa"/>
            </w:tcMar>
            <w:vAlign w:val="center"/>
          </w:tcPr>
          <w:p>
            <w:pPr>
              <w:pStyle w:val="TableText"/>
              <w:jc w:val="center"/>
            </w:pPr>
            <w:r>
              <w:rPr>
                <w:sz w:val="17"/>
              </w:rPr>
              <w:t>Provider identity</w:t>
            </w:r>
          </w:p>
        </w:tc>
        <w:tc>
          <w:tcPr>
            <w:tcW w:type="dxa" w:w="2448"/>
            <w:shd w:fill="EAF1F8"/>
            <w:tcMar>
              <w:top w:w="85" w:type="dxa"/>
              <w:start w:w="100" w:type="dxa"/>
              <w:bottom w:w="85" w:type="dxa"/>
              <w:end w:w="100" w:type="dxa"/>
            </w:tcMar>
            <w:vAlign w:val="center"/>
          </w:tcPr>
          <w:p>
            <w:pPr>
              <w:pStyle w:val="TableText"/>
              <w:jc w:val="left"/>
            </w:pPr>
            <w:r>
              <w:rPr>
                <w:sz w:val="17"/>
              </w:rPr>
              <w:t>String and version</w:t>
            </w:r>
          </w:p>
        </w:tc>
        <w:tc>
          <w:tcPr>
            <w:tcW w:type="dxa" w:w="5472"/>
            <w:shd w:fill="EAF1F8"/>
            <w:tcMar>
              <w:top w:w="85" w:type="dxa"/>
              <w:start w:w="100" w:type="dxa"/>
              <w:bottom w:w="85" w:type="dxa"/>
              <w:end w:w="100" w:type="dxa"/>
            </w:tcMar>
            <w:vAlign w:val="center"/>
          </w:tcPr>
          <w:p>
            <w:pPr>
              <w:pStyle w:val="TableText"/>
              <w:jc w:val="left"/>
            </w:pPr>
            <w:r>
              <w:rPr>
                <w:sz w:val="17"/>
              </w:rPr>
              <w:t>Parker or SWMF plus turbulence and derivative methods</w:t>
            </w:r>
          </w:p>
        </w:tc>
      </w:tr>
      <w:tr>
        <w:trPr>
          <w:cantSplit/>
        </w:trPr>
        <w:tc>
          <w:tcPr>
            <w:tcW w:type="dxa" w:w="2232"/>
            <w:shd w:fill="FFFFFF"/>
            <w:tcMar>
              <w:top w:w="85" w:type="dxa"/>
              <w:start w:w="100" w:type="dxa"/>
              <w:bottom w:w="85" w:type="dxa"/>
              <w:end w:w="100" w:type="dxa"/>
            </w:tcMar>
            <w:vAlign w:val="center"/>
          </w:tcPr>
          <w:p>
            <w:pPr>
              <w:pStyle w:val="TableText"/>
              <w:jc w:val="center"/>
            </w:pPr>
            <w:r>
              <w:rPr>
                <w:sz w:val="17"/>
              </w:rPr>
              <w:t>Generation and ownership</w:t>
            </w:r>
          </w:p>
        </w:tc>
        <w:tc>
          <w:tcPr>
            <w:tcW w:type="dxa" w:w="2448"/>
            <w:shd w:fill="FFFFFF"/>
            <w:tcMar>
              <w:top w:w="85" w:type="dxa"/>
              <w:start w:w="100" w:type="dxa"/>
              <w:bottom w:w="85" w:type="dxa"/>
              <w:end w:w="100" w:type="dxa"/>
            </w:tcMar>
            <w:vAlign w:val="center"/>
          </w:tcPr>
          <w:p>
            <w:pPr>
              <w:pStyle w:val="TableText"/>
              <w:jc w:val="left"/>
            </w:pPr>
            <w:r>
              <w:rPr>
                <w:sz w:val="17"/>
              </w:rPr>
              <w:t>Integers</w:t>
            </w:r>
          </w:p>
        </w:tc>
        <w:tc>
          <w:tcPr>
            <w:tcW w:type="dxa" w:w="5472"/>
            <w:shd w:fill="FFFFFF"/>
            <w:tcMar>
              <w:top w:w="85" w:type="dxa"/>
              <w:start w:w="100" w:type="dxa"/>
              <w:bottom w:w="85" w:type="dxa"/>
              <w:end w:w="100" w:type="dxa"/>
            </w:tcMar>
            <w:vAlign w:val="center"/>
          </w:tcPr>
          <w:p>
            <w:pPr>
              <w:pStyle w:val="TableText"/>
              <w:jc w:val="left"/>
            </w:pPr>
            <w:r>
              <w:rPr>
                <w:sz w:val="17"/>
              </w:rPr>
              <w:t>Detects stale records and duplicate authority</w:t>
            </w:r>
          </w:p>
        </w:tc>
      </w:tr>
    </w:tbl>
    <w:p>
      <w:pPr>
        <w:pStyle w:val="Heading2"/>
      </w:pPr>
      <w:r>
        <w:t>Shock Snapshot Fields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trPr>
        <w:tc>
          <w:tcPr>
            <w:tcW w:type="dxa" w:w="3240"/>
            <w:shd w:fill="17365D"/>
            <w:tcMar>
              <w:top w:w="100" w:type="dxa"/>
              <w:start w:w="110" w:type="dxa"/>
              <w:bottom w:w="100" w:type="dxa"/>
              <w:end w:w="110" w:type="dxa"/>
            </w:tcMar>
            <w:vAlign w:val="center"/>
          </w:tcPr>
          <w:p>
            <w:pPr>
              <w:pStyle w:val="TableText"/>
              <w:jc w:val="center"/>
            </w:pPr>
            <w:r>
              <w:rPr>
                <w:b/>
                <w:color w:val="FFFFFF"/>
                <w:sz w:val="17"/>
              </w:rPr>
              <w:t>Field</w:t>
            </w:r>
          </w:p>
        </w:tc>
        <w:tc>
          <w:tcPr>
            <w:tcW w:type="dxa" w:w="6912"/>
            <w:shd w:fill="17365D"/>
            <w:tcMar>
              <w:top w:w="100" w:type="dxa"/>
              <w:start w:w="110" w:type="dxa"/>
              <w:bottom w:w="100" w:type="dxa"/>
              <w:end w:w="110" w:type="dxa"/>
            </w:tcMar>
            <w:vAlign w:val="center"/>
          </w:tcPr>
          <w:p>
            <w:pPr>
              <w:pStyle w:val="TableText"/>
              <w:jc w:val="center"/>
            </w:pPr>
            <w:r>
              <w:rPr>
                <w:b/>
                <w:color w:val="FFFFFF"/>
                <w:sz w:val="17"/>
              </w:rPr>
              <w:t>Requirement</w:t>
            </w:r>
          </w:p>
        </w:tc>
      </w:tr>
      <w:tr>
        <w:trPr>
          <w:cantSplit/>
        </w:trPr>
        <w:tc>
          <w:tcPr>
            <w:tcW w:type="dxa" w:w="3240"/>
            <w:shd w:fill="FFFFFF"/>
            <w:tcMar>
              <w:top w:w="85" w:type="dxa"/>
              <w:start w:w="100" w:type="dxa"/>
              <w:bottom w:w="85" w:type="dxa"/>
              <w:end w:w="100" w:type="dxa"/>
            </w:tcMar>
            <w:vAlign w:val="center"/>
          </w:tcPr>
          <w:p>
            <w:pPr>
              <w:pStyle w:val="TableText"/>
              <w:jc w:val="center"/>
            </w:pPr>
            <w:r>
              <w:rPr>
                <w:sz w:val="17"/>
              </w:rPr>
              <w:t>Shock state identifier and time</w:t>
            </w:r>
          </w:p>
        </w:tc>
        <w:tc>
          <w:tcPr>
            <w:tcW w:type="dxa" w:w="6912"/>
            <w:shd w:fill="FFFFFF"/>
            <w:tcMar>
              <w:top w:w="85" w:type="dxa"/>
              <w:start w:w="100" w:type="dxa"/>
              <w:bottom w:w="85" w:type="dxa"/>
              <w:end w:w="100" w:type="dxa"/>
            </w:tcMar>
            <w:vAlign w:val="center"/>
          </w:tcPr>
          <w:p>
            <w:pPr>
              <w:pStyle w:val="TableText"/>
              <w:jc w:val="left"/>
            </w:pPr>
            <w:r>
              <w:rPr>
                <w:sz w:val="17"/>
              </w:rPr>
              <w:t>Synchronized with or explicitly interpolated to the ambient snapshot time</w:t>
            </w:r>
          </w:p>
        </w:tc>
      </w:tr>
      <w:tr>
        <w:trPr>
          <w:cantSplit/>
        </w:trPr>
        <w:tc>
          <w:tcPr>
            <w:tcW w:type="dxa" w:w="3240"/>
            <w:shd w:fill="EAF1F8"/>
            <w:tcMar>
              <w:top w:w="85" w:type="dxa"/>
              <w:start w:w="100" w:type="dxa"/>
              <w:bottom w:w="85" w:type="dxa"/>
              <w:end w:w="100" w:type="dxa"/>
            </w:tcMar>
            <w:vAlign w:val="center"/>
          </w:tcPr>
          <w:p>
            <w:pPr>
              <w:pStyle w:val="TableText"/>
              <w:jc w:val="center"/>
            </w:pPr>
            <w:r>
              <w:rPr>
                <w:sz w:val="17"/>
              </w:rPr>
              <w:t>Surface representation</w:t>
            </w:r>
          </w:p>
        </w:tc>
        <w:tc>
          <w:tcPr>
            <w:tcW w:type="dxa" w:w="6912"/>
            <w:shd w:fill="EAF1F8"/>
            <w:tcMar>
              <w:top w:w="85" w:type="dxa"/>
              <w:start w:w="100" w:type="dxa"/>
              <w:bottom w:w="85" w:type="dxa"/>
              <w:end w:w="100" w:type="dxa"/>
            </w:tcMar>
            <w:vAlign w:val="center"/>
          </w:tcPr>
          <w:p>
            <w:pPr>
              <w:pStyle w:val="TableText"/>
              <w:jc w:val="left"/>
            </w:pPr>
            <w:r>
              <w:rPr>
                <w:sz w:val="17"/>
              </w:rPr>
              <w:t>Closed or bounded geometry with validated topology and orientation</w:t>
            </w:r>
          </w:p>
        </w:tc>
      </w:tr>
      <w:tr>
        <w:trPr>
          <w:cantSplit/>
        </w:trPr>
        <w:tc>
          <w:tcPr>
            <w:tcW w:type="dxa" w:w="3240"/>
            <w:shd w:fill="FFFFFF"/>
            <w:tcMar>
              <w:top w:w="85" w:type="dxa"/>
              <w:start w:w="100" w:type="dxa"/>
              <w:bottom w:w="85" w:type="dxa"/>
              <w:end w:w="100" w:type="dxa"/>
            </w:tcMar>
            <w:vAlign w:val="center"/>
          </w:tcPr>
          <w:p>
            <w:pPr>
              <w:pStyle w:val="TableText"/>
              <w:jc w:val="center"/>
            </w:pPr>
            <w:r>
              <w:rPr>
                <w:sz w:val="17"/>
              </w:rPr>
              <w:t>Position and normal</w:t>
            </w:r>
          </w:p>
        </w:tc>
        <w:tc>
          <w:tcPr>
            <w:tcW w:type="dxa" w:w="6912"/>
            <w:shd w:fill="FFFFFF"/>
            <w:tcMar>
              <w:top w:w="85" w:type="dxa"/>
              <w:start w:w="100" w:type="dxa"/>
              <w:bottom w:w="85" w:type="dxa"/>
              <w:end w:w="100" w:type="dxa"/>
            </w:tcMar>
            <w:vAlign w:val="center"/>
          </w:tcPr>
          <w:p>
            <w:pPr>
              <w:pStyle w:val="TableText"/>
              <w:jc w:val="left"/>
            </w:pPr>
            <w:r>
              <w:rPr>
                <w:sz w:val="17"/>
              </w:rPr>
              <w:t>Common coordinate frame  unit normal  deterministic side convention</w:t>
            </w:r>
          </w:p>
        </w:tc>
      </w:tr>
      <w:tr>
        <w:trPr>
          <w:cantSplit/>
        </w:trPr>
        <w:tc>
          <w:tcPr>
            <w:tcW w:type="dxa" w:w="3240"/>
            <w:shd w:fill="EAF1F8"/>
            <w:tcMar>
              <w:top w:w="85" w:type="dxa"/>
              <w:start w:w="100" w:type="dxa"/>
              <w:bottom w:w="85" w:type="dxa"/>
              <w:end w:w="100" w:type="dxa"/>
            </w:tcMar>
            <w:vAlign w:val="center"/>
          </w:tcPr>
          <w:p>
            <w:pPr>
              <w:pStyle w:val="TableText"/>
              <w:jc w:val="center"/>
            </w:pPr>
            <w:r>
              <w:rPr>
                <w:sz w:val="17"/>
              </w:rPr>
              <w:t>Shock speed</w:t>
            </w:r>
          </w:p>
        </w:tc>
        <w:tc>
          <w:tcPr>
            <w:tcW w:type="dxa" w:w="6912"/>
            <w:shd w:fill="EAF1F8"/>
            <w:tcMar>
              <w:top w:w="85" w:type="dxa"/>
              <w:start w:w="100" w:type="dxa"/>
              <w:bottom w:w="85" w:type="dxa"/>
              <w:end w:w="100" w:type="dxa"/>
            </w:tcMar>
            <w:vAlign w:val="center"/>
          </w:tcPr>
          <w:p>
            <w:pPr>
              <w:pStyle w:val="TableText"/>
              <w:jc w:val="left"/>
            </w:pPr>
            <w:r>
              <w:rPr>
                <w:sz w:val="17"/>
              </w:rPr>
              <w:t>Defined in the selected frame with sign convention</w:t>
            </w:r>
          </w:p>
        </w:tc>
      </w:tr>
      <w:tr>
        <w:trPr>
          <w:cantSplit/>
        </w:trPr>
        <w:tc>
          <w:tcPr>
            <w:tcW w:type="dxa" w:w="3240"/>
            <w:shd w:fill="FFFFFF"/>
            <w:tcMar>
              <w:top w:w="85" w:type="dxa"/>
              <w:start w:w="100" w:type="dxa"/>
              <w:bottom w:w="85" w:type="dxa"/>
              <w:end w:w="100" w:type="dxa"/>
            </w:tcMar>
            <w:vAlign w:val="center"/>
          </w:tcPr>
          <w:p>
            <w:pPr>
              <w:pStyle w:val="TableText"/>
              <w:jc w:val="center"/>
            </w:pPr>
            <w:r>
              <w:rPr>
                <w:sz w:val="17"/>
              </w:rPr>
              <w:t>Upstream and downstream states</w:t>
            </w:r>
          </w:p>
        </w:tc>
        <w:tc>
          <w:tcPr>
            <w:tcW w:type="dxa" w:w="6912"/>
            <w:shd w:fill="FFFFFF"/>
            <w:tcMar>
              <w:top w:w="85" w:type="dxa"/>
              <w:start w:w="100" w:type="dxa"/>
              <w:bottom w:w="85" w:type="dxa"/>
              <w:end w:w="100" w:type="dxa"/>
            </w:tcMar>
            <w:vAlign w:val="center"/>
          </w:tcPr>
          <w:p>
            <w:pPr>
              <w:pStyle w:val="TableText"/>
              <w:jc w:val="left"/>
            </w:pPr>
            <w:r>
              <w:rPr>
                <w:sz w:val="17"/>
              </w:rPr>
              <w:t>Units and sampling positions recorded</w:t>
            </w:r>
          </w:p>
        </w:tc>
      </w:tr>
      <w:tr>
        <w:trPr>
          <w:cantSplit/>
        </w:trPr>
        <w:tc>
          <w:tcPr>
            <w:tcW w:type="dxa" w:w="3240"/>
            <w:shd w:fill="EAF1F8"/>
            <w:tcMar>
              <w:top w:w="85" w:type="dxa"/>
              <w:start w:w="100" w:type="dxa"/>
              <w:bottom w:w="85" w:type="dxa"/>
              <w:end w:w="100" w:type="dxa"/>
            </w:tcMar>
            <w:vAlign w:val="center"/>
          </w:tcPr>
          <w:p>
            <w:pPr>
              <w:pStyle w:val="TableText"/>
              <w:jc w:val="center"/>
            </w:pPr>
            <w:r>
              <w:rPr>
                <w:sz w:val="17"/>
              </w:rPr>
              <w:t>Compression and obliquity</w:t>
            </w:r>
          </w:p>
        </w:tc>
        <w:tc>
          <w:tcPr>
            <w:tcW w:type="dxa" w:w="6912"/>
            <w:shd w:fill="EAF1F8"/>
            <w:tcMar>
              <w:top w:w="85" w:type="dxa"/>
              <w:start w:w="100" w:type="dxa"/>
              <w:bottom w:w="85" w:type="dxa"/>
              <w:end w:w="100" w:type="dxa"/>
            </w:tcMar>
            <w:vAlign w:val="center"/>
          </w:tcPr>
          <w:p>
            <w:pPr>
              <w:pStyle w:val="TableText"/>
              <w:jc w:val="left"/>
            </w:pPr>
            <w:r>
              <w:rPr>
                <w:sz w:val="17"/>
              </w:rPr>
              <w:t>Finite values with physical-range checks</w:t>
            </w:r>
          </w:p>
        </w:tc>
      </w:tr>
      <w:tr>
        <w:trPr>
          <w:cantSplit/>
        </w:trPr>
        <w:tc>
          <w:tcPr>
            <w:tcW w:type="dxa" w:w="3240"/>
            <w:shd w:fill="FFFFFF"/>
            <w:tcMar>
              <w:top w:w="85" w:type="dxa"/>
              <w:start w:w="100" w:type="dxa"/>
              <w:bottom w:w="85" w:type="dxa"/>
              <w:end w:w="100" w:type="dxa"/>
            </w:tcMar>
            <w:vAlign w:val="center"/>
          </w:tcPr>
          <w:p>
            <w:pPr>
              <w:pStyle w:val="TableText"/>
              <w:jc w:val="center"/>
            </w:pPr>
            <w:r>
              <w:rPr>
                <w:sz w:val="17"/>
              </w:rPr>
              <w:t>Injection parameters</w:t>
            </w:r>
          </w:p>
        </w:tc>
        <w:tc>
          <w:tcPr>
            <w:tcW w:type="dxa" w:w="6912"/>
            <w:shd w:fill="FFFFFF"/>
            <w:tcMar>
              <w:top w:w="85" w:type="dxa"/>
              <w:start w:w="100" w:type="dxa"/>
              <w:bottom w:w="85" w:type="dxa"/>
              <w:end w:w="100" w:type="dxa"/>
            </w:tcMar>
            <w:vAlign w:val="center"/>
          </w:tcPr>
          <w:p>
            <w:pPr>
              <w:pStyle w:val="TableText"/>
              <w:jc w:val="left"/>
            </w:pPr>
            <w:r>
              <w:rPr>
                <w:sz w:val="17"/>
              </w:rPr>
              <w:t>Species  spectrum  normalization  efficiency and source-area weighting</w:t>
            </w:r>
          </w:p>
        </w:tc>
      </w:tr>
      <w:tr>
        <w:trPr>
          <w:cantSplit/>
        </w:trPr>
        <w:tc>
          <w:tcPr>
            <w:tcW w:type="dxa" w:w="3240"/>
            <w:shd w:fill="EAF1F8"/>
            <w:tcMar>
              <w:top w:w="85" w:type="dxa"/>
              <w:start w:w="100" w:type="dxa"/>
              <w:bottom w:w="85" w:type="dxa"/>
              <w:end w:w="100" w:type="dxa"/>
            </w:tcMar>
            <w:vAlign w:val="center"/>
          </w:tcPr>
          <w:p>
            <w:pPr>
              <w:pStyle w:val="TableText"/>
              <w:jc w:val="center"/>
            </w:pPr>
            <w:r>
              <w:rPr>
                <w:sz w:val="17"/>
              </w:rPr>
              <w:t>Validity and prepared-state identity</w:t>
            </w:r>
          </w:p>
        </w:tc>
        <w:tc>
          <w:tcPr>
            <w:tcW w:type="dxa" w:w="6912"/>
            <w:shd w:fill="EAF1F8"/>
            <w:tcMar>
              <w:top w:w="85" w:type="dxa"/>
              <w:start w:w="100" w:type="dxa"/>
              <w:bottom w:w="85" w:type="dxa"/>
              <w:end w:w="100" w:type="dxa"/>
            </w:tcMar>
            <w:vAlign w:val="center"/>
          </w:tcPr>
          <w:p>
            <w:pPr>
              <w:pStyle w:val="TableText"/>
              <w:jc w:val="left"/>
            </w:pPr>
            <w:r>
              <w:rPr>
                <w:sz w:val="17"/>
              </w:rPr>
              <w:t>Stale or mismatched configurations are rejected without mutation</w:t>
            </w:r>
          </w:p>
        </w:tc>
      </w:tr>
    </w:tbl>
    <w:p>
      <w:pPr>
        <w:pStyle w:val="Heading1"/>
      </w:pPr>
      <w:r>
        <w:t>Appendix B Work Package Summary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41"/>
        <w:gridCol w:w="2541"/>
        <w:gridCol w:w="2541"/>
        <w:gridCol w:w="2541"/>
      </w:tblGrid>
      <w:tr>
        <w:trPr>
          <w:tblHeader w:val="true"/>
        </w:trPr>
        <w:tc>
          <w:tcPr>
            <w:tcW w:type="dxa" w:w="1512"/>
            <w:shd w:fill="17365D"/>
            <w:tcMar>
              <w:top w:w="100" w:type="dxa"/>
              <w:start w:w="110" w:type="dxa"/>
              <w:bottom w:w="100" w:type="dxa"/>
              <w:end w:w="110" w:type="dxa"/>
            </w:tcMar>
            <w:vAlign w:val="center"/>
          </w:tcPr>
          <w:p>
            <w:pPr>
              <w:pStyle w:val="TableText"/>
              <w:jc w:val="center"/>
            </w:pPr>
            <w:r>
              <w:rPr>
                <w:b/>
                <w:color w:val="FFFFFF"/>
                <w:sz w:val="17"/>
              </w:rPr>
              <w:t>Work package</w:t>
            </w:r>
          </w:p>
        </w:tc>
        <w:tc>
          <w:tcPr>
            <w:tcW w:type="dxa" w:w="4104"/>
            <w:shd w:fill="17365D"/>
            <w:tcMar>
              <w:top w:w="100" w:type="dxa"/>
              <w:start w:w="110" w:type="dxa"/>
              <w:bottom w:w="100" w:type="dxa"/>
              <w:end w:w="110" w:type="dxa"/>
            </w:tcMar>
            <w:vAlign w:val="center"/>
          </w:tcPr>
          <w:p>
            <w:pPr>
              <w:pStyle w:val="TableText"/>
              <w:jc w:val="center"/>
            </w:pPr>
            <w:r>
              <w:rPr>
                <w:b/>
                <w:color w:val="FFFFFF"/>
                <w:sz w:val="17"/>
              </w:rPr>
              <w:t>Principal deliverable</w:t>
            </w:r>
          </w:p>
        </w:tc>
        <w:tc>
          <w:tcPr>
            <w:tcW w:type="dxa" w:w="3240"/>
            <w:shd w:fill="17365D"/>
            <w:tcMar>
              <w:top w:w="100" w:type="dxa"/>
              <w:start w:w="110" w:type="dxa"/>
              <w:bottom w:w="100" w:type="dxa"/>
              <w:end w:w="110" w:type="dxa"/>
            </w:tcMar>
            <w:vAlign w:val="center"/>
          </w:tcPr>
          <w:p>
            <w:pPr>
              <w:pStyle w:val="TableText"/>
              <w:jc w:val="center"/>
            </w:pPr>
            <w:r>
              <w:rPr>
                <w:b/>
                <w:color w:val="FFFFFF"/>
                <w:sz w:val="17"/>
              </w:rPr>
              <w:t>Acceptance gate</w:t>
            </w:r>
          </w:p>
        </w:tc>
        <w:tc>
          <w:tcPr>
            <w:tcW w:type="dxa" w:w="1440"/>
            <w:shd w:fill="17365D"/>
            <w:tcMar>
              <w:top w:w="100" w:type="dxa"/>
              <w:start w:w="110" w:type="dxa"/>
              <w:bottom w:w="100" w:type="dxa"/>
              <w:end w:w="110" w:type="dxa"/>
            </w:tcMar>
            <w:vAlign w:val="center"/>
          </w:tcPr>
          <w:p>
            <w:pPr>
              <w:pStyle w:val="TableText"/>
              <w:jc w:val="center"/>
            </w:pPr>
            <w:r>
              <w:rPr>
                <w:b/>
                <w:color w:val="FFFFFF"/>
                <w:sz w:val="17"/>
              </w:rPr>
              <w:t>Relative effort</w:t>
            </w:r>
          </w:p>
        </w:tc>
      </w:tr>
      <w:tr>
        <w:trPr>
          <w:cantSplit/>
        </w:trPr>
        <w:tc>
          <w:tcPr>
            <w:tcW w:type="dxa" w:w="1512"/>
            <w:shd w:fill="FFFFFF"/>
            <w:tcMar>
              <w:top w:w="85" w:type="dxa"/>
              <w:start w:w="100" w:type="dxa"/>
              <w:bottom w:w="85" w:type="dxa"/>
              <w:end w:w="100" w:type="dxa"/>
            </w:tcMar>
            <w:vAlign w:val="center"/>
          </w:tcPr>
          <w:p>
            <w:pPr>
              <w:pStyle w:val="TableText"/>
              <w:jc w:val="center"/>
            </w:pPr>
            <w:r>
              <w:rPr>
                <w:sz w:val="17"/>
              </w:rPr>
              <w:t>WP R0</w:t>
            </w:r>
          </w:p>
        </w:tc>
        <w:tc>
          <w:tcPr>
            <w:tcW w:type="dxa" w:w="4104"/>
            <w:shd w:fill="FFFFFF"/>
            <w:tcMar>
              <w:top w:w="85" w:type="dxa"/>
              <w:start w:w="100" w:type="dxa"/>
              <w:bottom w:w="85" w:type="dxa"/>
              <w:end w:w="100" w:type="dxa"/>
            </w:tcMar>
            <w:vAlign w:val="center"/>
          </w:tcPr>
          <w:p>
            <w:pPr>
              <w:pStyle w:val="TableText"/>
              <w:jc w:val="left"/>
            </w:pPr>
            <w:r>
              <w:rPr>
                <w:sz w:val="17"/>
              </w:rPr>
              <w:t>Compile-clean production tree and truthful manifests</w:t>
            </w:r>
          </w:p>
        </w:tc>
        <w:tc>
          <w:tcPr>
            <w:tcW w:type="dxa" w:w="3240"/>
            <w:shd w:fill="FFFFFF"/>
            <w:tcMar>
              <w:top w:w="85" w:type="dxa"/>
              <w:start w:w="100" w:type="dxa"/>
              <w:bottom w:w="85" w:type="dxa"/>
              <w:end w:w="100" w:type="dxa"/>
            </w:tcMar>
            <w:vAlign w:val="center"/>
          </w:tcPr>
          <w:p>
            <w:pPr>
              <w:pStyle w:val="TableText"/>
              <w:jc w:val="left"/>
            </w:pPr>
            <w:r>
              <w:rPr>
                <w:sz w:val="17"/>
              </w:rPr>
              <w:t>BLDL3D01 through BLDL3D03</w:t>
            </w:r>
          </w:p>
        </w:tc>
        <w:tc>
          <w:tcPr>
            <w:tcW w:type="dxa" w:w="1440"/>
            <w:shd w:fill="FFFFFF"/>
            <w:tcMar>
              <w:top w:w="85" w:type="dxa"/>
              <w:start w:w="100" w:type="dxa"/>
              <w:bottom w:w="85" w:type="dxa"/>
              <w:end w:w="100" w:type="dxa"/>
            </w:tcMar>
            <w:vAlign w:val="center"/>
          </w:tcPr>
          <w:p>
            <w:pPr>
              <w:pStyle w:val="TableText"/>
              <w:jc w:val="left"/>
            </w:pPr>
            <w:r>
              <w:rPr>
                <w:sz w:val="17"/>
              </w:rPr>
              <w:t>Small</w:t>
            </w:r>
          </w:p>
        </w:tc>
      </w:tr>
      <w:tr>
        <w:trPr>
          <w:cantSplit/>
        </w:trPr>
        <w:tc>
          <w:tcPr>
            <w:tcW w:type="dxa" w:w="1512"/>
            <w:shd w:fill="EAF1F8"/>
            <w:tcMar>
              <w:top w:w="85" w:type="dxa"/>
              <w:start w:w="100" w:type="dxa"/>
              <w:bottom w:w="85" w:type="dxa"/>
              <w:end w:w="100" w:type="dxa"/>
            </w:tcMar>
            <w:vAlign w:val="center"/>
          </w:tcPr>
          <w:p>
            <w:pPr>
              <w:pStyle w:val="TableText"/>
              <w:jc w:val="center"/>
            </w:pPr>
            <w:r>
              <w:rPr>
                <w:sz w:val="17"/>
              </w:rPr>
              <w:t>WP R1</w:t>
            </w:r>
          </w:p>
        </w:tc>
        <w:tc>
          <w:tcPr>
            <w:tcW w:type="dxa" w:w="4104"/>
            <w:shd w:fill="EAF1F8"/>
            <w:tcMar>
              <w:top w:w="85" w:type="dxa"/>
              <w:start w:w="100" w:type="dxa"/>
              <w:bottom w:w="85" w:type="dxa"/>
              <w:end w:w="100" w:type="dxa"/>
            </w:tcMar>
            <w:vAlign w:val="center"/>
          </w:tcPr>
          <w:p>
            <w:pPr>
              <w:pStyle w:val="TableText"/>
              <w:jc w:val="left"/>
            </w:pPr>
            <w:r>
              <w:rPr>
                <w:sz w:val="17"/>
              </w:rPr>
              <w:t>Single sep_util and SWCME builds</w:t>
            </w:r>
          </w:p>
        </w:tc>
        <w:tc>
          <w:tcPr>
            <w:tcW w:type="dxa" w:w="3240"/>
            <w:shd w:fill="EAF1F8"/>
            <w:tcMar>
              <w:top w:w="85" w:type="dxa"/>
              <w:start w:w="100" w:type="dxa"/>
              <w:bottom w:w="85" w:type="dxa"/>
              <w:end w:w="100" w:type="dxa"/>
            </w:tcMar>
            <w:vAlign w:val="center"/>
          </w:tcPr>
          <w:p>
            <w:pPr>
              <w:pStyle w:val="TableText"/>
              <w:jc w:val="left"/>
            </w:pPr>
            <w:r>
              <w:rPr>
                <w:sz w:val="17"/>
              </w:rPr>
              <w:t>srcSEP regression plus SWCME common suite</w:t>
            </w:r>
          </w:p>
        </w:tc>
        <w:tc>
          <w:tcPr>
            <w:tcW w:type="dxa" w:w="1440"/>
            <w:shd w:fill="EAF1F8"/>
            <w:tcMar>
              <w:top w:w="85" w:type="dxa"/>
              <w:start w:w="100" w:type="dxa"/>
              <w:bottom w:w="85" w:type="dxa"/>
              <w:end w:w="100" w:type="dxa"/>
            </w:tcMar>
            <w:vAlign w:val="center"/>
          </w:tcPr>
          <w:p>
            <w:pPr>
              <w:pStyle w:val="TableText"/>
              <w:jc w:val="left"/>
            </w:pPr>
            <w:r>
              <w:rPr>
                <w:sz w:val="17"/>
              </w:rPr>
              <w:t>Small</w:t>
            </w:r>
          </w:p>
        </w:tc>
      </w:tr>
      <w:tr>
        <w:trPr>
          <w:cantSplit/>
        </w:trPr>
        <w:tc>
          <w:tcPr>
            <w:tcW w:type="dxa" w:w="1512"/>
            <w:shd w:fill="FFFFFF"/>
            <w:tcMar>
              <w:top w:w="85" w:type="dxa"/>
              <w:start w:w="100" w:type="dxa"/>
              <w:bottom w:w="85" w:type="dxa"/>
              <w:end w:w="100" w:type="dxa"/>
            </w:tcMar>
            <w:vAlign w:val="center"/>
          </w:tcPr>
          <w:p>
            <w:pPr>
              <w:pStyle w:val="TableText"/>
              <w:jc w:val="center"/>
            </w:pPr>
            <w:r>
              <w:rPr>
                <w:sz w:val="17"/>
              </w:rPr>
              <w:t>WP R2</w:t>
            </w:r>
          </w:p>
        </w:tc>
        <w:tc>
          <w:tcPr>
            <w:tcW w:type="dxa" w:w="4104"/>
            <w:shd w:fill="FFFFFF"/>
            <w:tcMar>
              <w:top w:w="85" w:type="dxa"/>
              <w:start w:w="100" w:type="dxa"/>
              <w:bottom w:w="85" w:type="dxa"/>
              <w:end w:w="100" w:type="dxa"/>
            </w:tcMar>
            <w:vAlign w:val="center"/>
          </w:tcPr>
          <w:p>
            <w:pPr>
              <w:pStyle w:val="TableText"/>
              <w:jc w:val="left"/>
            </w:pPr>
            <w:r>
              <w:rPr>
                <w:sz w:val="17"/>
              </w:rPr>
              <w:t>Runtime  immutable configuration and lifecycle</w:t>
            </w:r>
          </w:p>
        </w:tc>
        <w:tc>
          <w:tcPr>
            <w:tcW w:type="dxa" w:w="3240"/>
            <w:shd w:fill="FFFFFF"/>
            <w:tcMar>
              <w:top w:w="85" w:type="dxa"/>
              <w:start w:w="100" w:type="dxa"/>
              <w:bottom w:w="85" w:type="dxa"/>
              <w:end w:w="100" w:type="dxa"/>
            </w:tcMar>
            <w:vAlign w:val="center"/>
          </w:tcPr>
          <w:p>
            <w:pPr>
              <w:pStyle w:val="TableText"/>
              <w:jc w:val="left"/>
            </w:pPr>
            <w:r>
              <w:rPr>
                <w:sz w:val="17"/>
              </w:rPr>
              <w:t>LIFE3D01 through LIFE3D04</w:t>
            </w:r>
          </w:p>
        </w:tc>
        <w:tc>
          <w:tcPr>
            <w:tcW w:type="dxa" w:w="1440"/>
            <w:shd w:fill="FFFFFF"/>
            <w:tcMar>
              <w:top w:w="85" w:type="dxa"/>
              <w:start w:w="100" w:type="dxa"/>
              <w:bottom w:w="85" w:type="dxa"/>
              <w:end w:w="100" w:type="dxa"/>
            </w:tcMar>
            <w:vAlign w:val="center"/>
          </w:tcPr>
          <w:p>
            <w:pPr>
              <w:pStyle w:val="TableText"/>
              <w:jc w:val="left"/>
            </w:pPr>
            <w:r>
              <w:rPr>
                <w:sz w:val="17"/>
              </w:rPr>
              <w:t>Medium</w:t>
            </w:r>
          </w:p>
        </w:tc>
      </w:tr>
      <w:tr>
        <w:trPr>
          <w:cantSplit/>
        </w:trPr>
        <w:tc>
          <w:tcPr>
            <w:tcW w:type="dxa" w:w="1512"/>
            <w:shd w:fill="EAF1F8"/>
            <w:tcMar>
              <w:top w:w="85" w:type="dxa"/>
              <w:start w:w="100" w:type="dxa"/>
              <w:bottom w:w="85" w:type="dxa"/>
              <w:end w:w="100" w:type="dxa"/>
            </w:tcMar>
            <w:vAlign w:val="center"/>
          </w:tcPr>
          <w:p>
            <w:pPr>
              <w:pStyle w:val="TableText"/>
              <w:jc w:val="center"/>
            </w:pPr>
            <w:r>
              <w:rPr>
                <w:sz w:val="17"/>
              </w:rPr>
              <w:t>WP M</w:t>
            </w:r>
          </w:p>
        </w:tc>
        <w:tc>
          <w:tcPr>
            <w:tcW w:type="dxa" w:w="4104"/>
            <w:shd w:fill="EAF1F8"/>
            <w:tcMar>
              <w:top w:w="85" w:type="dxa"/>
              <w:start w:w="100" w:type="dxa"/>
              <w:bottom w:w="85" w:type="dxa"/>
              <w:end w:w="100" w:type="dxa"/>
            </w:tcMar>
            <w:vAlign w:val="center"/>
          </w:tcPr>
          <w:p>
            <w:pPr>
              <w:pStyle w:val="TableText"/>
              <w:jc w:val="left"/>
            </w:pPr>
            <w:r>
              <w:rPr>
                <w:sz w:val="17"/>
              </w:rPr>
              <w:t>Domain  refinement law  emulator and AMPS storage</w:t>
            </w:r>
          </w:p>
        </w:tc>
        <w:tc>
          <w:tcPr>
            <w:tcW w:type="dxa" w:w="3240"/>
            <w:shd w:fill="EAF1F8"/>
            <w:tcMar>
              <w:top w:w="85" w:type="dxa"/>
              <w:start w:w="100" w:type="dxa"/>
              <w:bottom w:w="85" w:type="dxa"/>
              <w:end w:w="100" w:type="dxa"/>
            </w:tcMar>
            <w:vAlign w:val="center"/>
          </w:tcPr>
          <w:p>
            <w:pPr>
              <w:pStyle w:val="TableText"/>
              <w:jc w:val="left"/>
            </w:pPr>
            <w:r>
              <w:rPr>
                <w:sz w:val="17"/>
              </w:rPr>
              <w:t>MSH3D and NAT3D01</w:t>
            </w:r>
          </w:p>
        </w:tc>
        <w:tc>
          <w:tcPr>
            <w:tcW w:type="dxa" w:w="1440"/>
            <w:shd w:fill="EAF1F8"/>
            <w:tcMar>
              <w:top w:w="85" w:type="dxa"/>
              <w:start w:w="100" w:type="dxa"/>
              <w:bottom w:w="85" w:type="dxa"/>
              <w:end w:w="100" w:type="dxa"/>
            </w:tcMar>
            <w:vAlign w:val="center"/>
          </w:tcPr>
          <w:p>
            <w:pPr>
              <w:pStyle w:val="TableText"/>
              <w:jc w:val="left"/>
            </w:pPr>
            <w:r>
              <w:rPr>
                <w:sz w:val="17"/>
              </w:rPr>
              <w:t>Medium</w:t>
            </w:r>
          </w:p>
        </w:tc>
      </w:tr>
      <w:tr>
        <w:trPr>
          <w:cantSplit/>
        </w:trPr>
        <w:tc>
          <w:tcPr>
            <w:tcW w:type="dxa" w:w="1512"/>
            <w:shd w:fill="FFFFFF"/>
            <w:tcMar>
              <w:top w:w="85" w:type="dxa"/>
              <w:start w:w="100" w:type="dxa"/>
              <w:bottom w:w="85" w:type="dxa"/>
              <w:end w:w="100" w:type="dxa"/>
            </w:tcMar>
            <w:vAlign w:val="center"/>
          </w:tcPr>
          <w:p>
            <w:pPr>
              <w:pStyle w:val="TableText"/>
              <w:jc w:val="center"/>
            </w:pPr>
            <w:r>
              <w:rPr>
                <w:sz w:val="17"/>
              </w:rPr>
              <w:t>WP B</w:t>
            </w:r>
          </w:p>
        </w:tc>
        <w:tc>
          <w:tcPr>
            <w:tcW w:type="dxa" w:w="4104"/>
            <w:shd w:fill="FFFFFF"/>
            <w:tcMar>
              <w:top w:w="85" w:type="dxa"/>
              <w:start w:w="100" w:type="dxa"/>
              <w:bottom w:w="85" w:type="dxa"/>
              <w:end w:w="100" w:type="dxa"/>
            </w:tcMar>
            <w:vAlign w:val="center"/>
          </w:tcPr>
          <w:p>
            <w:pPr>
              <w:pStyle w:val="TableText"/>
              <w:jc w:val="left"/>
            </w:pPr>
            <w:r>
              <w:rPr>
                <w:sz w:val="17"/>
              </w:rPr>
              <w:t>Parker provider  snapshot builder and SWMF adapter</w:t>
            </w:r>
          </w:p>
        </w:tc>
        <w:tc>
          <w:tcPr>
            <w:tcW w:type="dxa" w:w="3240"/>
            <w:shd w:fill="FFFFFF"/>
            <w:tcMar>
              <w:top w:w="85" w:type="dxa"/>
              <w:start w:w="100" w:type="dxa"/>
              <w:bottom w:w="85" w:type="dxa"/>
              <w:end w:w="100" w:type="dxa"/>
            </w:tcMar>
            <w:vAlign w:val="center"/>
          </w:tcPr>
          <w:p>
            <w:pPr>
              <w:pStyle w:val="TableText"/>
              <w:jc w:val="left"/>
            </w:pPr>
            <w:r>
              <w:rPr>
                <w:sz w:val="17"/>
              </w:rPr>
              <w:t>BGP3D  SNAP3D and CPL3D</w:t>
            </w:r>
          </w:p>
        </w:tc>
        <w:tc>
          <w:tcPr>
            <w:tcW w:type="dxa" w:w="1440"/>
            <w:shd w:fill="FFFFFF"/>
            <w:tcMar>
              <w:top w:w="85" w:type="dxa"/>
              <w:start w:w="100" w:type="dxa"/>
              <w:bottom w:w="85" w:type="dxa"/>
              <w:end w:w="100" w:type="dxa"/>
            </w:tcMar>
            <w:vAlign w:val="center"/>
          </w:tcPr>
          <w:p>
            <w:pPr>
              <w:pStyle w:val="TableText"/>
              <w:jc w:val="left"/>
            </w:pPr>
            <w:r>
              <w:rPr>
                <w:sz w:val="17"/>
              </w:rPr>
              <w:t>Large</w:t>
            </w:r>
          </w:p>
        </w:tc>
      </w:tr>
      <w:tr>
        <w:trPr>
          <w:cantSplit/>
        </w:trPr>
        <w:tc>
          <w:tcPr>
            <w:tcW w:type="dxa" w:w="1512"/>
            <w:shd w:fill="EAF1F8"/>
            <w:tcMar>
              <w:top w:w="85" w:type="dxa"/>
              <w:start w:w="100" w:type="dxa"/>
              <w:bottom w:w="85" w:type="dxa"/>
              <w:end w:w="100" w:type="dxa"/>
            </w:tcMar>
            <w:vAlign w:val="center"/>
          </w:tcPr>
          <w:p>
            <w:pPr>
              <w:pStyle w:val="TableText"/>
              <w:jc w:val="center"/>
            </w:pPr>
            <w:r>
              <w:rPr>
                <w:sz w:val="17"/>
              </w:rPr>
              <w:t>WP T</w:t>
            </w:r>
          </w:p>
        </w:tc>
        <w:tc>
          <w:tcPr>
            <w:tcW w:type="dxa" w:w="4104"/>
            <w:shd w:fill="EAF1F8"/>
            <w:tcMar>
              <w:top w:w="85" w:type="dxa"/>
              <w:start w:w="100" w:type="dxa"/>
              <w:bottom w:w="85" w:type="dxa"/>
              <w:end w:w="100" w:type="dxa"/>
            </w:tcMar>
            <w:vAlign w:val="center"/>
          </w:tcPr>
          <w:p>
            <w:pPr>
              <w:pStyle w:val="TableText"/>
              <w:jc w:val="left"/>
            </w:pPr>
            <w:r>
              <w:rPr>
                <w:sz w:val="17"/>
              </w:rPr>
              <w:t>Turbulence providers and shared coefficients</w:t>
            </w:r>
          </w:p>
        </w:tc>
        <w:tc>
          <w:tcPr>
            <w:tcW w:type="dxa" w:w="3240"/>
            <w:shd w:fill="EAF1F8"/>
            <w:tcMar>
              <w:top w:w="85" w:type="dxa"/>
              <w:start w:w="100" w:type="dxa"/>
              <w:bottom w:w="85" w:type="dxa"/>
              <w:end w:w="100" w:type="dxa"/>
            </w:tcMar>
            <w:vAlign w:val="center"/>
          </w:tcPr>
          <w:p>
            <w:pPr>
              <w:pStyle w:val="TableText"/>
              <w:jc w:val="left"/>
            </w:pPr>
            <w:r>
              <w:rPr>
                <w:sz w:val="17"/>
              </w:rPr>
              <w:t>TUR3D and COEF3D</w:t>
            </w:r>
          </w:p>
        </w:tc>
        <w:tc>
          <w:tcPr>
            <w:tcW w:type="dxa" w:w="1440"/>
            <w:shd w:fill="EAF1F8"/>
            <w:tcMar>
              <w:top w:w="85" w:type="dxa"/>
              <w:start w:w="100" w:type="dxa"/>
              <w:bottom w:w="85" w:type="dxa"/>
              <w:end w:w="100" w:type="dxa"/>
            </w:tcMar>
            <w:vAlign w:val="center"/>
          </w:tcPr>
          <w:p>
            <w:pPr>
              <w:pStyle w:val="TableText"/>
              <w:jc w:val="left"/>
            </w:pPr>
            <w:r>
              <w:rPr>
                <w:sz w:val="17"/>
              </w:rPr>
              <w:t>Medium</w:t>
            </w:r>
          </w:p>
        </w:tc>
      </w:tr>
      <w:tr>
        <w:trPr>
          <w:cantSplit/>
        </w:trPr>
        <w:tc>
          <w:tcPr>
            <w:tcW w:type="dxa" w:w="1512"/>
            <w:shd w:fill="FFFFFF"/>
            <w:tcMar>
              <w:top w:w="85" w:type="dxa"/>
              <w:start w:w="100" w:type="dxa"/>
              <w:bottom w:w="85" w:type="dxa"/>
              <w:end w:w="100" w:type="dxa"/>
            </w:tcMar>
            <w:vAlign w:val="center"/>
          </w:tcPr>
          <w:p>
            <w:pPr>
              <w:pStyle w:val="TableText"/>
              <w:jc w:val="center"/>
            </w:pPr>
            <w:r>
              <w:rPr>
                <w:sz w:val="17"/>
              </w:rPr>
              <w:t>WP P1</w:t>
            </w:r>
          </w:p>
        </w:tc>
        <w:tc>
          <w:tcPr>
            <w:tcW w:type="dxa" w:w="4104"/>
            <w:shd w:fill="FFFFFF"/>
            <w:tcMar>
              <w:top w:w="85" w:type="dxa"/>
              <w:start w:w="100" w:type="dxa"/>
              <w:bottom w:w="85" w:type="dxa"/>
              <w:end w:w="100" w:type="dxa"/>
            </w:tcMar>
            <w:vAlign w:val="center"/>
          </w:tcPr>
          <w:p>
            <w:pPr>
              <w:pStyle w:val="TableText"/>
              <w:jc w:val="left"/>
            </w:pPr>
            <w:r>
              <w:rPr>
                <w:sz w:val="17"/>
              </w:rPr>
              <w:t>Parker transport core</w:t>
            </w:r>
          </w:p>
        </w:tc>
        <w:tc>
          <w:tcPr>
            <w:tcW w:type="dxa" w:w="3240"/>
            <w:shd w:fill="FFFFFF"/>
            <w:tcMar>
              <w:top w:w="85" w:type="dxa"/>
              <w:start w:w="100" w:type="dxa"/>
              <w:bottom w:w="85" w:type="dxa"/>
              <w:end w:w="100" w:type="dxa"/>
            </w:tcMar>
            <w:vAlign w:val="center"/>
          </w:tcPr>
          <w:p>
            <w:pPr>
              <w:pStyle w:val="TableText"/>
              <w:jc w:val="left"/>
            </w:pPr>
            <w:r>
              <w:rPr>
                <w:sz w:val="17"/>
              </w:rPr>
              <w:t>PRK3D suite</w:t>
            </w:r>
          </w:p>
        </w:tc>
        <w:tc>
          <w:tcPr>
            <w:tcW w:type="dxa" w:w="1440"/>
            <w:shd w:fill="FFFFFF"/>
            <w:tcMar>
              <w:top w:w="85" w:type="dxa"/>
              <w:start w:w="100" w:type="dxa"/>
              <w:bottom w:w="85" w:type="dxa"/>
              <w:end w:w="100" w:type="dxa"/>
            </w:tcMar>
            <w:vAlign w:val="center"/>
          </w:tcPr>
          <w:p>
            <w:pPr>
              <w:pStyle w:val="TableText"/>
              <w:jc w:val="left"/>
            </w:pPr>
            <w:r>
              <w:rPr>
                <w:sz w:val="17"/>
              </w:rPr>
              <w:t>Large</w:t>
            </w:r>
          </w:p>
        </w:tc>
      </w:tr>
      <w:tr>
        <w:trPr>
          <w:cantSplit/>
        </w:trPr>
        <w:tc>
          <w:tcPr>
            <w:tcW w:type="dxa" w:w="1512"/>
            <w:shd w:fill="EAF1F8"/>
            <w:tcMar>
              <w:top w:w="85" w:type="dxa"/>
              <w:start w:w="100" w:type="dxa"/>
              <w:bottom w:w="85" w:type="dxa"/>
              <w:end w:w="100" w:type="dxa"/>
            </w:tcMar>
            <w:vAlign w:val="center"/>
          </w:tcPr>
          <w:p>
            <w:pPr>
              <w:pStyle w:val="TableText"/>
              <w:jc w:val="center"/>
            </w:pPr>
            <w:r>
              <w:rPr>
                <w:sz w:val="17"/>
              </w:rPr>
              <w:t>WP P2</w:t>
            </w:r>
          </w:p>
        </w:tc>
        <w:tc>
          <w:tcPr>
            <w:tcW w:type="dxa" w:w="4104"/>
            <w:shd w:fill="EAF1F8"/>
            <w:tcMar>
              <w:top w:w="85" w:type="dxa"/>
              <w:start w:w="100" w:type="dxa"/>
              <w:bottom w:w="85" w:type="dxa"/>
              <w:end w:w="100" w:type="dxa"/>
            </w:tcMar>
            <w:vAlign w:val="center"/>
          </w:tcPr>
          <w:p>
            <w:pPr>
              <w:pStyle w:val="TableText"/>
              <w:jc w:val="left"/>
            </w:pPr>
            <w:r>
              <w:rPr>
                <w:sz w:val="17"/>
              </w:rPr>
              <w:t>Focused transport core</w:t>
            </w:r>
          </w:p>
        </w:tc>
        <w:tc>
          <w:tcPr>
            <w:tcW w:type="dxa" w:w="3240"/>
            <w:shd w:fill="EAF1F8"/>
            <w:tcMar>
              <w:top w:w="85" w:type="dxa"/>
              <w:start w:w="100" w:type="dxa"/>
              <w:bottom w:w="85" w:type="dxa"/>
              <w:end w:w="100" w:type="dxa"/>
            </w:tcMar>
            <w:vAlign w:val="center"/>
          </w:tcPr>
          <w:p>
            <w:pPr>
              <w:pStyle w:val="TableText"/>
              <w:jc w:val="left"/>
            </w:pPr>
            <w:r>
              <w:rPr>
                <w:sz w:val="17"/>
              </w:rPr>
              <w:t>FTE3D suite</w:t>
            </w:r>
          </w:p>
        </w:tc>
        <w:tc>
          <w:tcPr>
            <w:tcW w:type="dxa" w:w="1440"/>
            <w:shd w:fill="EAF1F8"/>
            <w:tcMar>
              <w:top w:w="85" w:type="dxa"/>
              <w:start w:w="100" w:type="dxa"/>
              <w:bottom w:w="85" w:type="dxa"/>
              <w:end w:w="100" w:type="dxa"/>
            </w:tcMar>
            <w:vAlign w:val="center"/>
          </w:tcPr>
          <w:p>
            <w:pPr>
              <w:pStyle w:val="TableText"/>
              <w:jc w:val="left"/>
            </w:pPr>
            <w:r>
              <w:rPr>
                <w:sz w:val="17"/>
              </w:rPr>
              <w:t>Large</w:t>
            </w:r>
          </w:p>
        </w:tc>
      </w:tr>
      <w:tr>
        <w:trPr>
          <w:cantSplit/>
        </w:trPr>
        <w:tc>
          <w:tcPr>
            <w:tcW w:type="dxa" w:w="1512"/>
            <w:shd w:fill="FFFFFF"/>
            <w:tcMar>
              <w:top w:w="85" w:type="dxa"/>
              <w:start w:w="100" w:type="dxa"/>
              <w:bottom w:w="85" w:type="dxa"/>
              <w:end w:w="100" w:type="dxa"/>
            </w:tcMar>
            <w:vAlign w:val="center"/>
          </w:tcPr>
          <w:p>
            <w:pPr>
              <w:pStyle w:val="TableText"/>
              <w:jc w:val="center"/>
            </w:pPr>
            <w:r>
              <w:rPr>
                <w:sz w:val="17"/>
              </w:rPr>
              <w:t>WP A</w:t>
            </w:r>
          </w:p>
        </w:tc>
        <w:tc>
          <w:tcPr>
            <w:tcW w:type="dxa" w:w="4104"/>
            <w:shd w:fill="FFFFFF"/>
            <w:tcMar>
              <w:top w:w="85" w:type="dxa"/>
              <w:start w:w="100" w:type="dxa"/>
              <w:bottom w:w="85" w:type="dxa"/>
              <w:end w:w="100" w:type="dxa"/>
            </w:tcMar>
            <w:vAlign w:val="center"/>
          </w:tcPr>
          <w:p>
            <w:pPr>
              <w:pStyle w:val="TableText"/>
              <w:jc w:val="left"/>
            </w:pPr>
            <w:r>
              <w:rPr>
                <w:sz w:val="17"/>
              </w:rPr>
              <w:t>AMPS movers  boundaries and SWCME source</w:t>
            </w:r>
          </w:p>
        </w:tc>
        <w:tc>
          <w:tcPr>
            <w:tcW w:type="dxa" w:w="3240"/>
            <w:shd w:fill="FFFFFF"/>
            <w:tcMar>
              <w:top w:w="85" w:type="dxa"/>
              <w:start w:w="100" w:type="dxa"/>
              <w:bottom w:w="85" w:type="dxa"/>
              <w:end w:w="100" w:type="dxa"/>
            </w:tcMar>
            <w:vAlign w:val="center"/>
          </w:tcPr>
          <w:p>
            <w:pPr>
              <w:pStyle w:val="TableText"/>
              <w:jc w:val="left"/>
            </w:pPr>
            <w:r>
              <w:rPr>
                <w:sz w:val="17"/>
              </w:rPr>
              <w:t>NAT3D04  NAT3D05 and SHK3D</w:t>
            </w:r>
          </w:p>
        </w:tc>
        <w:tc>
          <w:tcPr>
            <w:tcW w:type="dxa" w:w="1440"/>
            <w:shd w:fill="FFFFFF"/>
            <w:tcMar>
              <w:top w:w="85" w:type="dxa"/>
              <w:start w:w="100" w:type="dxa"/>
              <w:bottom w:w="85" w:type="dxa"/>
              <w:end w:w="100" w:type="dxa"/>
            </w:tcMar>
            <w:vAlign w:val="center"/>
          </w:tcPr>
          <w:p>
            <w:pPr>
              <w:pStyle w:val="TableText"/>
              <w:jc w:val="left"/>
            </w:pPr>
            <w:r>
              <w:rPr>
                <w:sz w:val="17"/>
              </w:rPr>
              <w:t>Large</w:t>
            </w:r>
          </w:p>
        </w:tc>
      </w:tr>
      <w:tr>
        <w:trPr>
          <w:cantSplit/>
        </w:trPr>
        <w:tc>
          <w:tcPr>
            <w:tcW w:type="dxa" w:w="1512"/>
            <w:shd w:fill="EAF1F8"/>
            <w:tcMar>
              <w:top w:w="85" w:type="dxa"/>
              <w:start w:w="100" w:type="dxa"/>
              <w:bottom w:w="85" w:type="dxa"/>
              <w:end w:w="100" w:type="dxa"/>
            </w:tcMar>
            <w:vAlign w:val="center"/>
          </w:tcPr>
          <w:p>
            <w:pPr>
              <w:pStyle w:val="TableText"/>
              <w:jc w:val="center"/>
            </w:pPr>
            <w:r>
              <w:rPr>
                <w:sz w:val="17"/>
              </w:rPr>
              <w:t>WP O</w:t>
            </w:r>
          </w:p>
        </w:tc>
        <w:tc>
          <w:tcPr>
            <w:tcW w:type="dxa" w:w="4104"/>
            <w:shd w:fill="EAF1F8"/>
            <w:tcMar>
              <w:top w:w="85" w:type="dxa"/>
              <w:start w:w="100" w:type="dxa"/>
              <w:bottom w:w="85" w:type="dxa"/>
              <w:end w:w="100" w:type="dxa"/>
            </w:tcMar>
            <w:vAlign w:val="center"/>
          </w:tcPr>
          <w:p>
            <w:pPr>
              <w:pStyle w:val="TableText"/>
              <w:jc w:val="left"/>
            </w:pPr>
            <w:r>
              <w:rPr>
                <w:sz w:val="17"/>
              </w:rPr>
              <w:t>Sampling  transactional output and restart</w:t>
            </w:r>
          </w:p>
        </w:tc>
        <w:tc>
          <w:tcPr>
            <w:tcW w:type="dxa" w:w="3240"/>
            <w:shd w:fill="EAF1F8"/>
            <w:tcMar>
              <w:top w:w="85" w:type="dxa"/>
              <w:start w:w="100" w:type="dxa"/>
              <w:bottom w:w="85" w:type="dxa"/>
              <w:end w:w="100" w:type="dxa"/>
            </w:tcMar>
            <w:vAlign w:val="center"/>
          </w:tcPr>
          <w:p>
            <w:pPr>
              <w:pStyle w:val="TableText"/>
              <w:jc w:val="left"/>
            </w:pPr>
            <w:r>
              <w:rPr>
                <w:sz w:val="17"/>
              </w:rPr>
              <w:t>NAT3D06  NAT3D07 and RST3D</w:t>
            </w:r>
          </w:p>
        </w:tc>
        <w:tc>
          <w:tcPr>
            <w:tcW w:type="dxa" w:w="1440"/>
            <w:shd w:fill="EAF1F8"/>
            <w:tcMar>
              <w:top w:w="85" w:type="dxa"/>
              <w:start w:w="100" w:type="dxa"/>
              <w:bottom w:w="85" w:type="dxa"/>
              <w:end w:w="100" w:type="dxa"/>
            </w:tcMar>
            <w:vAlign w:val="center"/>
          </w:tcPr>
          <w:p>
            <w:pPr>
              <w:pStyle w:val="TableText"/>
              <w:jc w:val="left"/>
            </w:pPr>
            <w:r>
              <w:rPr>
                <w:sz w:val="17"/>
              </w:rPr>
              <w:t>Medium</w:t>
            </w:r>
          </w:p>
        </w:tc>
      </w:tr>
      <w:tr>
        <w:trPr>
          <w:cantSplit/>
        </w:trPr>
        <w:tc>
          <w:tcPr>
            <w:tcW w:type="dxa" w:w="1512"/>
            <w:shd w:fill="FFFFFF"/>
            <w:tcMar>
              <w:top w:w="85" w:type="dxa"/>
              <w:start w:w="100" w:type="dxa"/>
              <w:bottom w:w="85" w:type="dxa"/>
              <w:end w:w="100" w:type="dxa"/>
            </w:tcMar>
            <w:vAlign w:val="center"/>
          </w:tcPr>
          <w:p>
            <w:pPr>
              <w:pStyle w:val="TableText"/>
              <w:jc w:val="center"/>
            </w:pPr>
            <w:r>
              <w:rPr>
                <w:sz w:val="17"/>
              </w:rPr>
              <w:t>WP V1</w:t>
            </w:r>
          </w:p>
        </w:tc>
        <w:tc>
          <w:tcPr>
            <w:tcW w:type="dxa" w:w="4104"/>
            <w:shd w:fill="FFFFFF"/>
            <w:tcMar>
              <w:top w:w="85" w:type="dxa"/>
              <w:start w:w="100" w:type="dxa"/>
              <w:bottom w:w="85" w:type="dxa"/>
              <w:end w:w="100" w:type="dxa"/>
            </w:tcMar>
            <w:vAlign w:val="center"/>
          </w:tcPr>
          <w:p>
            <w:pPr>
              <w:pStyle w:val="TableText"/>
              <w:jc w:val="left"/>
            </w:pPr>
            <w:r>
              <w:rPr>
                <w:sz w:val="17"/>
              </w:rPr>
              <w:t>Cross-model validation</w:t>
            </w:r>
          </w:p>
        </w:tc>
        <w:tc>
          <w:tcPr>
            <w:tcW w:type="dxa" w:w="3240"/>
            <w:shd w:fill="FFFFFF"/>
            <w:tcMar>
              <w:top w:w="85" w:type="dxa"/>
              <w:start w:w="100" w:type="dxa"/>
              <w:bottom w:w="85" w:type="dxa"/>
              <w:end w:w="100" w:type="dxa"/>
            </w:tcMar>
            <w:vAlign w:val="center"/>
          </w:tcPr>
          <w:p>
            <w:pPr>
              <w:pStyle w:val="TableText"/>
              <w:jc w:val="left"/>
            </w:pPr>
            <w:r>
              <w:rPr>
                <w:sz w:val="17"/>
              </w:rPr>
              <w:t>XM3D01 through XM3D06</w:t>
            </w:r>
          </w:p>
        </w:tc>
        <w:tc>
          <w:tcPr>
            <w:tcW w:type="dxa" w:w="1440"/>
            <w:shd w:fill="FFFFFF"/>
            <w:tcMar>
              <w:top w:w="85" w:type="dxa"/>
              <w:start w:w="100" w:type="dxa"/>
              <w:bottom w:w="85" w:type="dxa"/>
              <w:end w:w="100" w:type="dxa"/>
            </w:tcMar>
            <w:vAlign w:val="center"/>
          </w:tcPr>
          <w:p>
            <w:pPr>
              <w:pStyle w:val="TableText"/>
              <w:jc w:val="left"/>
            </w:pPr>
            <w:r>
              <w:rPr>
                <w:sz w:val="17"/>
              </w:rPr>
              <w:t>Large</w:t>
            </w:r>
          </w:p>
        </w:tc>
      </w:tr>
      <w:tr>
        <w:trPr>
          <w:cantSplit/>
        </w:trPr>
        <w:tc>
          <w:tcPr>
            <w:tcW w:type="dxa" w:w="1512"/>
            <w:shd w:fill="EAF1F8"/>
            <w:tcMar>
              <w:top w:w="85" w:type="dxa"/>
              <w:start w:w="100" w:type="dxa"/>
              <w:bottom w:w="85" w:type="dxa"/>
              <w:end w:w="100" w:type="dxa"/>
            </w:tcMar>
            <w:vAlign w:val="center"/>
          </w:tcPr>
          <w:p>
            <w:pPr>
              <w:pStyle w:val="TableText"/>
              <w:jc w:val="center"/>
            </w:pPr>
            <w:r>
              <w:rPr>
                <w:sz w:val="17"/>
              </w:rPr>
              <w:t>WP V2</w:t>
            </w:r>
          </w:p>
        </w:tc>
        <w:tc>
          <w:tcPr>
            <w:tcW w:type="dxa" w:w="4104"/>
            <w:shd w:fill="EAF1F8"/>
            <w:tcMar>
              <w:top w:w="85" w:type="dxa"/>
              <w:start w:w="100" w:type="dxa"/>
              <w:bottom w:w="85" w:type="dxa"/>
              <w:end w:w="100" w:type="dxa"/>
            </w:tcMar>
            <w:vAlign w:val="center"/>
          </w:tcPr>
          <w:p>
            <w:pPr>
              <w:pStyle w:val="TableText"/>
              <w:jc w:val="left"/>
            </w:pPr>
            <w:r>
              <w:rPr>
                <w:sz w:val="17"/>
              </w:rPr>
              <w:t>Observational campaign</w:t>
            </w:r>
          </w:p>
        </w:tc>
        <w:tc>
          <w:tcPr>
            <w:tcW w:type="dxa" w:w="3240"/>
            <w:shd w:fill="EAF1F8"/>
            <w:tcMar>
              <w:top w:w="85" w:type="dxa"/>
              <w:start w:w="100" w:type="dxa"/>
              <w:bottom w:w="85" w:type="dxa"/>
              <w:end w:w="100" w:type="dxa"/>
            </w:tcMar>
            <w:vAlign w:val="center"/>
          </w:tcPr>
          <w:p>
            <w:pPr>
              <w:pStyle w:val="TableText"/>
              <w:jc w:val="left"/>
            </w:pPr>
            <w:r>
              <w:rPr>
                <w:sz w:val="17"/>
              </w:rPr>
              <w:t>OV3D release cases and evidence package</w:t>
            </w:r>
          </w:p>
        </w:tc>
        <w:tc>
          <w:tcPr>
            <w:tcW w:type="dxa" w:w="1440"/>
            <w:shd w:fill="EAF1F8"/>
            <w:tcMar>
              <w:top w:w="85" w:type="dxa"/>
              <w:start w:w="100" w:type="dxa"/>
              <w:bottom w:w="85" w:type="dxa"/>
              <w:end w:w="100" w:type="dxa"/>
            </w:tcMar>
            <w:vAlign w:val="center"/>
          </w:tcPr>
          <w:p>
            <w:pPr>
              <w:pStyle w:val="TableText"/>
              <w:jc w:val="left"/>
            </w:pPr>
            <w:r>
              <w:rPr>
                <w:sz w:val="17"/>
              </w:rPr>
              <w:t>Large</w:t>
            </w:r>
          </w:p>
        </w:tc>
      </w:tr>
    </w:tbl>
    <w:p>
      <w:pPr>
        <w:pStyle w:val="Heading2"/>
      </w:pPr>
      <w:r>
        <w:t>Critical Path</w:t>
      </w:r>
    </w:p>
    <w:p>
      <w:r>
        <w:t>The critical path is WP R0  WP R1  WP R2  WP M  WP B  WP T  WP P1  WP P2  WP A  WP O  WP V1  and WP V2. The SWMF adapter may be developed in parallel with the Parker provider only after the snapshot contract is frozen. Observational case preparation may proceed earlier, but event calculations cannot substitute for the analytic  coupled and cross-model gates.</w:t>
      </w:r>
    </w:p>
    <w:sectPr w:rsidR="00FC693F" w:rsidRPr="0006063C" w:rsidSect="00034616">
      <w:headerReference w:type="default" r:id="rId9"/>
      <w:footerReference w:type="default" r:id="rId10"/>
      <w:pgSz w:w="12240" w:h="15840"/>
      <w:pgMar w:top="979" w:right="1037" w:bottom="979"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00000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000000"/>
        <w:sz w:val="16"/>
      </w:rPr>
      <w:t>srcSEP3D Updated Development and Verification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ptos" w:hAnsi="Aptos"/>
      <w:color w:val="000000"/>
      <w:sz w:val="17"/>
    </w:rPr>
  </w:style>
  <w:style w:type="paragraph" w:customStyle="1" w:styleId="CodeText">
    <w:name w:val="Code Text"/>
    <w:pPr>
      <w:keepLines/>
      <w:spacing w:after="80"/>
      <w:ind w:left="360"/>
    </w:pPr>
    <w:rPr>
      <w:rFonts w:ascii="Aptos Mono" w:hAnsi="Aptos Mon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srcSEP3D Updated Development and Verification Plan</dc:title>
  <dc:subject>Development and testing plan for three-dimensional heliospheric SEP transport in AMPS</dc:subject>
  <dc:creator>Valeriy Tenishev</dc:creator>
  <cp:keywords>AMPS, srcSEP3D, SEP, focused transport, Parker transport, SWMF, AWSoM, SWCME, verification, validation</cp:keywords>
  <dc:description>Revision 2 development and verification baseline</dc:description>
  <cp:lastModifiedBy/>
  <cp:revision>1</cp:revision>
  <dcterms:created xsi:type="dcterms:W3CDTF">2013-12-23T23:15:00Z</dcterms:created>
  <dcterms:modified xsi:type="dcterms:W3CDTF">2013-12-23T23:15:00Z</dcterms:modified>
  <cp:category/>
</cp:coreProperties>
</file>