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olor w:val="1F3864"/>
          <w:sz w:val="64"/>
          <w:szCs w:val="64"/>
        </w:rPr>
        <w:t xml:space="preserve">srcSEP3D</w:t>
      </w:r>
    </w:p>
    <w:p>
      <w:pPr>
        <w:spacing w:after="120"/>
        <w:jc w:val="center"/>
      </w:pPr>
      <w:r>
        <w:rPr>
          <w:b/>
          <w:bCs/>
          <w:color w:val="2F5496"/>
          <w:sz w:val="30"/>
          <w:szCs w:val="30"/>
        </w:rPr>
        <w:t xml:space="preserve">A Fully Three-Dimensional Solar Energetic Particle and Energetic Electron Transport Model for AMPS</w:t>
      </w:r>
    </w:p>
    <w:p>
      <w:pPr>
        <w:spacing w:after="700"/>
        <w:jc w:val="center"/>
      </w:pPr>
      <w:r>
        <w:rPr>
          <w:color w:val="444444"/>
          <w:sz w:val="26"/>
          <w:szCs w:val="26"/>
        </w:rPr>
        <w:t xml:space="preserve">Detailed Implementation and Testing Plan</w:t>
      </w:r>
    </w:p>
    <w:p>
      <w:pPr>
        <w:spacing w:after="100"/>
        <w:jc w:val="center"/>
      </w:pPr>
      <w:r>
        <w:rPr>
          <w:i/>
          <w:iCs/>
          <w:color w:val="555555"/>
          <w:sz w:val="20"/>
          <w:szCs w:val="20"/>
        </w:rPr>
        <w:t xml:space="preserve">Scope: Parker and focused-transport solvers · Parker-spiral / SWCME / external background fields · Sun-to-Earth/Mars adaptive mesh · staged verification and validation campaign</w:t>
      </w:r>
    </w:p>
    <w:p>
      <w:pPr>
        <w:spacing w:after="900"/>
      </w:pPr>
    </w:p>
    <w:p>
      <w:pPr>
        <w:jc w:val="center"/>
      </w:pPr>
      <w:r>
        <w:rPr>
          <w:color w:val="666666"/>
          <w:sz w:val="20"/>
          <w:szCs w:val="20"/>
        </w:rPr>
        <w:t xml:space="preserve">Revision 1.0 — Design Baseline</w:t>
      </w:r>
    </w:p>
    <w:p>
      <w:pPr>
        <w:jc w:val="center"/>
      </w:pPr>
      <w:r>
        <w:rPr>
          <w:color w:val="666666"/>
          <w:sz w:val="20"/>
          <w:szCs w:val="20"/>
        </w:rPr>
        <w:t xml:space="preserve">Prepared from the supplied AMPS core, srcEarth, srcSEP, and srcSEP3D source archives</w:t>
      </w:r>
    </w:p>
    <w:p>
      <w:r>
        <w:br w:type="page"/>
      </w:r>
    </w:p>
    <w:p>
      <w:pPr>
        <w:pStyle w:val="Heading1"/>
        <w:spacing w:after="160" w:before="360"/>
      </w:pPr>
      <w:r>
        <w:t xml:space="preserve">Contents</w:t>
      </w:r>
    </w:p>
    <w:p>
      <w:pPr>
        <w:tabs>
          <w:tab w:val="right" w:pos="9900"/>
        </w:tabs>
        <w:spacing w:after="20" w:before="120" w:line="240"/>
        <w:ind w:left="0"/>
      </w:pPr>
      <w:r>
        <w:rPr>
          <w:b/>
          <w:bCs/>
          <w:color w:val="1F3864"/>
          <w:sz w:val="21"/>
          <w:szCs w:val="21"/>
        </w:rPr>
        <w:t xml:space="preserve">1. Executive Summary</w:t>
      </w:r>
      <w:r>
        <w:rPr>
          <w:b/>
          <w:bCs/>
          <w:color w:val="1F3864"/>
          <w:sz w:val="21"/>
          <w:szCs w:val="21"/>
        </w:rPr>
        <w:t xml:space="preserve">	4</w:t>
      </w:r>
    </w:p>
    <w:p>
      <w:pPr>
        <w:tabs>
          <w:tab w:val="right" w:pos="9900"/>
        </w:tabs>
        <w:spacing w:after="0" w:before="0" w:line="240"/>
        <w:ind w:left="280"/>
      </w:pPr>
      <w:r>
        <w:rPr>
          <w:b w:val="false"/>
          <w:bCs w:val="false"/>
          <w:color w:val="333333"/>
          <w:sz w:val="19"/>
          <w:szCs w:val="19"/>
        </w:rPr>
        <w:t xml:space="preserve">1.1 What already exists and what this plan changes</w:t>
      </w:r>
      <w:r>
        <w:rPr>
          <w:b w:val="false"/>
          <w:bCs w:val="false"/>
          <w:color w:val="333333"/>
          <w:sz w:val="19"/>
          <w:szCs w:val="19"/>
        </w:rPr>
        <w:t xml:space="preserve">	4</w:t>
      </w:r>
    </w:p>
    <w:p>
      <w:pPr>
        <w:tabs>
          <w:tab w:val="right" w:pos="9900"/>
        </w:tabs>
        <w:spacing w:after="20" w:before="120" w:line="240"/>
        <w:ind w:left="0"/>
      </w:pPr>
      <w:r>
        <w:rPr>
          <w:b/>
          <w:bCs/>
          <w:color w:val="1F3864"/>
          <w:sz w:val="21"/>
          <w:szCs w:val="21"/>
        </w:rPr>
        <w:t xml:space="preserve">2. Inventory of Supplied Assets</w:t>
      </w:r>
      <w:r>
        <w:rPr>
          <w:b/>
          <w:bCs/>
          <w:color w:val="1F3864"/>
          <w:sz w:val="21"/>
          <w:szCs w:val="21"/>
        </w:rPr>
        <w:t xml:space="preserve">	6</w:t>
      </w:r>
    </w:p>
    <w:p>
      <w:pPr>
        <w:tabs>
          <w:tab w:val="right" w:pos="9900"/>
        </w:tabs>
        <w:spacing w:after="0" w:before="0" w:line="240"/>
        <w:ind w:left="280"/>
      </w:pPr>
      <w:r>
        <w:rPr>
          <w:b w:val="false"/>
          <w:bCs w:val="false"/>
          <w:color w:val="333333"/>
          <w:sz w:val="19"/>
          <w:szCs w:val="19"/>
        </w:rPr>
        <w:t xml:space="preserve">2.1 AMPS core (amps.tar → src/)</w:t>
      </w:r>
      <w:r>
        <w:rPr>
          <w:b w:val="false"/>
          <w:bCs w:val="false"/>
          <w:color w:val="333333"/>
          <w:sz w:val="19"/>
          <w:szCs w:val="19"/>
        </w:rPr>
        <w:t xml:space="preserve">	6</w:t>
      </w:r>
    </w:p>
    <w:p>
      <w:pPr>
        <w:tabs>
          <w:tab w:val="right" w:pos="9900"/>
        </w:tabs>
        <w:spacing w:after="0" w:before="0" w:line="240"/>
        <w:ind w:left="280"/>
      </w:pPr>
      <w:r>
        <w:rPr>
          <w:b w:val="false"/>
          <w:bCs w:val="false"/>
          <w:color w:val="333333"/>
          <w:sz w:val="19"/>
          <w:szCs w:val="19"/>
        </w:rPr>
        <w:t xml:space="preserve">2.2 srcEarth (earth.tar)</w:t>
      </w:r>
      <w:r>
        <w:rPr>
          <w:b w:val="false"/>
          <w:bCs w:val="false"/>
          <w:color w:val="333333"/>
          <w:sz w:val="19"/>
          <w:szCs w:val="19"/>
        </w:rPr>
        <w:t xml:space="preserve">	6</w:t>
      </w:r>
    </w:p>
    <w:p>
      <w:pPr>
        <w:tabs>
          <w:tab w:val="right" w:pos="9900"/>
        </w:tabs>
        <w:spacing w:after="0" w:before="0" w:line="240"/>
        <w:ind w:left="280"/>
      </w:pPr>
      <w:r>
        <w:rPr>
          <w:b w:val="false"/>
          <w:bCs w:val="false"/>
          <w:color w:val="333333"/>
          <w:sz w:val="19"/>
          <w:szCs w:val="19"/>
        </w:rPr>
        <w:t xml:space="preserve">2.3 srcSEP (sep.tar) — the 1-D field-line model</w:t>
      </w:r>
      <w:r>
        <w:rPr>
          <w:b w:val="false"/>
          <w:bCs w:val="false"/>
          <w:color w:val="333333"/>
          <w:sz w:val="19"/>
          <w:szCs w:val="19"/>
        </w:rPr>
        <w:t xml:space="preserve">	6</w:t>
      </w:r>
    </w:p>
    <w:p>
      <w:pPr>
        <w:tabs>
          <w:tab w:val="right" w:pos="9900"/>
        </w:tabs>
        <w:spacing w:after="0" w:before="0" w:line="240"/>
        <w:ind w:left="280"/>
      </w:pPr>
      <w:r>
        <w:rPr>
          <w:b w:val="false"/>
          <w:bCs w:val="false"/>
          <w:color w:val="333333"/>
          <w:sz w:val="19"/>
          <w:szCs w:val="19"/>
        </w:rPr>
        <w:t xml:space="preserve">2.4 srcSEP3D (sep3d.tar) — the existing prototype</w:t>
      </w:r>
      <w:r>
        <w:rPr>
          <w:b w:val="false"/>
          <w:bCs w:val="false"/>
          <w:color w:val="333333"/>
          <w:sz w:val="19"/>
          <w:szCs w:val="19"/>
        </w:rPr>
        <w:t xml:space="preserve">	7</w:t>
      </w:r>
    </w:p>
    <w:p>
      <w:pPr>
        <w:tabs>
          <w:tab w:val="right" w:pos="9900"/>
        </w:tabs>
        <w:spacing w:after="20" w:before="120" w:line="240"/>
        <w:ind w:left="0"/>
      </w:pPr>
      <w:r>
        <w:rPr>
          <w:b/>
          <w:bCs/>
          <w:color w:val="1F3864"/>
          <w:sz w:val="21"/>
          <w:szCs w:val="21"/>
        </w:rPr>
        <w:t xml:space="preserve">3. Architecture and Directory Layout</w:t>
      </w:r>
      <w:r>
        <w:rPr>
          <w:b/>
          <w:bCs/>
          <w:color w:val="1F3864"/>
          <w:sz w:val="21"/>
          <w:szCs w:val="21"/>
        </w:rPr>
        <w:t xml:space="preserve">	9</w:t>
      </w:r>
    </w:p>
    <w:p>
      <w:pPr>
        <w:tabs>
          <w:tab w:val="right" w:pos="9900"/>
        </w:tabs>
        <w:spacing w:after="0" w:before="0" w:line="240"/>
        <w:ind w:left="280"/>
      </w:pPr>
      <w:r>
        <w:rPr>
          <w:b w:val="false"/>
          <w:bCs w:val="false"/>
          <w:color w:val="333333"/>
          <w:sz w:val="19"/>
          <w:szCs w:val="19"/>
        </w:rPr>
        <w:t xml:space="preserve">3.1 Layering</w:t>
      </w:r>
      <w:r>
        <w:rPr>
          <w:b w:val="false"/>
          <w:bCs w:val="false"/>
          <w:color w:val="333333"/>
          <w:sz w:val="19"/>
          <w:szCs w:val="19"/>
        </w:rPr>
        <w:t xml:space="preserve">	9</w:t>
      </w:r>
    </w:p>
    <w:p>
      <w:pPr>
        <w:tabs>
          <w:tab w:val="right" w:pos="9900"/>
        </w:tabs>
        <w:spacing w:after="0" w:before="0" w:line="240"/>
        <w:ind w:left="280"/>
      </w:pPr>
      <w:r>
        <w:rPr>
          <w:b w:val="false"/>
          <w:bCs w:val="false"/>
          <w:color w:val="333333"/>
          <w:sz w:val="19"/>
          <w:szCs w:val="19"/>
        </w:rPr>
        <w:t xml:space="preserve">3.2 Proposed directory tree</w:t>
      </w:r>
      <w:r>
        <w:rPr>
          <w:b w:val="false"/>
          <w:bCs w:val="false"/>
          <w:color w:val="333333"/>
          <w:sz w:val="19"/>
          <w:szCs w:val="19"/>
        </w:rPr>
        <w:t xml:space="preserve">	9</w:t>
      </w:r>
    </w:p>
    <w:p>
      <w:pPr>
        <w:tabs>
          <w:tab w:val="right" w:pos="9900"/>
        </w:tabs>
        <w:spacing w:after="0" w:before="0" w:line="240"/>
        <w:ind w:left="280"/>
      </w:pPr>
      <w:r>
        <w:rPr>
          <w:b w:val="false"/>
          <w:bCs w:val="false"/>
          <w:color w:val="333333"/>
          <w:sz w:val="19"/>
          <w:szCs w:val="19"/>
        </w:rPr>
        <w:t xml:space="preserve">3.3 Namespace layout</w:t>
      </w:r>
      <w:r>
        <w:rPr>
          <w:b w:val="false"/>
          <w:bCs w:val="false"/>
          <w:color w:val="333333"/>
          <w:sz w:val="19"/>
          <w:szCs w:val="19"/>
        </w:rPr>
        <w:t xml:space="preserve">	10</w:t>
      </w:r>
    </w:p>
    <w:p>
      <w:pPr>
        <w:tabs>
          <w:tab w:val="right" w:pos="9900"/>
        </w:tabs>
        <w:spacing w:after="0" w:before="0" w:line="240"/>
        <w:ind w:left="280"/>
      </w:pPr>
      <w:r>
        <w:rPr>
          <w:b w:val="false"/>
          <w:bCs w:val="false"/>
          <w:color w:val="333333"/>
          <w:sz w:val="19"/>
          <w:szCs w:val="19"/>
        </w:rPr>
        <w:t xml:space="preserve">3.4 Build integration</w:t>
      </w:r>
      <w:r>
        <w:rPr>
          <w:b w:val="false"/>
          <w:bCs w:val="false"/>
          <w:color w:val="333333"/>
          <w:sz w:val="19"/>
          <w:szCs w:val="19"/>
        </w:rPr>
        <w:t xml:space="preserve">	10</w:t>
      </w:r>
    </w:p>
    <w:p>
      <w:pPr>
        <w:tabs>
          <w:tab w:val="right" w:pos="9900"/>
        </w:tabs>
        <w:spacing w:after="20" w:before="120" w:line="240"/>
        <w:ind w:left="0"/>
      </w:pPr>
      <w:r>
        <w:rPr>
          <w:b/>
          <w:bCs/>
          <w:color w:val="1F3864"/>
          <w:sz w:val="21"/>
          <w:szCs w:val="21"/>
        </w:rPr>
        <w:t xml:space="preserve">4. Governing Equations and Numerical Formulation</w:t>
      </w:r>
      <w:r>
        <w:rPr>
          <w:b/>
          <w:bCs/>
          <w:color w:val="1F3864"/>
          <w:sz w:val="21"/>
          <w:szCs w:val="21"/>
        </w:rPr>
        <w:t xml:space="preserve">	12</w:t>
      </w:r>
    </w:p>
    <w:p>
      <w:pPr>
        <w:tabs>
          <w:tab w:val="right" w:pos="9900"/>
        </w:tabs>
        <w:spacing w:after="0" w:before="0" w:line="240"/>
        <w:ind w:left="280"/>
      </w:pPr>
      <w:r>
        <w:rPr>
          <w:b w:val="false"/>
          <w:bCs w:val="false"/>
          <w:color w:val="333333"/>
          <w:sz w:val="19"/>
          <w:szCs w:val="19"/>
        </w:rPr>
        <w:t xml:space="preserve">4.1 Particle representation and state</w:t>
      </w:r>
      <w:r>
        <w:rPr>
          <w:b w:val="false"/>
          <w:bCs w:val="false"/>
          <w:color w:val="333333"/>
          <w:sz w:val="19"/>
          <w:szCs w:val="19"/>
        </w:rPr>
        <w:t xml:space="preserve">	12</w:t>
      </w:r>
    </w:p>
    <w:p>
      <w:pPr>
        <w:tabs>
          <w:tab w:val="right" w:pos="9900"/>
        </w:tabs>
        <w:spacing w:after="0" w:before="0" w:line="240"/>
        <w:ind w:left="280"/>
      </w:pPr>
      <w:r>
        <w:rPr>
          <w:b w:val="false"/>
          <w:bCs w:val="false"/>
          <w:color w:val="333333"/>
          <w:sz w:val="19"/>
          <w:szCs w:val="19"/>
        </w:rPr>
        <w:t xml:space="preserve">4.2 The Parker transport equation</w:t>
      </w:r>
      <w:r>
        <w:rPr>
          <w:b w:val="false"/>
          <w:bCs w:val="false"/>
          <w:color w:val="333333"/>
          <w:sz w:val="19"/>
          <w:szCs w:val="19"/>
        </w:rPr>
        <w:t xml:space="preserve">	12</w:t>
      </w:r>
    </w:p>
    <w:p>
      <w:pPr>
        <w:tabs>
          <w:tab w:val="right" w:pos="9900"/>
        </w:tabs>
        <w:spacing w:after="0" w:before="0" w:line="240"/>
        <w:ind w:left="280"/>
      </w:pPr>
      <w:r>
        <w:rPr>
          <w:b w:val="false"/>
          <w:bCs w:val="false"/>
          <w:color w:val="333333"/>
          <w:sz w:val="19"/>
          <w:szCs w:val="19"/>
        </w:rPr>
        <w:t xml:space="preserve">4.3 The focused transport equation</w:t>
      </w:r>
      <w:r>
        <w:rPr>
          <w:b w:val="false"/>
          <w:bCs w:val="false"/>
          <w:color w:val="333333"/>
          <w:sz w:val="19"/>
          <w:szCs w:val="19"/>
        </w:rPr>
        <w:t xml:space="preserve">	13</w:t>
      </w:r>
    </w:p>
    <w:p>
      <w:pPr>
        <w:tabs>
          <w:tab w:val="right" w:pos="9900"/>
        </w:tabs>
        <w:spacing w:after="0" w:before="0" w:line="240"/>
        <w:ind w:left="280"/>
      </w:pPr>
      <w:r>
        <w:rPr>
          <w:b w:val="false"/>
          <w:bCs w:val="false"/>
          <w:color w:val="333333"/>
          <w:sz w:val="19"/>
          <w:szCs w:val="19"/>
        </w:rPr>
        <w:t xml:space="preserve">4.4 Operator splitting and one substep</w:t>
      </w:r>
      <w:r>
        <w:rPr>
          <w:b w:val="false"/>
          <w:bCs w:val="false"/>
          <w:color w:val="333333"/>
          <w:sz w:val="19"/>
          <w:szCs w:val="19"/>
        </w:rPr>
        <w:t xml:space="preserve">	13</w:t>
      </w:r>
    </w:p>
    <w:p>
      <w:pPr>
        <w:tabs>
          <w:tab w:val="right" w:pos="9900"/>
        </w:tabs>
        <w:spacing w:after="0" w:before="0" w:line="240"/>
        <w:ind w:left="280"/>
      </w:pPr>
      <w:r>
        <w:rPr>
          <w:b w:val="false"/>
          <w:bCs w:val="false"/>
          <w:color w:val="333333"/>
          <w:sz w:val="19"/>
          <w:szCs w:val="19"/>
        </w:rPr>
        <w:t xml:space="preserve">4.5 Diffusion coefficients: the registry</w:t>
      </w:r>
      <w:r>
        <w:rPr>
          <w:b w:val="false"/>
          <w:bCs w:val="false"/>
          <w:color w:val="333333"/>
          <w:sz w:val="19"/>
          <w:szCs w:val="19"/>
        </w:rPr>
        <w:t xml:space="preserve">	14</w:t>
      </w:r>
    </w:p>
    <w:p>
      <w:pPr>
        <w:tabs>
          <w:tab w:val="right" w:pos="9900"/>
        </w:tabs>
        <w:spacing w:after="0" w:before="0" w:line="240"/>
        <w:ind w:left="280"/>
      </w:pPr>
      <w:r>
        <w:rPr>
          <w:b w:val="false"/>
          <w:bCs w:val="false"/>
          <w:color w:val="333333"/>
          <w:sz w:val="19"/>
          <w:szCs w:val="19"/>
        </w:rPr>
        <w:t xml:space="preserve">4.6 Reserved: perpendicular diffusion</w:t>
      </w:r>
      <w:r>
        <w:rPr>
          <w:b w:val="false"/>
          <w:bCs w:val="false"/>
          <w:color w:val="333333"/>
          <w:sz w:val="19"/>
          <w:szCs w:val="19"/>
        </w:rPr>
        <w:t xml:space="preserve">	15</w:t>
      </w:r>
    </w:p>
    <w:p>
      <w:pPr>
        <w:tabs>
          <w:tab w:val="right" w:pos="9900"/>
        </w:tabs>
        <w:spacing w:after="0" w:before="0" w:line="240"/>
        <w:ind w:left="280"/>
      </w:pPr>
      <w:r>
        <w:rPr>
          <w:b w:val="false"/>
          <w:bCs w:val="false"/>
          <w:color w:val="333333"/>
          <w:sz w:val="19"/>
          <w:szCs w:val="19"/>
        </w:rPr>
        <w:t xml:space="preserve">4.7 Time-step control</w:t>
      </w:r>
      <w:r>
        <w:rPr>
          <w:b w:val="false"/>
          <w:bCs w:val="false"/>
          <w:color w:val="333333"/>
          <w:sz w:val="19"/>
          <w:szCs w:val="19"/>
        </w:rPr>
        <w:t xml:space="preserve">	15</w:t>
      </w:r>
    </w:p>
    <w:p>
      <w:pPr>
        <w:tabs>
          <w:tab w:val="right" w:pos="9900"/>
        </w:tabs>
        <w:spacing w:after="0" w:before="0" w:line="240"/>
        <w:ind w:left="280"/>
      </w:pPr>
      <w:r>
        <w:rPr>
          <w:b w:val="false"/>
          <w:bCs w:val="false"/>
          <w:color w:val="333333"/>
          <w:sz w:val="19"/>
          <w:szCs w:val="19"/>
        </w:rPr>
        <w:t xml:space="preserve">4.8 Deterministic random streams</w:t>
      </w:r>
      <w:r>
        <w:rPr>
          <w:b w:val="false"/>
          <w:bCs w:val="false"/>
          <w:color w:val="333333"/>
          <w:sz w:val="19"/>
          <w:szCs w:val="19"/>
        </w:rPr>
        <w:t xml:space="preserve">	16</w:t>
      </w:r>
    </w:p>
    <w:p>
      <w:pPr>
        <w:tabs>
          <w:tab w:val="right" w:pos="9900"/>
        </w:tabs>
        <w:spacing w:after="0" w:before="0" w:line="240"/>
        <w:ind w:left="280"/>
      </w:pPr>
      <w:r>
        <w:rPr>
          <w:b w:val="false"/>
          <w:bCs w:val="false"/>
          <w:color w:val="333333"/>
          <w:sz w:val="19"/>
          <w:szCs w:val="19"/>
        </w:rPr>
        <w:t xml:space="preserve">4.9 Electrons</w:t>
      </w:r>
      <w:r>
        <w:rPr>
          <w:b w:val="false"/>
          <w:bCs w:val="false"/>
          <w:color w:val="333333"/>
          <w:sz w:val="19"/>
          <w:szCs w:val="19"/>
        </w:rPr>
        <w:t xml:space="preserve">	16</w:t>
      </w:r>
    </w:p>
    <w:p>
      <w:pPr>
        <w:tabs>
          <w:tab w:val="right" w:pos="9900"/>
        </w:tabs>
        <w:spacing w:after="20" w:before="120" w:line="240"/>
        <w:ind w:left="0"/>
      </w:pPr>
      <w:r>
        <w:rPr>
          <w:b/>
          <w:bCs/>
          <w:color w:val="1F3864"/>
          <w:sz w:val="21"/>
          <w:szCs w:val="21"/>
        </w:rPr>
        <w:t xml:space="preserve">5. Background Magnetic Field and Plasma State</w:t>
      </w:r>
      <w:r>
        <w:rPr>
          <w:b/>
          <w:bCs/>
          <w:color w:val="1F3864"/>
          <w:sz w:val="21"/>
          <w:szCs w:val="21"/>
        </w:rPr>
        <w:t xml:space="preserve">	17</w:t>
      </w:r>
    </w:p>
    <w:p>
      <w:pPr>
        <w:tabs>
          <w:tab w:val="right" w:pos="9900"/>
        </w:tabs>
        <w:spacing w:after="0" w:before="0" w:line="240"/>
        <w:ind w:left="280"/>
      </w:pPr>
      <w:r>
        <w:rPr>
          <w:b w:val="false"/>
          <w:bCs w:val="false"/>
          <w:color w:val="333333"/>
          <w:sz w:val="19"/>
          <w:szCs w:val="19"/>
        </w:rPr>
        <w:t xml:space="preserve">5.1 One provider contract</w:t>
      </w:r>
      <w:r>
        <w:rPr>
          <w:b w:val="false"/>
          <w:bCs w:val="false"/>
          <w:color w:val="333333"/>
          <w:sz w:val="19"/>
          <w:szCs w:val="19"/>
        </w:rPr>
        <w:t xml:space="preserve">	17</w:t>
      </w:r>
    </w:p>
    <w:p>
      <w:pPr>
        <w:tabs>
          <w:tab w:val="right" w:pos="9900"/>
        </w:tabs>
        <w:spacing w:after="0" w:before="0" w:line="240"/>
        <w:ind w:left="280"/>
      </w:pPr>
      <w:r>
        <w:rPr>
          <w:b w:val="false"/>
          <w:bCs w:val="false"/>
          <w:color w:val="333333"/>
          <w:sz w:val="19"/>
          <w:szCs w:val="19"/>
        </w:rPr>
        <w:t xml:space="preserve">5.2 Cell-centred storage and derived quantities</w:t>
      </w:r>
      <w:r>
        <w:rPr>
          <w:b w:val="false"/>
          <w:bCs w:val="false"/>
          <w:color w:val="333333"/>
          <w:sz w:val="19"/>
          <w:szCs w:val="19"/>
        </w:rPr>
        <w:t xml:space="preserve">	17</w:t>
      </w:r>
    </w:p>
    <w:p>
      <w:pPr>
        <w:tabs>
          <w:tab w:val="right" w:pos="9900"/>
        </w:tabs>
        <w:spacing w:after="0" w:before="0" w:line="240"/>
        <w:ind w:left="280"/>
      </w:pPr>
      <w:r>
        <w:rPr>
          <w:b w:val="false"/>
          <w:bCs w:val="false"/>
          <w:color w:val="333333"/>
          <w:sz w:val="19"/>
          <w:szCs w:val="19"/>
        </w:rPr>
        <w:t xml:space="preserve">5.3 Provider 1 — analytic Parker spiral</w:t>
      </w:r>
      <w:r>
        <w:rPr>
          <w:b w:val="false"/>
          <w:bCs w:val="false"/>
          <w:color w:val="333333"/>
          <w:sz w:val="19"/>
          <w:szCs w:val="19"/>
        </w:rPr>
        <w:t xml:space="preserve">	18</w:t>
      </w:r>
    </w:p>
    <w:p>
      <w:pPr>
        <w:tabs>
          <w:tab w:val="right" w:pos="9900"/>
        </w:tabs>
        <w:spacing w:after="0" w:before="0" w:line="240"/>
        <w:ind w:left="280"/>
      </w:pPr>
      <w:r>
        <w:rPr>
          <w:b w:val="false"/>
          <w:bCs w:val="false"/>
          <w:color w:val="333333"/>
          <w:sz w:val="19"/>
          <w:szCs w:val="19"/>
        </w:rPr>
        <w:t xml:space="preserve">5.4 Provider 2 — SWCME, and how to share it between srcSEP and srcSEP3D</w:t>
      </w:r>
      <w:r>
        <w:rPr>
          <w:b w:val="false"/>
          <w:bCs w:val="false"/>
          <w:color w:val="333333"/>
          <w:sz w:val="19"/>
          <w:szCs w:val="19"/>
        </w:rPr>
        <w:t xml:space="preserve">	19</w:t>
      </w:r>
    </w:p>
    <w:p>
      <w:pPr>
        <w:tabs>
          <w:tab w:val="right" w:pos="9900"/>
        </w:tabs>
        <w:spacing w:after="0" w:before="0" w:line="240"/>
        <w:ind w:left="280"/>
      </w:pPr>
      <w:r>
        <w:rPr>
          <w:b w:val="false"/>
          <w:bCs w:val="false"/>
          <w:color w:val="333333"/>
          <w:sz w:val="19"/>
          <w:szCs w:val="19"/>
        </w:rPr>
        <w:t xml:space="preserve">5.5 Provider 3 — external script (RESERVED: specification only)</w:t>
      </w:r>
      <w:r>
        <w:rPr>
          <w:b w:val="false"/>
          <w:bCs w:val="false"/>
          <w:color w:val="333333"/>
          <w:sz w:val="19"/>
          <w:szCs w:val="19"/>
        </w:rPr>
        <w:t xml:space="preserve">	20</w:t>
      </w:r>
    </w:p>
    <w:p>
      <w:pPr>
        <w:tabs>
          <w:tab w:val="right" w:pos="9900"/>
        </w:tabs>
        <w:spacing w:after="0" w:before="0" w:line="240"/>
        <w:ind w:left="280"/>
      </w:pPr>
      <w:r>
        <w:rPr>
          <w:b w:val="false"/>
          <w:bCs w:val="false"/>
          <w:color w:val="333333"/>
          <w:sz w:val="19"/>
          <w:szCs w:val="19"/>
        </w:rPr>
        <w:t xml:space="preserve">5.6 Provider selection and precedence</w:t>
      </w:r>
      <w:r>
        <w:rPr>
          <w:b w:val="false"/>
          <w:bCs w:val="false"/>
          <w:color w:val="333333"/>
          <w:sz w:val="19"/>
          <w:szCs w:val="19"/>
        </w:rPr>
        <w:t xml:space="preserve">	23</w:t>
      </w:r>
    </w:p>
    <w:p>
      <w:pPr>
        <w:tabs>
          <w:tab w:val="right" w:pos="9900"/>
        </w:tabs>
        <w:spacing w:after="20" w:before="120" w:line="240"/>
        <w:ind w:left="0"/>
      </w:pPr>
      <w:r>
        <w:rPr>
          <w:b/>
          <w:bCs/>
          <w:color w:val="1F3864"/>
          <w:sz w:val="21"/>
          <w:szCs w:val="21"/>
        </w:rPr>
        <w:t xml:space="preserve">6. Computational Domain and Mesh Resolution</w:t>
      </w:r>
      <w:r>
        <w:rPr>
          <w:b/>
          <w:bCs/>
          <w:color w:val="1F3864"/>
          <w:sz w:val="21"/>
          <w:szCs w:val="21"/>
        </w:rPr>
        <w:t xml:space="preserve">	24</w:t>
      </w:r>
    </w:p>
    <w:p>
      <w:pPr>
        <w:tabs>
          <w:tab w:val="right" w:pos="9900"/>
        </w:tabs>
        <w:spacing w:after="0" w:before="0" w:line="240"/>
        <w:ind w:left="280"/>
      </w:pPr>
      <w:r>
        <w:rPr>
          <w:b w:val="false"/>
          <w:bCs w:val="false"/>
          <w:color w:val="333333"/>
          <w:sz w:val="19"/>
          <w:szCs w:val="19"/>
        </w:rPr>
        <w:t xml:space="preserve">6.1 How AMPS turns a resolution law into a mesh</w:t>
      </w:r>
      <w:r>
        <w:rPr>
          <w:b w:val="false"/>
          <w:bCs w:val="false"/>
          <w:color w:val="333333"/>
          <w:sz w:val="19"/>
          <w:szCs w:val="19"/>
        </w:rPr>
        <w:t xml:space="preserve">	24</w:t>
      </w:r>
    </w:p>
    <w:p>
      <w:pPr>
        <w:tabs>
          <w:tab w:val="right" w:pos="9900"/>
        </w:tabs>
        <w:spacing w:after="0" w:before="0" w:line="240"/>
        <w:ind w:left="280"/>
      </w:pPr>
      <w:r>
        <w:rPr>
          <w:b w:val="false"/>
          <w:bCs w:val="false"/>
          <w:color w:val="333333"/>
          <w:sz w:val="19"/>
          <w:szCs w:val="19"/>
        </w:rPr>
        <w:t xml:space="preserve">6.2 Domain</w:t>
      </w:r>
      <w:r>
        <w:rPr>
          <w:b w:val="false"/>
          <w:bCs w:val="false"/>
          <w:color w:val="333333"/>
          <w:sz w:val="19"/>
          <w:szCs w:val="19"/>
        </w:rPr>
        <w:t xml:space="preserve">	24</w:t>
      </w:r>
    </w:p>
    <w:p>
      <w:pPr>
        <w:tabs>
          <w:tab w:val="right" w:pos="9900"/>
        </w:tabs>
        <w:spacing w:after="0" w:before="0" w:line="240"/>
        <w:ind w:left="280"/>
      </w:pPr>
      <w:r>
        <w:rPr>
          <w:b w:val="false"/>
          <w:bCs w:val="false"/>
          <w:color w:val="333333"/>
          <w:sz w:val="19"/>
          <w:szCs w:val="19"/>
        </w:rPr>
        <w:t xml:space="preserve">6.3 The resolution law</w:t>
      </w:r>
      <w:r>
        <w:rPr>
          <w:b w:val="false"/>
          <w:bCs w:val="false"/>
          <w:color w:val="333333"/>
          <w:sz w:val="19"/>
          <w:szCs w:val="19"/>
        </w:rPr>
        <w:t xml:space="preserve">	25</w:t>
      </w:r>
    </w:p>
    <w:p>
      <w:pPr>
        <w:tabs>
          <w:tab w:val="right" w:pos="9900"/>
        </w:tabs>
        <w:spacing w:after="0" w:before="0" w:line="240"/>
        <w:ind w:left="280"/>
      </w:pPr>
      <w:r>
        <w:rPr>
          <w:b w:val="false"/>
          <w:bCs w:val="false"/>
          <w:color w:val="333333"/>
          <w:sz w:val="19"/>
          <w:szCs w:val="19"/>
        </w:rPr>
        <w:t xml:space="preserve">6.4 What the defaults actually produce</w:t>
      </w:r>
      <w:r>
        <w:rPr>
          <w:b w:val="false"/>
          <w:bCs w:val="false"/>
          <w:color w:val="333333"/>
          <w:sz w:val="19"/>
          <w:szCs w:val="19"/>
        </w:rPr>
        <w:t xml:space="preserve">	28</w:t>
      </w:r>
    </w:p>
    <w:p>
      <w:pPr>
        <w:tabs>
          <w:tab w:val="right" w:pos="9900"/>
        </w:tabs>
        <w:spacing w:after="0" w:before="0" w:line="240"/>
        <w:ind w:left="280"/>
      </w:pPr>
      <w:r>
        <w:rPr>
          <w:b w:val="false"/>
          <w:bCs w:val="false"/>
          <w:color w:val="333333"/>
          <w:sz w:val="19"/>
          <w:szCs w:val="19"/>
        </w:rPr>
        <w:t xml:space="preserve">6.5 The 2:1 balance constraint on the shoulder</w:t>
      </w:r>
      <w:r>
        <w:rPr>
          <w:b w:val="false"/>
          <w:bCs w:val="false"/>
          <w:color w:val="333333"/>
          <w:sz w:val="19"/>
          <w:szCs w:val="19"/>
        </w:rPr>
        <w:t xml:space="preserve">	29</w:t>
      </w:r>
    </w:p>
    <w:p>
      <w:pPr>
        <w:tabs>
          <w:tab w:val="right" w:pos="9900"/>
        </w:tabs>
        <w:spacing w:after="0" w:before="0" w:line="240"/>
        <w:ind w:left="280"/>
      </w:pPr>
      <w:r>
        <w:rPr>
          <w:b w:val="false"/>
          <w:bCs w:val="false"/>
          <w:color w:val="333333"/>
          <w:sz w:val="19"/>
          <w:szCs w:val="19"/>
        </w:rPr>
        <w:t xml:space="preserve">6.6 Reference implementation</w:t>
      </w:r>
      <w:r>
        <w:rPr>
          <w:b w:val="false"/>
          <w:bCs w:val="false"/>
          <w:color w:val="333333"/>
          <w:sz w:val="19"/>
          <w:szCs w:val="19"/>
        </w:rPr>
        <w:t xml:space="preserve">	29</w:t>
      </w:r>
    </w:p>
    <w:p>
      <w:pPr>
        <w:tabs>
          <w:tab w:val="right" w:pos="9900"/>
        </w:tabs>
        <w:spacing w:after="0" w:before="0" w:line="240"/>
        <w:ind w:left="280"/>
      </w:pPr>
      <w:r>
        <w:rPr>
          <w:b w:val="false"/>
          <w:bCs w:val="false"/>
          <w:color w:val="333333"/>
          <w:sz w:val="19"/>
          <w:szCs w:val="19"/>
        </w:rPr>
        <w:t xml:space="preserve">6.7 Memory budget</w:t>
      </w:r>
      <w:r>
        <w:rPr>
          <w:b w:val="false"/>
          <w:bCs w:val="false"/>
          <w:color w:val="333333"/>
          <w:sz w:val="19"/>
          <w:szCs w:val="19"/>
        </w:rPr>
        <w:t xml:space="preserve">	30</w:t>
      </w:r>
    </w:p>
    <w:p>
      <w:pPr>
        <w:tabs>
          <w:tab w:val="right" w:pos="9900"/>
        </w:tabs>
        <w:spacing w:after="20" w:before="120" w:line="240"/>
        <w:ind w:left="0"/>
      </w:pPr>
      <w:r>
        <w:rPr>
          <w:b/>
          <w:bCs/>
          <w:color w:val="1F3864"/>
          <w:sz w:val="21"/>
          <w:szCs w:val="21"/>
        </w:rPr>
        <w:t xml:space="preserve">7. Production Movers and the AMPS Adapter Layer</w:t>
      </w:r>
      <w:r>
        <w:rPr>
          <w:b/>
          <w:bCs/>
          <w:color w:val="1F3864"/>
          <w:sz w:val="21"/>
          <w:szCs w:val="21"/>
        </w:rPr>
        <w:t xml:space="preserve">	32</w:t>
      </w:r>
    </w:p>
    <w:p>
      <w:pPr>
        <w:tabs>
          <w:tab w:val="right" w:pos="9900"/>
        </w:tabs>
        <w:spacing w:after="0" w:before="0" w:line="240"/>
        <w:ind w:left="280"/>
      </w:pPr>
      <w:r>
        <w:rPr>
          <w:b w:val="false"/>
          <w:bCs w:val="false"/>
          <w:color w:val="333333"/>
          <w:sz w:val="19"/>
          <w:szCs w:val="19"/>
        </w:rPr>
        <w:t xml:space="preserve">7.1 The public mover set</w:t>
      </w:r>
      <w:r>
        <w:rPr>
          <w:b w:val="false"/>
          <w:bCs w:val="false"/>
          <w:color w:val="333333"/>
          <w:sz w:val="19"/>
          <w:szCs w:val="19"/>
        </w:rPr>
        <w:t xml:space="preserve">	32</w:t>
      </w:r>
    </w:p>
    <w:p>
      <w:pPr>
        <w:tabs>
          <w:tab w:val="right" w:pos="9900"/>
        </w:tabs>
        <w:spacing w:after="0" w:before="0" w:line="240"/>
        <w:ind w:left="280"/>
      </w:pPr>
      <w:r>
        <w:rPr>
          <w:b w:val="false"/>
          <w:bCs w:val="false"/>
          <w:color w:val="333333"/>
          <w:sz w:val="19"/>
          <w:szCs w:val="19"/>
        </w:rPr>
        <w:t xml:space="preserve">7.2 The validating dispatch adapter</w:t>
      </w:r>
      <w:r>
        <w:rPr>
          <w:b w:val="false"/>
          <w:bCs w:val="false"/>
          <w:color w:val="333333"/>
          <w:sz w:val="19"/>
          <w:szCs w:val="19"/>
        </w:rPr>
        <w:t xml:space="preserve">	32</w:t>
      </w:r>
    </w:p>
    <w:p>
      <w:pPr>
        <w:tabs>
          <w:tab w:val="right" w:pos="9900"/>
        </w:tabs>
        <w:spacing w:after="0" w:before="0" w:line="240"/>
        <w:ind w:left="280"/>
      </w:pPr>
      <w:r>
        <w:rPr>
          <w:b w:val="false"/>
          <w:bCs w:val="false"/>
          <w:color w:val="333333"/>
          <w:sz w:val="19"/>
          <w:szCs w:val="19"/>
        </w:rPr>
        <w:t xml:space="preserve">7.3 The κ∥ gradient</w:t>
      </w:r>
      <w:r>
        <w:rPr>
          <w:b w:val="false"/>
          <w:bCs w:val="false"/>
          <w:color w:val="333333"/>
          <w:sz w:val="19"/>
          <w:szCs w:val="19"/>
        </w:rPr>
        <w:t xml:space="preserve">	32</w:t>
      </w:r>
    </w:p>
    <w:p>
      <w:pPr>
        <w:tabs>
          <w:tab w:val="right" w:pos="9900"/>
        </w:tabs>
        <w:spacing w:after="0" w:before="0" w:line="240"/>
        <w:ind w:left="280"/>
      </w:pPr>
      <w:r>
        <w:rPr>
          <w:b w:val="false"/>
          <w:bCs w:val="false"/>
          <w:color w:val="333333"/>
          <w:sz w:val="19"/>
          <w:szCs w:val="19"/>
        </w:rPr>
        <w:t xml:space="preserve">7.4 Boundaries</w:t>
      </w:r>
      <w:r>
        <w:rPr>
          <w:b w:val="false"/>
          <w:bCs w:val="false"/>
          <w:color w:val="333333"/>
          <w:sz w:val="19"/>
          <w:szCs w:val="19"/>
        </w:rPr>
        <w:t xml:space="preserve">	33</w:t>
      </w:r>
    </w:p>
    <w:p>
      <w:pPr>
        <w:tabs>
          <w:tab w:val="right" w:pos="9900"/>
        </w:tabs>
        <w:spacing w:after="0" w:before="0" w:line="240"/>
        <w:ind w:left="280"/>
      </w:pPr>
      <w:r>
        <w:rPr>
          <w:b w:val="false"/>
          <w:bCs w:val="false"/>
          <w:color w:val="333333"/>
          <w:sz w:val="19"/>
          <w:szCs w:val="19"/>
        </w:rPr>
        <w:t xml:space="preserve">7.5 Parallelism and reproducibility</w:t>
      </w:r>
      <w:r>
        <w:rPr>
          <w:b w:val="false"/>
          <w:bCs w:val="false"/>
          <w:color w:val="333333"/>
          <w:sz w:val="19"/>
          <w:szCs w:val="19"/>
        </w:rPr>
        <w:t xml:space="preserve">	33</w:t>
      </w:r>
    </w:p>
    <w:p>
      <w:pPr>
        <w:tabs>
          <w:tab w:val="right" w:pos="9900"/>
        </w:tabs>
        <w:spacing w:after="20" w:before="120" w:line="240"/>
        <w:ind w:left="0"/>
      </w:pPr>
      <w:r>
        <w:rPr>
          <w:b/>
          <w:bCs/>
          <w:color w:val="1F3864"/>
          <w:sz w:val="21"/>
          <w:szCs w:val="21"/>
        </w:rPr>
        <w:t xml:space="preserve">8. Command-Line Contract and Run Configuration</w:t>
      </w:r>
      <w:r>
        <w:rPr>
          <w:b/>
          <w:bCs/>
          <w:color w:val="1F3864"/>
          <w:sz w:val="21"/>
          <w:szCs w:val="21"/>
        </w:rPr>
        <w:t xml:space="preserve">	35</w:t>
      </w:r>
    </w:p>
    <w:p>
      <w:pPr>
        <w:tabs>
          <w:tab w:val="right" w:pos="9900"/>
        </w:tabs>
        <w:spacing w:after="0" w:before="0" w:line="240"/>
        <w:ind w:left="280"/>
      </w:pPr>
      <w:r>
        <w:rPr>
          <w:b w:val="false"/>
          <w:bCs w:val="false"/>
          <w:color w:val="333333"/>
          <w:sz w:val="19"/>
          <w:szCs w:val="19"/>
        </w:rPr>
        <w:t xml:space="preserve">8.1 Option groups</w:t>
      </w:r>
      <w:r>
        <w:rPr>
          <w:b w:val="false"/>
          <w:bCs w:val="false"/>
          <w:color w:val="333333"/>
          <w:sz w:val="19"/>
          <w:szCs w:val="19"/>
        </w:rPr>
        <w:t xml:space="preserve">	35</w:t>
      </w:r>
    </w:p>
    <w:p>
      <w:pPr>
        <w:tabs>
          <w:tab w:val="right" w:pos="9900"/>
        </w:tabs>
        <w:spacing w:after="0" w:before="0" w:line="240"/>
        <w:ind w:left="280"/>
      </w:pPr>
      <w:r>
        <w:rPr>
          <w:b w:val="false"/>
          <w:bCs w:val="false"/>
          <w:color w:val="333333"/>
          <w:sz w:val="19"/>
          <w:szCs w:val="19"/>
        </w:rPr>
        <w:t xml:space="preserve">8.2 Immutable run configuration and fingerprinting</w:t>
      </w:r>
      <w:r>
        <w:rPr>
          <w:b w:val="false"/>
          <w:bCs w:val="false"/>
          <w:color w:val="333333"/>
          <w:sz w:val="19"/>
          <w:szCs w:val="19"/>
        </w:rPr>
        <w:t xml:space="preserve">	36</w:t>
      </w:r>
    </w:p>
    <w:p>
      <w:pPr>
        <w:tabs>
          <w:tab w:val="right" w:pos="9900"/>
        </w:tabs>
        <w:spacing w:after="20" w:before="120" w:line="240"/>
        <w:ind w:left="0"/>
      </w:pPr>
      <w:r>
        <w:rPr>
          <w:b/>
          <w:bCs/>
          <w:color w:val="1F3864"/>
          <w:sz w:val="21"/>
          <w:szCs w:val="21"/>
        </w:rPr>
        <w:t xml:space="preserve">9. Sources, Sampling, and Output</w:t>
      </w:r>
      <w:r>
        <w:rPr>
          <w:b/>
          <w:bCs/>
          <w:color w:val="1F3864"/>
          <w:sz w:val="21"/>
          <w:szCs w:val="21"/>
        </w:rPr>
        <w:t xml:space="preserve">	38</w:t>
      </w:r>
    </w:p>
    <w:p>
      <w:pPr>
        <w:tabs>
          <w:tab w:val="right" w:pos="9900"/>
        </w:tabs>
        <w:spacing w:after="0" w:before="0" w:line="240"/>
        <w:ind w:left="280"/>
      </w:pPr>
      <w:r>
        <w:rPr>
          <w:b w:val="false"/>
          <w:bCs w:val="false"/>
          <w:color w:val="333333"/>
          <w:sz w:val="19"/>
          <w:szCs w:val="19"/>
        </w:rPr>
        <w:t xml:space="preserve">9.1 Particle sources</w:t>
      </w:r>
      <w:r>
        <w:rPr>
          <w:b w:val="false"/>
          <w:bCs w:val="false"/>
          <w:color w:val="333333"/>
          <w:sz w:val="19"/>
          <w:szCs w:val="19"/>
        </w:rPr>
        <w:t xml:space="preserve">	38</w:t>
      </w:r>
    </w:p>
    <w:p>
      <w:pPr>
        <w:tabs>
          <w:tab w:val="right" w:pos="9900"/>
        </w:tabs>
        <w:spacing w:after="0" w:before="0" w:line="240"/>
        <w:ind w:left="280"/>
      </w:pPr>
      <w:r>
        <w:rPr>
          <w:b w:val="false"/>
          <w:bCs w:val="false"/>
          <w:color w:val="333333"/>
          <w:sz w:val="19"/>
          <w:szCs w:val="19"/>
        </w:rPr>
        <w:t xml:space="preserve">9.2 Sampling products</w:t>
      </w:r>
      <w:r>
        <w:rPr>
          <w:b w:val="false"/>
          <w:bCs w:val="false"/>
          <w:color w:val="333333"/>
          <w:sz w:val="19"/>
          <w:szCs w:val="19"/>
        </w:rPr>
        <w:t xml:space="preserve">	38</w:t>
      </w:r>
    </w:p>
    <w:p>
      <w:pPr>
        <w:tabs>
          <w:tab w:val="right" w:pos="9900"/>
        </w:tabs>
        <w:spacing w:after="0" w:before="0" w:line="240"/>
        <w:ind w:left="280"/>
      </w:pPr>
      <w:r>
        <w:rPr>
          <w:b w:val="false"/>
          <w:bCs w:val="false"/>
          <w:color w:val="333333"/>
          <w:sz w:val="19"/>
          <w:szCs w:val="19"/>
        </w:rPr>
        <w:t xml:space="preserve">9.3 Output</w:t>
      </w:r>
      <w:r>
        <w:rPr>
          <w:b w:val="false"/>
          <w:bCs w:val="false"/>
          <w:color w:val="333333"/>
          <w:sz w:val="19"/>
          <w:szCs w:val="19"/>
        </w:rPr>
        <w:t xml:space="preserve">	39</w:t>
      </w:r>
    </w:p>
    <w:p>
      <w:pPr>
        <w:tabs>
          <w:tab w:val="right" w:pos="9900"/>
        </w:tabs>
        <w:spacing w:after="20" w:before="120" w:line="240"/>
        <w:ind w:left="0"/>
      </w:pPr>
      <w:r>
        <w:rPr>
          <w:b/>
          <w:bCs/>
          <w:color w:val="1F3864"/>
          <w:sz w:val="21"/>
          <w:szCs w:val="21"/>
        </w:rPr>
        <w:t xml:space="preserve">10. Verification and Validation Program</w:t>
      </w:r>
      <w:r>
        <w:rPr>
          <w:b/>
          <w:bCs/>
          <w:color w:val="1F3864"/>
          <w:sz w:val="21"/>
          <w:szCs w:val="21"/>
        </w:rPr>
        <w:t xml:space="preserve">	40</w:t>
      </w:r>
    </w:p>
    <w:p>
      <w:pPr>
        <w:tabs>
          <w:tab w:val="right" w:pos="9900"/>
        </w:tabs>
        <w:spacing w:after="0" w:before="0" w:line="240"/>
        <w:ind w:left="280"/>
      </w:pPr>
      <w:r>
        <w:rPr>
          <w:b w:val="false"/>
          <w:bCs w:val="false"/>
          <w:color w:val="333333"/>
          <w:sz w:val="19"/>
          <w:szCs w:val="19"/>
        </w:rPr>
        <w:t xml:space="preserve">10.1 The harness</w:t>
      </w:r>
      <w:r>
        <w:rPr>
          <w:b w:val="false"/>
          <w:bCs w:val="false"/>
          <w:color w:val="333333"/>
          <w:sz w:val="19"/>
          <w:szCs w:val="19"/>
        </w:rPr>
        <w:t xml:space="preserve">	40</w:t>
      </w:r>
    </w:p>
    <w:p>
      <w:pPr>
        <w:tabs>
          <w:tab w:val="right" w:pos="9900"/>
        </w:tabs>
        <w:spacing w:after="0" w:before="0" w:line="240"/>
        <w:ind w:left="280"/>
      </w:pPr>
      <w:r>
        <w:rPr>
          <w:b w:val="false"/>
          <w:bCs w:val="false"/>
          <w:color w:val="333333"/>
          <w:sz w:val="19"/>
          <w:szCs w:val="19"/>
        </w:rPr>
        <w:t xml:space="preserve">10.2 Stage 1 — standalone, no AMPS link</w:t>
      </w:r>
      <w:r>
        <w:rPr>
          <w:b w:val="false"/>
          <w:bCs w:val="false"/>
          <w:color w:val="333333"/>
          <w:sz w:val="19"/>
          <w:szCs w:val="19"/>
        </w:rPr>
        <w:t xml:space="preserve">	40</w:t>
      </w:r>
    </w:p>
    <w:p>
      <w:pPr>
        <w:tabs>
          <w:tab w:val="right" w:pos="9900"/>
        </w:tabs>
        <w:spacing w:after="0" w:before="0" w:line="240"/>
        <w:ind w:left="280"/>
      </w:pPr>
      <w:r>
        <w:rPr>
          <w:b w:val="false"/>
          <w:bCs w:val="false"/>
          <w:color w:val="333333"/>
          <w:sz w:val="19"/>
          <w:szCs w:val="19"/>
        </w:rPr>
        <w:t xml:space="preserve">10.3 Stage 2 — linked with AMPS</w:t>
      </w:r>
      <w:r>
        <w:rPr>
          <w:b w:val="false"/>
          <w:bCs w:val="false"/>
          <w:color w:val="333333"/>
          <w:sz w:val="19"/>
          <w:szCs w:val="19"/>
        </w:rPr>
        <w:t xml:space="preserve">	44</w:t>
      </w:r>
    </w:p>
    <w:p>
      <w:pPr>
        <w:tabs>
          <w:tab w:val="right" w:pos="9900"/>
        </w:tabs>
        <w:spacing w:after="0" w:before="0" w:line="240"/>
        <w:ind w:left="280"/>
      </w:pPr>
      <w:r>
        <w:rPr>
          <w:b w:val="false"/>
          <w:bCs w:val="false"/>
          <w:color w:val="333333"/>
          <w:sz w:val="19"/>
          <w:szCs w:val="19"/>
        </w:rPr>
        <w:t xml:space="preserve">10.4 Stage 3 — cross-model and observational validation</w:t>
      </w:r>
      <w:r>
        <w:rPr>
          <w:b w:val="false"/>
          <w:bCs w:val="false"/>
          <w:color w:val="333333"/>
          <w:sz w:val="19"/>
          <w:szCs w:val="19"/>
        </w:rPr>
        <w:t xml:space="preserve">	45</w:t>
      </w:r>
    </w:p>
    <w:p>
      <w:pPr>
        <w:tabs>
          <w:tab w:val="right" w:pos="9900"/>
        </w:tabs>
        <w:spacing w:after="0" w:before="0" w:line="240"/>
        <w:ind w:left="280"/>
      </w:pPr>
      <w:r>
        <w:rPr>
          <w:b w:val="false"/>
          <w:bCs w:val="false"/>
          <w:color w:val="333333"/>
          <w:sz w:val="19"/>
          <w:szCs w:val="19"/>
        </w:rPr>
        <w:t xml:space="preserve">10.5 Continuous integration</w:t>
      </w:r>
      <w:r>
        <w:rPr>
          <w:b w:val="false"/>
          <w:bCs w:val="false"/>
          <w:color w:val="333333"/>
          <w:sz w:val="19"/>
          <w:szCs w:val="19"/>
        </w:rPr>
        <w:t xml:space="preserve">	47</w:t>
      </w:r>
    </w:p>
    <w:p>
      <w:pPr>
        <w:tabs>
          <w:tab w:val="right" w:pos="9900"/>
        </w:tabs>
        <w:spacing w:after="20" w:before="120" w:line="240"/>
        <w:ind w:left="0"/>
      </w:pPr>
      <w:r>
        <w:rPr>
          <w:b/>
          <w:bCs/>
          <w:color w:val="1F3864"/>
          <w:sz w:val="21"/>
          <w:szCs w:val="21"/>
        </w:rPr>
        <w:t xml:space="preserve">11. Work Breakdown and Sequence</w:t>
      </w:r>
      <w:r>
        <w:rPr>
          <w:b/>
          <w:bCs/>
          <w:color w:val="1F3864"/>
          <w:sz w:val="21"/>
          <w:szCs w:val="21"/>
        </w:rPr>
        <w:t xml:space="preserve">	48</w:t>
      </w:r>
    </w:p>
    <w:p>
      <w:pPr>
        <w:tabs>
          <w:tab w:val="right" w:pos="9900"/>
        </w:tabs>
        <w:spacing w:after="0" w:before="0" w:line="240"/>
        <w:ind w:left="280"/>
      </w:pPr>
      <w:r>
        <w:rPr>
          <w:b w:val="false"/>
          <w:bCs w:val="false"/>
          <w:color w:val="333333"/>
          <w:sz w:val="19"/>
          <w:szCs w:val="19"/>
        </w:rPr>
        <w:t xml:space="preserve">11.1 Phase 0 — Foundation</w:t>
      </w:r>
      <w:r>
        <w:rPr>
          <w:b w:val="false"/>
          <w:bCs w:val="false"/>
          <w:color w:val="333333"/>
          <w:sz w:val="19"/>
          <w:szCs w:val="19"/>
        </w:rPr>
        <w:t xml:space="preserve">	48</w:t>
      </w:r>
    </w:p>
    <w:p>
      <w:pPr>
        <w:tabs>
          <w:tab w:val="right" w:pos="9900"/>
        </w:tabs>
        <w:spacing w:after="0" w:before="0" w:line="240"/>
        <w:ind w:left="280"/>
      </w:pPr>
      <w:r>
        <w:rPr>
          <w:b w:val="false"/>
          <w:bCs w:val="false"/>
          <w:color w:val="333333"/>
          <w:sz w:val="19"/>
          <w:szCs w:val="19"/>
        </w:rPr>
        <w:t xml:space="preserve">11.2 Phase 1 — Domain and mesh</w:t>
      </w:r>
      <w:r>
        <w:rPr>
          <w:b w:val="false"/>
          <w:bCs w:val="false"/>
          <w:color w:val="333333"/>
          <w:sz w:val="19"/>
          <w:szCs w:val="19"/>
        </w:rPr>
        <w:t xml:space="preserve">	48</w:t>
      </w:r>
    </w:p>
    <w:p>
      <w:pPr>
        <w:tabs>
          <w:tab w:val="right" w:pos="9900"/>
        </w:tabs>
        <w:spacing w:after="0" w:before="0" w:line="240"/>
        <w:ind w:left="280"/>
      </w:pPr>
      <w:r>
        <w:rPr>
          <w:b w:val="false"/>
          <w:bCs w:val="false"/>
          <w:color w:val="333333"/>
          <w:sz w:val="19"/>
          <w:szCs w:val="19"/>
        </w:rPr>
        <w:t xml:space="preserve">11.3 Phase 2 — Background field</w:t>
      </w:r>
      <w:r>
        <w:rPr>
          <w:b w:val="false"/>
          <w:bCs w:val="false"/>
          <w:color w:val="333333"/>
          <w:sz w:val="19"/>
          <w:szCs w:val="19"/>
        </w:rPr>
        <w:t xml:space="preserve">	48</w:t>
      </w:r>
    </w:p>
    <w:p>
      <w:pPr>
        <w:tabs>
          <w:tab w:val="right" w:pos="9900"/>
        </w:tabs>
        <w:spacing w:after="0" w:before="0" w:line="240"/>
        <w:ind w:left="280"/>
      </w:pPr>
      <w:r>
        <w:rPr>
          <w:b w:val="false"/>
          <w:bCs w:val="false"/>
          <w:color w:val="333333"/>
          <w:sz w:val="19"/>
          <w:szCs w:val="19"/>
        </w:rPr>
        <w:t xml:space="preserve">11.4 Phase 3 — Coefficients</w:t>
      </w:r>
      <w:r>
        <w:rPr>
          <w:b w:val="false"/>
          <w:bCs w:val="false"/>
          <w:color w:val="333333"/>
          <w:sz w:val="19"/>
          <w:szCs w:val="19"/>
        </w:rPr>
        <w:t xml:space="preserve">	49</w:t>
      </w:r>
    </w:p>
    <w:p>
      <w:pPr>
        <w:tabs>
          <w:tab w:val="right" w:pos="9900"/>
        </w:tabs>
        <w:spacing w:after="0" w:before="0" w:line="240"/>
        <w:ind w:left="280"/>
      </w:pPr>
      <w:r>
        <w:rPr>
          <w:b w:val="false"/>
          <w:bCs w:val="false"/>
          <w:color w:val="333333"/>
          <w:sz w:val="19"/>
          <w:szCs w:val="19"/>
        </w:rPr>
        <w:t xml:space="preserve">11.5 Phase 4 — Movers</w:t>
      </w:r>
      <w:r>
        <w:rPr>
          <w:b w:val="false"/>
          <w:bCs w:val="false"/>
          <w:color w:val="333333"/>
          <w:sz w:val="19"/>
          <w:szCs w:val="19"/>
        </w:rPr>
        <w:t xml:space="preserve">	49</w:t>
      </w:r>
    </w:p>
    <w:p>
      <w:pPr>
        <w:tabs>
          <w:tab w:val="right" w:pos="9900"/>
        </w:tabs>
        <w:spacing w:after="0" w:before="0" w:line="240"/>
        <w:ind w:left="280"/>
      </w:pPr>
      <w:r>
        <w:rPr>
          <w:b w:val="false"/>
          <w:bCs w:val="false"/>
          <w:color w:val="333333"/>
          <w:sz w:val="19"/>
          <w:szCs w:val="19"/>
        </w:rPr>
        <w:t xml:space="preserve">11.6 Phase 5 — Sources, sampling, output</w:t>
      </w:r>
      <w:r>
        <w:rPr>
          <w:b w:val="false"/>
          <w:bCs w:val="false"/>
          <w:color w:val="333333"/>
          <w:sz w:val="19"/>
          <w:szCs w:val="19"/>
        </w:rPr>
        <w:t xml:space="preserve">	49</w:t>
      </w:r>
    </w:p>
    <w:p>
      <w:pPr>
        <w:tabs>
          <w:tab w:val="right" w:pos="9900"/>
        </w:tabs>
        <w:spacing w:after="0" w:before="0" w:line="240"/>
        <w:ind w:left="280"/>
      </w:pPr>
      <w:r>
        <w:rPr>
          <w:b w:val="false"/>
          <w:bCs w:val="false"/>
          <w:color w:val="333333"/>
          <w:sz w:val="19"/>
          <w:szCs w:val="19"/>
        </w:rPr>
        <w:t xml:space="preserve">11.7 Phase 6 — Linked integration and Phase 7 — Validation</w:t>
      </w:r>
      <w:r>
        <w:rPr>
          <w:b w:val="false"/>
          <w:bCs w:val="false"/>
          <w:color w:val="333333"/>
          <w:sz w:val="19"/>
          <w:szCs w:val="19"/>
        </w:rPr>
        <w:t xml:space="preserve">	49</w:t>
      </w:r>
    </w:p>
    <w:p>
      <w:pPr>
        <w:tabs>
          <w:tab w:val="right" w:pos="9900"/>
        </w:tabs>
        <w:spacing w:after="0" w:before="0" w:line="240"/>
        <w:ind w:left="280"/>
      </w:pPr>
      <w:r>
        <w:rPr>
          <w:b w:val="false"/>
          <w:bCs w:val="false"/>
          <w:color w:val="333333"/>
          <w:sz w:val="19"/>
          <w:szCs w:val="19"/>
        </w:rPr>
        <w:t xml:space="preserve">11.8 Phase 8 — Reserved extensions</w:t>
      </w:r>
      <w:r>
        <w:rPr>
          <w:b w:val="false"/>
          <w:bCs w:val="false"/>
          <w:color w:val="333333"/>
          <w:sz w:val="19"/>
          <w:szCs w:val="19"/>
        </w:rPr>
        <w:t xml:space="preserve">	50</w:t>
      </w:r>
    </w:p>
    <w:p>
      <w:pPr>
        <w:tabs>
          <w:tab w:val="right" w:pos="9900"/>
        </w:tabs>
        <w:spacing w:after="0" w:before="0" w:line="240"/>
        <w:ind w:left="280"/>
      </w:pPr>
      <w:r>
        <w:rPr>
          <w:b w:val="false"/>
          <w:bCs w:val="false"/>
          <w:color w:val="333333"/>
          <w:sz w:val="19"/>
          <w:szCs w:val="19"/>
        </w:rPr>
        <w:t xml:space="preserve">11.9 Critical path</w:t>
      </w:r>
      <w:r>
        <w:rPr>
          <w:b w:val="false"/>
          <w:bCs w:val="false"/>
          <w:color w:val="333333"/>
          <w:sz w:val="19"/>
          <w:szCs w:val="19"/>
        </w:rPr>
        <w:t xml:space="preserve">	50</w:t>
      </w:r>
    </w:p>
    <w:p>
      <w:pPr>
        <w:tabs>
          <w:tab w:val="right" w:pos="9900"/>
        </w:tabs>
        <w:spacing w:after="20" w:before="120" w:line="240"/>
        <w:ind w:left="0"/>
      </w:pPr>
      <w:r>
        <w:rPr>
          <w:b/>
          <w:bCs/>
          <w:color w:val="1F3864"/>
          <w:sz w:val="21"/>
          <w:szCs w:val="21"/>
        </w:rPr>
        <w:t xml:space="preserve">12. Step-by-Step Implementation Sequence</w:t>
      </w:r>
      <w:r>
        <w:rPr>
          <w:b/>
          <w:bCs/>
          <w:color w:val="1F3864"/>
          <w:sz w:val="21"/>
          <w:szCs w:val="21"/>
        </w:rPr>
        <w:t xml:space="preserve">	52</w:t>
      </w:r>
    </w:p>
    <w:p>
      <w:pPr>
        <w:tabs>
          <w:tab w:val="right" w:pos="9900"/>
        </w:tabs>
        <w:spacing w:after="0" w:before="0" w:line="240"/>
        <w:ind w:left="280"/>
      </w:pPr>
      <w:r>
        <w:rPr>
          <w:b w:val="false"/>
          <w:bCs w:val="false"/>
          <w:color w:val="333333"/>
          <w:sz w:val="19"/>
          <w:szCs w:val="19"/>
        </w:rPr>
        <w:t xml:space="preserve">12.1 Rules that make the ladder work</w:t>
      </w:r>
      <w:r>
        <w:rPr>
          <w:b w:val="false"/>
          <w:bCs w:val="false"/>
          <w:color w:val="333333"/>
          <w:sz w:val="19"/>
          <w:szCs w:val="19"/>
        </w:rPr>
        <w:t xml:space="preserve">	52</w:t>
      </w:r>
    </w:p>
    <w:p>
      <w:pPr>
        <w:tabs>
          <w:tab w:val="right" w:pos="9900"/>
        </w:tabs>
        <w:spacing w:after="0" w:before="0" w:line="240"/>
        <w:ind w:left="280"/>
      </w:pPr>
      <w:r>
        <w:rPr>
          <w:b w:val="false"/>
          <w:bCs w:val="false"/>
          <w:color w:val="333333"/>
          <w:sz w:val="19"/>
          <w:szCs w:val="19"/>
        </w:rPr>
        <w:t xml:space="preserve">12.2 Map of steps to the invariants they endanger</w:t>
      </w:r>
      <w:r>
        <w:rPr>
          <w:b w:val="false"/>
          <w:bCs w:val="false"/>
          <w:color w:val="333333"/>
          <w:sz w:val="19"/>
          <w:szCs w:val="19"/>
        </w:rPr>
        <w:t xml:space="preserve">	52</w:t>
      </w:r>
    </w:p>
    <w:p>
      <w:pPr>
        <w:tabs>
          <w:tab w:val="right" w:pos="9900"/>
        </w:tabs>
        <w:spacing w:after="0" w:before="0" w:line="240"/>
        <w:ind w:left="280"/>
      </w:pPr>
      <w:r>
        <w:rPr>
          <w:b w:val="false"/>
          <w:bCs w:val="false"/>
          <w:color w:val="333333"/>
          <w:sz w:val="19"/>
          <w:szCs w:val="19"/>
        </w:rPr>
        <w:t xml:space="preserve">12.3 Phase A — Scaffolding (Steps 1–5)</w:t>
      </w:r>
      <w:r>
        <w:rPr>
          <w:b w:val="false"/>
          <w:bCs w:val="false"/>
          <w:color w:val="333333"/>
          <w:sz w:val="19"/>
          <w:szCs w:val="19"/>
        </w:rPr>
        <w:t xml:space="preserve">	53</w:t>
      </w:r>
    </w:p>
    <w:p>
      <w:pPr>
        <w:tabs>
          <w:tab w:val="right" w:pos="9900"/>
        </w:tabs>
        <w:spacing w:after="0" w:before="0" w:line="240"/>
        <w:ind w:left="280"/>
      </w:pPr>
      <w:r>
        <w:rPr>
          <w:b w:val="false"/>
          <w:bCs w:val="false"/>
          <w:color w:val="333333"/>
          <w:sz w:val="19"/>
          <w:szCs w:val="19"/>
        </w:rPr>
        <w:t xml:space="preserve">12.4 Phase B — Mesh (Steps 6–11)</w:t>
      </w:r>
      <w:r>
        <w:rPr>
          <w:b w:val="false"/>
          <w:bCs w:val="false"/>
          <w:color w:val="333333"/>
          <w:sz w:val="19"/>
          <w:szCs w:val="19"/>
        </w:rPr>
        <w:t xml:space="preserve">	54</w:t>
      </w:r>
    </w:p>
    <w:p>
      <w:pPr>
        <w:tabs>
          <w:tab w:val="right" w:pos="9900"/>
        </w:tabs>
        <w:spacing w:after="0" w:before="0" w:line="240"/>
        <w:ind w:left="280"/>
      </w:pPr>
      <w:r>
        <w:rPr>
          <w:b w:val="false"/>
          <w:bCs w:val="false"/>
          <w:color w:val="333333"/>
          <w:sz w:val="19"/>
          <w:szCs w:val="19"/>
        </w:rPr>
        <w:t xml:space="preserve">12.5 Phase C — Background (Steps 12–17)</w:t>
      </w:r>
      <w:r>
        <w:rPr>
          <w:b w:val="false"/>
          <w:bCs w:val="false"/>
          <w:color w:val="333333"/>
          <w:sz w:val="19"/>
          <w:szCs w:val="19"/>
        </w:rPr>
        <w:t xml:space="preserve">	56</w:t>
      </w:r>
    </w:p>
    <w:p>
      <w:pPr>
        <w:tabs>
          <w:tab w:val="right" w:pos="9900"/>
        </w:tabs>
        <w:spacing w:after="0" w:before="0" w:line="240"/>
        <w:ind w:left="280"/>
      </w:pPr>
      <w:r>
        <w:rPr>
          <w:b w:val="false"/>
          <w:bCs w:val="false"/>
          <w:color w:val="333333"/>
          <w:sz w:val="19"/>
          <w:szCs w:val="19"/>
        </w:rPr>
        <w:t xml:space="preserve">12.6 Phase D — Coefficients (Steps 18–19)</w:t>
      </w:r>
      <w:r>
        <w:rPr>
          <w:b w:val="false"/>
          <w:bCs w:val="false"/>
          <w:color w:val="333333"/>
          <w:sz w:val="19"/>
          <w:szCs w:val="19"/>
        </w:rPr>
        <w:t xml:space="preserve">	58</w:t>
      </w:r>
    </w:p>
    <w:p>
      <w:pPr>
        <w:tabs>
          <w:tab w:val="right" w:pos="9900"/>
        </w:tabs>
        <w:spacing w:after="0" w:before="0" w:line="240"/>
        <w:ind w:left="280"/>
      </w:pPr>
      <w:r>
        <w:rPr>
          <w:b w:val="false"/>
          <w:bCs w:val="false"/>
          <w:color w:val="333333"/>
          <w:sz w:val="19"/>
          <w:szCs w:val="19"/>
        </w:rPr>
        <w:t xml:space="preserve">12.7 Phase E — Movers (Steps 20–23)</w:t>
      </w:r>
      <w:r>
        <w:rPr>
          <w:b w:val="false"/>
          <w:bCs w:val="false"/>
          <w:color w:val="333333"/>
          <w:sz w:val="19"/>
          <w:szCs w:val="19"/>
        </w:rPr>
        <w:t xml:space="preserve">	59</w:t>
      </w:r>
    </w:p>
    <w:p>
      <w:pPr>
        <w:tabs>
          <w:tab w:val="right" w:pos="9900"/>
        </w:tabs>
        <w:spacing w:after="0" w:before="0" w:line="240"/>
        <w:ind w:left="280"/>
      </w:pPr>
      <w:r>
        <w:rPr>
          <w:b w:val="false"/>
          <w:bCs w:val="false"/>
          <w:color w:val="333333"/>
          <w:sz w:val="19"/>
          <w:szCs w:val="19"/>
        </w:rPr>
        <w:t xml:space="preserve">12.8 Phase F — Sources, sampling, output (Steps 24–26)</w:t>
      </w:r>
      <w:r>
        <w:rPr>
          <w:b w:val="false"/>
          <w:bCs w:val="false"/>
          <w:color w:val="333333"/>
          <w:sz w:val="19"/>
          <w:szCs w:val="19"/>
        </w:rPr>
        <w:t xml:space="preserve">	60</w:t>
      </w:r>
    </w:p>
    <w:p>
      <w:pPr>
        <w:tabs>
          <w:tab w:val="right" w:pos="9900"/>
        </w:tabs>
        <w:spacing w:after="0" w:before="0" w:line="240"/>
        <w:ind w:left="280"/>
      </w:pPr>
      <w:r>
        <w:rPr>
          <w:b w:val="false"/>
          <w:bCs w:val="false"/>
          <w:color w:val="333333"/>
          <w:sz w:val="19"/>
          <w:szCs w:val="19"/>
        </w:rPr>
        <w:t xml:space="preserve">12.9 Phase G — Integration and validation (Steps 27–29)</w:t>
      </w:r>
      <w:r>
        <w:rPr>
          <w:b w:val="false"/>
          <w:bCs w:val="false"/>
          <w:color w:val="333333"/>
          <w:sz w:val="19"/>
          <w:szCs w:val="19"/>
        </w:rPr>
        <w:t xml:space="preserve">	61</w:t>
      </w:r>
    </w:p>
    <w:p>
      <w:pPr>
        <w:tabs>
          <w:tab w:val="right" w:pos="9900"/>
        </w:tabs>
        <w:spacing w:after="0" w:before="0" w:line="240"/>
        <w:ind w:left="280"/>
      </w:pPr>
      <w:r>
        <w:rPr>
          <w:b w:val="false"/>
          <w:bCs w:val="false"/>
          <w:color w:val="333333"/>
          <w:sz w:val="19"/>
          <w:szCs w:val="19"/>
        </w:rPr>
        <w:t xml:space="preserve">12.10 Where the ladder can be cut short</w:t>
      </w:r>
      <w:r>
        <w:rPr>
          <w:b w:val="false"/>
          <w:bCs w:val="false"/>
          <w:color w:val="333333"/>
          <w:sz w:val="19"/>
          <w:szCs w:val="19"/>
        </w:rPr>
        <w:t xml:space="preserve">	62</w:t>
      </w:r>
    </w:p>
    <w:p>
      <w:pPr>
        <w:tabs>
          <w:tab w:val="right" w:pos="9900"/>
        </w:tabs>
        <w:spacing w:after="20" w:before="120" w:line="240"/>
        <w:ind w:left="0"/>
      </w:pPr>
      <w:r>
        <w:rPr>
          <w:b/>
          <w:bCs/>
          <w:color w:val="1F3864"/>
          <w:sz w:val="21"/>
          <w:szCs w:val="21"/>
        </w:rPr>
        <w:t xml:space="preserve">13. Risks and Open Decisions</w:t>
      </w:r>
      <w:r>
        <w:rPr>
          <w:b/>
          <w:bCs/>
          <w:color w:val="1F3864"/>
          <w:sz w:val="21"/>
          <w:szCs w:val="21"/>
        </w:rPr>
        <w:t xml:space="preserve">	63</w:t>
      </w:r>
    </w:p>
    <w:p>
      <w:pPr>
        <w:tabs>
          <w:tab w:val="right" w:pos="9900"/>
        </w:tabs>
        <w:spacing w:after="0" w:before="0" w:line="240"/>
        <w:ind w:left="280"/>
      </w:pPr>
      <w:r>
        <w:rPr>
          <w:b w:val="false"/>
          <w:bCs w:val="false"/>
          <w:color w:val="333333"/>
          <w:sz w:val="19"/>
          <w:szCs w:val="19"/>
        </w:rPr>
        <w:t xml:space="preserve">13.1 Technical risks</w:t>
      </w:r>
      <w:r>
        <w:rPr>
          <w:b w:val="false"/>
          <w:bCs w:val="false"/>
          <w:color w:val="333333"/>
          <w:sz w:val="19"/>
          <w:szCs w:val="19"/>
        </w:rPr>
        <w:t xml:space="preserve">	63</w:t>
      </w:r>
    </w:p>
    <w:p>
      <w:pPr>
        <w:tabs>
          <w:tab w:val="right" w:pos="9900"/>
        </w:tabs>
        <w:spacing w:after="0" w:before="0" w:line="240"/>
        <w:ind w:left="280"/>
      </w:pPr>
      <w:r>
        <w:rPr>
          <w:b w:val="false"/>
          <w:bCs w:val="false"/>
          <w:color w:val="333333"/>
          <w:sz w:val="19"/>
          <w:szCs w:val="19"/>
        </w:rPr>
        <w:t xml:space="preserve">13.2 Decisions to confirm before Phase A</w:t>
      </w:r>
      <w:r>
        <w:rPr>
          <w:b w:val="false"/>
          <w:bCs w:val="false"/>
          <w:color w:val="333333"/>
          <w:sz w:val="19"/>
          <w:szCs w:val="19"/>
        </w:rPr>
        <w:t xml:space="preserve">	63</w:t>
      </w:r>
    </w:p>
    <w:p>
      <w:pPr>
        <w:tabs>
          <w:tab w:val="right" w:pos="9900"/>
        </w:tabs>
        <w:spacing w:after="20" w:before="120" w:line="240"/>
        <w:ind w:left="0"/>
      </w:pPr>
      <w:r>
        <w:rPr>
          <w:b/>
          <w:bCs/>
          <w:color w:val="1F3864"/>
          <w:sz w:val="21"/>
          <w:szCs w:val="21"/>
        </w:rPr>
        <w:t xml:space="preserve">Appendix A. Symbols and Units</w:t>
      </w:r>
      <w:r>
        <w:rPr>
          <w:b/>
          <w:bCs/>
          <w:color w:val="1F3864"/>
          <w:sz w:val="21"/>
          <w:szCs w:val="21"/>
        </w:rPr>
        <w:t xml:space="preserve">	65</w:t>
      </w:r>
    </w:p>
    <w:p>
      <w:pPr>
        <w:tabs>
          <w:tab w:val="right" w:pos="9900"/>
        </w:tabs>
        <w:spacing w:after="20" w:before="120" w:line="240"/>
        <w:ind w:left="0"/>
      </w:pPr>
      <w:r>
        <w:rPr>
          <w:b/>
          <w:bCs/>
          <w:color w:val="1F3864"/>
          <w:sz w:val="21"/>
          <w:szCs w:val="21"/>
        </w:rPr>
        <w:t xml:space="preserve">Appendix B. Default Parameter Set</w:t>
      </w:r>
      <w:r>
        <w:rPr>
          <w:b/>
          <w:bCs/>
          <w:color w:val="1F3864"/>
          <w:sz w:val="21"/>
          <w:szCs w:val="21"/>
        </w:rPr>
        <w:t xml:space="preserve">	65</w:t>
      </w:r>
    </w:p>
    <w:p>
      <w:pPr>
        <w:tabs>
          <w:tab w:val="right" w:pos="9900"/>
        </w:tabs>
        <w:spacing w:after="20" w:before="120" w:line="240"/>
        <w:ind w:left="0"/>
      </w:pPr>
      <w:r>
        <w:rPr>
          <w:b/>
          <w:bCs/>
          <w:color w:val="1F3864"/>
          <w:sz w:val="21"/>
          <w:szCs w:val="21"/>
        </w:rPr>
        <w:t xml:space="preserve">Appendix C. Asset Mapping</w:t>
      </w:r>
      <w:r>
        <w:rPr>
          <w:b/>
          <w:bCs/>
          <w:color w:val="1F3864"/>
          <w:sz w:val="21"/>
          <w:szCs w:val="21"/>
        </w:rPr>
        <w:t xml:space="preserve">	66</w:t>
      </w:r>
    </w:p>
    <w:p>
      <w:pPr>
        <w:tabs>
          <w:tab w:val="right" w:pos="9900"/>
        </w:tabs>
        <w:spacing w:after="20" w:before="120" w:line="240"/>
        <w:ind w:left="0"/>
      </w:pPr>
      <w:r>
        <w:rPr>
          <w:b/>
          <w:bCs/>
          <w:color w:val="1F3864"/>
          <w:sz w:val="21"/>
          <w:szCs w:val="21"/>
        </w:rPr>
        <w:t xml:space="preserve">Appendix D. Documents to Produce</w:t>
      </w:r>
      <w:r>
        <w:rPr>
          <w:b/>
          <w:bCs/>
          <w:color w:val="1F3864"/>
          <w:sz w:val="21"/>
          <w:szCs w:val="21"/>
        </w:rPr>
        <w:t xml:space="preserve">	67</w:t>
      </w:r>
    </w:p>
    <w:p>
      <w:pPr>
        <w:tabs>
          <w:tab w:val="right" w:pos="9900"/>
        </w:tabs>
        <w:spacing w:after="20" w:before="120" w:line="240"/>
        <w:ind w:left="0"/>
      </w:pPr>
      <w:r>
        <w:rPr>
          <w:b/>
          <w:bCs/>
          <w:color w:val="1F3864"/>
          <w:sz w:val="21"/>
          <w:szCs w:val="21"/>
        </w:rPr>
        <w:t xml:space="preserve">Appendix E. Summary of Reserved Features</w:t>
      </w:r>
      <w:r>
        <w:rPr>
          <w:b/>
          <w:bCs/>
          <w:color w:val="1F3864"/>
          <w:sz w:val="21"/>
          <w:szCs w:val="21"/>
        </w:rPr>
        <w:t xml:space="preserve">	68</w:t>
      </w:r>
    </w:p>
    <w:p>
      <w:r>
        <w:br w:type="page"/>
      </w:r>
    </w:p>
    <w:p>
      <w:pPr>
        <w:pStyle w:val="Heading1"/>
        <w:spacing w:after="160" w:before="360"/>
      </w:pPr>
      <w:r>
        <w:t xml:space="preserve">1. Executive Summary</w:t>
      </w:r>
    </w:p>
    <w:p>
      <w:pPr>
        <w:spacing w:after="120" w:line="264"/>
        <w:jc w:val="left"/>
      </w:pPr>
      <w:r>
        <w:rPr>
          <w:b w:val="false"/>
          <w:bCs w:val="false"/>
          <w:i w:val="false"/>
          <w:iCs w:val="false"/>
        </w:rPr>
        <w:t xml:space="preserve">This document specifies how to build </w:t>
      </w:r>
      <w:r>
        <w:rPr>
          <w:rFonts w:ascii="Consolas" w:cs="Consolas" w:eastAsia="Consolas" w:hAnsi="Consolas"/>
          <w:b w:val="false"/>
          <w:bCs w:val="false"/>
          <w:i w:val="false"/>
          <w:iCs w:val="false"/>
          <w:sz w:val="19"/>
          <w:szCs w:val="19"/>
        </w:rPr>
        <w:t xml:space="preserve">srcSEP3D</w:t>
      </w:r>
      <w:r>
        <w:rPr>
          <w:b w:val="false"/>
          <w:bCs w:val="false"/>
          <w:i w:val="false"/>
          <w:iCs w:val="false"/>
        </w:rPr>
        <w:t xml:space="preserve"> as a fully three-dimensional solar energetic particle (SEP) and energetic-electron transport application inside AMPS. The model advances macroparticles through a genuine 3-D Cartesian domain that contains the Sun and extends to the orbit of Earth or Mars, using a cell-centred background magnetic field and plasma state stored on an adaptive Cartesian mesh. Two production movers are provided: a Parker (diffusion–convection) mover and a focused-transport mover. Both are written against a tensor diffusion interface that carries a parallel component today and has a reserved, fully wired, but deliberately inert perpendicular component.</w:t>
      </w:r>
    </w:p>
    <w:p>
      <w:pPr>
        <w:spacing w:after="120" w:line="264"/>
        <w:jc w:val="left"/>
      </w:pPr>
      <w:r>
        <w:t xml:space="preserve">The plan is organised around six design commitments that the rest of the document elaborates:</w:t>
      </w:r>
    </w:p>
    <w:p>
      <w:pPr>
        <w:pStyle w:val="ListParagraph"/>
        <w:numPr>
          <w:ilvl w:val="0"/>
          <w:numId w:val="2"/>
        </w:numPr>
        <w:spacing w:after="60" w:line="264"/>
      </w:pPr>
      <w:r>
        <w:rPr>
          <w:b/>
          <w:bCs/>
          <w:i w:val="false"/>
          <w:iCs w:val="false"/>
        </w:rPr>
        <w:t xml:space="preserve">A dependency-free numerical core. </w:t>
      </w:r>
      <w:r>
        <w:rPr>
          <w:b w:val="false"/>
          <w:bCs w:val="false"/>
          <w:i w:val="false"/>
          <w:iCs w:val="false"/>
        </w:rPr>
        <w:t xml:space="preserve">All transport mathematics lives in </w:t>
      </w:r>
      <w:r>
        <w:rPr>
          <w:rFonts w:ascii="Consolas" w:cs="Consolas" w:eastAsia="Consolas" w:hAnsi="Consolas"/>
          <w:b w:val="false"/>
          <w:bCs w:val="false"/>
          <w:i w:val="false"/>
          <w:iCs w:val="false"/>
          <w:sz w:val="19"/>
          <w:szCs w:val="19"/>
        </w:rPr>
        <w:t xml:space="preserve">srcSEP3D/core/</w:t>
      </w:r>
      <w:r>
        <w:rPr>
          <w:b w:val="false"/>
          <w:bCs w:val="false"/>
          <w:i w:val="false"/>
          <w:iCs w:val="false"/>
        </w:rPr>
        <w:t xml:space="preserve">, which never includes </w:t>
      </w:r>
      <w:r>
        <w:rPr>
          <w:rFonts w:ascii="Consolas" w:cs="Consolas" w:eastAsia="Consolas" w:hAnsi="Consolas"/>
          <w:b w:val="false"/>
          <w:bCs w:val="false"/>
          <w:i w:val="false"/>
          <w:iCs w:val="false"/>
          <w:sz w:val="19"/>
          <w:szCs w:val="19"/>
        </w:rPr>
        <w:t xml:space="preserve">pic.h</w:t>
      </w:r>
      <w:r>
        <w:rPr>
          <w:b w:val="false"/>
          <w:bCs w:val="false"/>
          <w:i w:val="false"/>
          <w:iCs w:val="false"/>
        </w:rPr>
        <w:t xml:space="preserve">. The AMPS-facing adapter layer is thin and testable. This mirrors the structure that srcSEP already proved in </w:t>
      </w:r>
      <w:r>
        <w:rPr>
          <w:rFonts w:ascii="Consolas" w:cs="Consolas" w:eastAsia="Consolas" w:hAnsi="Consolas"/>
          <w:b w:val="false"/>
          <w:bCs w:val="false"/>
          <w:i w:val="false"/>
          <w:iCs w:val="false"/>
          <w:sz w:val="19"/>
          <w:szCs w:val="19"/>
        </w:rPr>
        <w:t xml:space="preserve">srcSEP/util/</w:t>
      </w:r>
      <w:r>
        <w:rPr>
          <w:b w:val="false"/>
          <w:bCs w:val="false"/>
          <w:i w:val="false"/>
          <w:iCs w:val="false"/>
        </w:rPr>
        <w:t xml:space="preserve">, and it is what makes a Stage-1 standalone test program possible.</w:t>
      </w:r>
    </w:p>
    <w:p>
      <w:pPr>
        <w:pStyle w:val="ListParagraph"/>
        <w:numPr>
          <w:ilvl w:val="0"/>
          <w:numId w:val="2"/>
        </w:numPr>
        <w:spacing w:after="60" w:line="264"/>
      </w:pPr>
      <w:r>
        <w:rPr>
          <w:b/>
          <w:bCs/>
          <w:i w:val="false"/>
          <w:iCs w:val="false"/>
        </w:rPr>
        <w:t xml:space="preserve">One background-field provider interface, three implementations. </w:t>
      </w:r>
      <w:r>
        <w:rPr>
          <w:b w:val="false"/>
          <w:bCs w:val="false"/>
          <w:i w:val="false"/>
          <w:iCs w:val="false"/>
        </w:rPr>
        <w:t xml:space="preserve">An analytic Parker spiral, an SWCME-driven provider, and an external-script provider. The external-script provider is fully specified here but intentionally not implemented in the first release; the specification is written so the feature can be added without touching any mover.</w:t>
      </w:r>
    </w:p>
    <w:p>
      <w:pPr>
        <w:pStyle w:val="ListParagraph"/>
        <w:numPr>
          <w:ilvl w:val="0"/>
          <w:numId w:val="2"/>
        </w:numPr>
        <w:spacing w:after="60" w:line="264"/>
      </w:pPr>
      <w:r>
        <w:rPr>
          <w:b/>
          <w:bCs/>
          <w:i w:val="false"/>
          <w:iCs w:val="false"/>
        </w:rPr>
        <w:t xml:space="preserve">SWCME promoted to a shared AMPS model library. </w:t>
      </w:r>
      <w:r>
        <w:rPr>
          <w:b w:val="false"/>
          <w:bCs w:val="false"/>
          <w:i w:val="false"/>
          <w:iCs w:val="false"/>
        </w:rPr>
        <w:t xml:space="preserve">SWCME moves from </w:t>
      </w:r>
      <w:r>
        <w:rPr>
          <w:rFonts w:ascii="Consolas" w:cs="Consolas" w:eastAsia="Consolas" w:hAnsi="Consolas"/>
          <w:b w:val="false"/>
          <w:bCs w:val="false"/>
          <w:i w:val="false"/>
          <w:iCs w:val="false"/>
          <w:sz w:val="19"/>
          <w:szCs w:val="19"/>
        </w:rPr>
        <w:t xml:space="preserve">srcSEP/swcme/</w:t>
      </w:r>
      <w:r>
        <w:rPr>
          <w:b w:val="false"/>
          <w:bCs w:val="false"/>
          <w:i w:val="false"/>
          <w:iCs w:val="false"/>
        </w:rPr>
        <w:t xml:space="preserve"> to </w:t>
      </w:r>
      <w:r>
        <w:rPr>
          <w:rFonts w:ascii="Consolas" w:cs="Consolas" w:eastAsia="Consolas" w:hAnsi="Consolas"/>
          <w:b w:val="false"/>
          <w:bCs w:val="false"/>
          <w:i w:val="false"/>
          <w:iCs w:val="false"/>
          <w:sz w:val="19"/>
          <w:szCs w:val="19"/>
        </w:rPr>
        <w:t xml:space="preserve">src/models/swcme/</w:t>
      </w:r>
      <w:r>
        <w:rPr>
          <w:b w:val="false"/>
          <w:bCs w:val="false"/>
          <w:i w:val="false"/>
          <w:iCs w:val="false"/>
        </w:rPr>
        <w:t xml:space="preserve">, is compiled once into </w:t>
      </w:r>
      <w:r>
        <w:rPr>
          <w:rFonts w:ascii="Consolas" w:cs="Consolas" w:eastAsia="Consolas" w:hAnsi="Consolas"/>
          <w:b w:val="false"/>
          <w:bCs w:val="false"/>
          <w:i w:val="false"/>
          <w:iCs w:val="false"/>
          <w:sz w:val="19"/>
          <w:szCs w:val="19"/>
        </w:rPr>
        <w:t xml:space="preserve">swcme.a</w:t>
      </w:r>
      <w:r>
        <w:rPr>
          <w:b w:val="false"/>
          <w:bCs w:val="false"/>
          <w:i w:val="false"/>
          <w:iCs w:val="false"/>
        </w:rPr>
        <w:t xml:space="preserve">, and is linked by both srcSEP and srcSEP3D. Forwarding headers preserve srcSEP source compatibility for one release.</w:t>
      </w:r>
    </w:p>
    <w:p>
      <w:pPr>
        <w:pStyle w:val="ListParagraph"/>
        <w:numPr>
          <w:ilvl w:val="0"/>
          <w:numId w:val="2"/>
        </w:numPr>
        <w:spacing w:after="60" w:line="264"/>
      </w:pPr>
      <w:r>
        <w:rPr>
          <w:b/>
          <w:bCs/>
          <w:i w:val="false"/>
          <w:iCs w:val="false"/>
        </w:rPr>
        <w:t xml:space="preserve">A physically motivated, analytically invertible resolution law. </w:t>
      </w:r>
      <w:r>
        <w:rPr>
          <w:b w:val="false"/>
          <w:bCs w:val="false"/>
          <w:i w:val="false"/>
          <w:iCs w:val="false"/>
        </w:rPr>
        <w:t xml:space="preserve">Mesh resolution is the minimum of a uniform background value, a power-law radial law anchored at the solar surface, and a flux-tube law anchored on a selected Parker spiral. Every knob has a closed-form meaning (transition radius, refinement levels per radial octave, tube plateau half-width, shoulder width), so the resulting mesh can be predicted, budgeted, and unit-tested before AMPS is ever linked.</w:t>
      </w:r>
    </w:p>
    <w:p>
      <w:pPr>
        <w:pStyle w:val="ListParagraph"/>
        <w:numPr>
          <w:ilvl w:val="0"/>
          <w:numId w:val="2"/>
        </w:numPr>
        <w:spacing w:after="60" w:line="264"/>
      </w:pPr>
      <w:r>
        <w:rPr>
          <w:b/>
          <w:bCs/>
          <w:i w:val="false"/>
          <w:iCs w:val="false"/>
        </w:rPr>
        <w:t xml:space="preserve">Coefficient selection copied from srcSEP, extended to a tensor. </w:t>
      </w:r>
      <w:r>
        <w:rPr>
          <w:b w:val="false"/>
          <w:bCs w:val="false"/>
          <w:i w:val="false"/>
          <w:iCs w:val="false"/>
        </w:rPr>
        <w:t xml:space="preserve">The registry of named parallel-diffusion and pitch-angle-diffusion providers is reused verbatim in spirit and largely in code. A perpendicular provider slot is added with exactly one accepted value today, </w:t>
      </w:r>
      <w:r>
        <w:rPr>
          <w:rFonts w:ascii="Consolas" w:cs="Consolas" w:eastAsia="Consolas" w:hAnsi="Consolas"/>
          <w:b w:val="false"/>
          <w:bCs w:val="false"/>
          <w:i w:val="false"/>
          <w:iCs w:val="false"/>
          <w:sz w:val="19"/>
          <w:szCs w:val="19"/>
        </w:rPr>
        <w:t xml:space="preserve">none</w:t>
      </w:r>
      <w:r>
        <w:rPr>
          <w:b w:val="false"/>
          <w:bCs w:val="false"/>
          <w:i w:val="false"/>
          <w:iCs w:val="false"/>
        </w:rPr>
        <w:t xml:space="preserve">.</w:t>
      </w:r>
    </w:p>
    <w:p>
      <w:pPr>
        <w:pStyle w:val="ListParagraph"/>
        <w:numPr>
          <w:ilvl w:val="0"/>
          <w:numId w:val="2"/>
        </w:numPr>
        <w:spacing w:after="60" w:line="264"/>
      </w:pPr>
      <w:r>
        <w:rPr>
          <w:b/>
          <w:bCs/>
          <w:i w:val="false"/>
          <w:iCs w:val="false"/>
        </w:rPr>
        <w:t xml:space="preserve">A three-stage verification and validation campaign. </w:t>
      </w:r>
      <w:r>
        <w:rPr>
          <w:b w:val="false"/>
          <w:bCs w:val="false"/>
          <w:i w:val="false"/>
          <w:iCs w:val="false"/>
        </w:rPr>
        <w:t xml:space="preserve">Stage 1 runs entirely without AMPS. Stage 2 adds the linked application. Stage 3 adds cross-model comparison against the srcSEP 1-D model and against observations, reusing srcSEP’s existing case registry and evidence contract.</w:t>
      </w:r>
    </w:p>
    <w:p>
      <w:pPr>
        <w:spacing w:after="80"/>
      </w:pPr>
    </w:p>
    <w:p>
      <w:pPr>
        <w:pStyle w:val="Heading2"/>
        <w:spacing w:after="120" w:before="280"/>
      </w:pPr>
      <w:r>
        <w:t xml:space="preserve">1.1 What already exists and what this plan changes</w:t>
      </w:r>
    </w:p>
    <w:p>
      <w:pPr>
        <w:spacing w:after="120" w:line="264"/>
        <w:jc w:val="left"/>
      </w:pPr>
      <w:r>
        <w:rPr>
          <w:b w:val="false"/>
          <w:bCs w:val="false"/>
          <w:i w:val="false"/>
          <w:iCs w:val="false"/>
        </w:rPr>
        <w:t xml:space="preserve">The supplied </w:t>
      </w:r>
      <w:r>
        <w:rPr>
          <w:rFonts w:ascii="Consolas" w:cs="Consolas" w:eastAsia="Consolas" w:hAnsi="Consolas"/>
          <w:b w:val="false"/>
          <w:bCs w:val="false"/>
          <w:i w:val="false"/>
          <w:iCs w:val="false"/>
          <w:sz w:val="19"/>
          <w:szCs w:val="19"/>
        </w:rPr>
        <w:t xml:space="preserve">srcSEP3D/</w:t>
      </w:r>
      <w:r>
        <w:rPr>
          <w:b w:val="false"/>
          <w:bCs w:val="false"/>
          <w:i w:val="false"/>
          <w:iCs w:val="false"/>
        </w:rPr>
        <w:t xml:space="preserve"> directory is not a 3-D application. It is a small axisymmetric (2.5-D) prototype: its domain is a thin wedge spanning x ∈ [8.76×10⁸, 9.445×10⁸] m (about 1.26–1.36 R☉) with a single cell in y, uniform 2×10⁶ m resolution, and a mover (</w:t>
      </w:r>
      <w:r>
        <w:rPr>
          <w:rFonts w:ascii="Consolas" w:cs="Consolas" w:eastAsia="Consolas" w:hAnsi="Consolas"/>
          <w:b w:val="false"/>
          <w:bCs w:val="false"/>
          <w:i w:val="false"/>
          <w:iCs w:val="false"/>
          <w:sz w:val="19"/>
          <w:szCs w:val="19"/>
        </w:rPr>
        <w:t xml:space="preserve">Mover_Axisymmetric_SecondOrder</w:t>
      </w:r>
      <w:r>
        <w:rPr>
          <w:b w:val="false"/>
          <w:bCs w:val="false"/>
          <w:i w:val="false"/>
          <w:iCs w:val="false"/>
        </w:rPr>
        <w:t xml:space="preserve">) that explicitly rotates each particle back into the y = 0 plane at every substep. It reads its background from </w:t>
      </w:r>
      <w:r>
        <w:rPr>
          <w:rFonts w:ascii="Consolas" w:cs="Consolas" w:eastAsia="Consolas" w:hAnsi="Consolas"/>
          <w:b w:val="false"/>
          <w:bCs w:val="false"/>
          <w:i w:val="false"/>
          <w:iCs w:val="false"/>
          <w:sz w:val="19"/>
          <w:szCs w:val="19"/>
        </w:rPr>
        <w:t xml:space="preserve">PIC::CPLR::DATAFILE::MULTIFILE</w:t>
      </w:r>
      <w:r>
        <w:rPr>
          <w:b w:val="false"/>
          <w:bCs w:val="false"/>
          <w:i w:val="false"/>
          <w:iCs w:val="false"/>
        </w:rPr>
        <w:t xml:space="preserve"> and integrates the full Lorentz force plus solar gravity. Its useful, reusable content is the </w:t>
      </w:r>
      <w:r>
        <w:rPr>
          <w:rFonts w:ascii="Consolas" w:cs="Consolas" w:eastAsia="Consolas" w:hAnsi="Consolas"/>
          <w:b w:val="false"/>
          <w:bCs w:val="false"/>
          <w:i w:val="false"/>
          <w:iCs w:val="false"/>
          <w:sz w:val="19"/>
          <w:szCs w:val="19"/>
        </w:rPr>
        <w:t xml:space="preserve">GlobalEnergyDistribution</w:t>
      </w:r>
      <w:r>
        <w:rPr>
          <w:b w:val="false"/>
          <w:bCs w:val="false"/>
          <w:i w:val="false"/>
          <w:iCs w:val="false"/>
        </w:rPr>
        <w:t xml:space="preserve"> sampler and the general shape of the AMPS initialisation sequence in </w:t>
      </w:r>
      <w:r>
        <w:rPr>
          <w:rFonts w:ascii="Consolas" w:cs="Consolas" w:eastAsia="Consolas" w:hAnsi="Consolas"/>
          <w:b w:val="false"/>
          <w:bCs w:val="false"/>
          <w:i w:val="false"/>
          <w:iCs w:val="false"/>
          <w:sz w:val="19"/>
          <w:szCs w:val="19"/>
        </w:rPr>
        <w:t xml:space="preserve">main_lib.cpp</w:t>
      </w:r>
      <w:r>
        <w:rPr>
          <w:b w:val="false"/>
          <w:bCs w:val="false"/>
          <w:i w:val="false"/>
          <w:iCs w:val="false"/>
        </w:rPr>
        <w:t xml:space="preserve">.</w:t>
      </w:r>
    </w:p>
    <w:p>
      <w:pPr>
        <w:spacing w:after="120" w:line="264"/>
        <w:jc w:val="left"/>
      </w:pPr>
      <w:r>
        <w:t xml:space="preserve">This plan treats that prototype as scaffolding. The axisymmetric mover is retired, the wedge domain is replaced, and the Lorentz-force integration is replaced by guiding-centre transport operators. The energy-distribution sampler is generalised and kept.</w:t>
      </w:r>
    </w:p>
    <w:p>
      <w:pPr>
        <w:pBdr>
          <w:left w:val="single" w:color="DD6B20" w:sz="14" w:space="8"/>
        </w:pBdr>
        <w:shd w:fill="FFF7ED" w:val="clear"/>
        <w:spacing w:after="140" w:before="100" w:line="264"/>
        <w:ind w:left="200" w:right="200"/>
      </w:pPr>
      <w:r>
        <w:rPr>
          <w:b/>
          <w:bCs/>
          <w:color w:val="9C4221"/>
        </w:rPr>
        <w:t xml:space="preserve">Design consequence  </w:t>
      </w:r>
      <w:r>
        <w:t xml:space="preserve">Because the existing srcSEP3D mover, domain, and resolution function are all being replaced rather than extended, the first work package is a clean re-layout of the directory. Retaining the old files under their current names would create exactly the kind of ambiguous-mover situation that srcSEP had to unwind in its Step 14 migration.</w:t>
      </w:r>
    </w:p>
    <w:p>
      <w:r>
        <w:br w:type="page"/>
      </w:r>
    </w:p>
    <w:p>
      <w:pPr>
        <w:pStyle w:val="Heading1"/>
        <w:spacing w:after="160" w:before="360"/>
      </w:pPr>
      <w:r>
        <w:t xml:space="preserve">2. Inventory of Supplied Assets</w:t>
      </w:r>
    </w:p>
    <w:p>
      <w:pPr>
        <w:spacing w:after="120" w:line="264"/>
        <w:jc w:val="left"/>
      </w:pPr>
      <w:r>
        <w:t xml:space="preserve">The four archives were unpacked and inspected. This section records what each contributes to srcSEP3D, because several design choices below are justified by the fact that a proven implementation already exists somewhere in the tree.</w:t>
      </w:r>
    </w:p>
    <w:p>
      <w:pPr>
        <w:pStyle w:val="Heading2"/>
        <w:spacing w:after="120" w:before="280"/>
      </w:pPr>
      <w:r>
        <w:t xml:space="preserve">2.1 AMPS core (amps.tar → src/)</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3300"/>
        <w:gridCol w:w="43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Component</w:t>
            </w:r>
          </w:p>
        </w:tc>
        <w:tc>
          <w:tcPr>
            <w:tcW w:type="dxa" w:w="3300"/>
            <w:shd w:fill="1F3864" w:val="clear"/>
            <w:tcMar>
              <w:top w:type="dxa" w:w="60"/>
              <w:left w:type="dxa" w:w="100"/>
              <w:bottom w:type="dxa" w:w="60"/>
              <w:right w:type="dxa" w:w="100"/>
            </w:tcMar>
          </w:tcPr>
          <w:p>
            <w:pPr>
              <w:spacing w:after="0" w:line="240"/>
            </w:pPr>
            <w:r>
              <w:rPr>
                <w:b/>
                <w:bCs/>
                <w:color w:val="FFFFFF"/>
                <w:sz w:val="18"/>
                <w:szCs w:val="18"/>
              </w:rPr>
              <w:t xml:space="preserve">Location</w:t>
            </w:r>
          </w:p>
        </w:tc>
        <w:tc>
          <w:tcPr>
            <w:tcW w:type="dxa" w:w="4380"/>
            <w:shd w:fill="1F3864" w:val="clear"/>
            <w:tcMar>
              <w:top w:type="dxa" w:w="60"/>
              <w:left w:type="dxa" w:w="100"/>
              <w:bottom w:type="dxa" w:w="60"/>
              <w:right w:type="dxa" w:w="100"/>
            </w:tcMar>
          </w:tcPr>
          <w:p>
            <w:pPr>
              <w:spacing w:after="0" w:line="240"/>
            </w:pPr>
            <w:r>
              <w:rPr>
                <w:b/>
                <w:bCs/>
                <w:color w:val="FFFFFF"/>
                <w:sz w:val="18"/>
                <w:szCs w:val="18"/>
              </w:rPr>
              <w:t xml:space="preserve">Role in srcSEP3D</w:t>
            </w:r>
          </w:p>
        </w:tc>
      </w:tr>
      <w:tr>
        <w:tc>
          <w:tcPr>
            <w:tcW w:type="dxa" w:w="2400"/>
            <w:tcMar>
              <w:top w:type="dxa" w:w="60"/>
              <w:left w:type="dxa" w:w="100"/>
              <w:bottom w:type="dxa" w:w="60"/>
              <w:right w:type="dxa" w:w="100"/>
            </w:tcMar>
          </w:tcPr>
          <w:p>
            <w:pPr>
              <w:spacing w:after="0" w:line="240"/>
            </w:pPr>
            <w:r>
              <w:rPr>
                <w:b w:val="false"/>
                <w:bCs w:val="false"/>
                <w:sz w:val="18"/>
                <w:szCs w:val="18"/>
              </w:rPr>
              <w:t xml:space="preserve">Block-structured AMR mesh</w:t>
            </w:r>
          </w:p>
        </w:tc>
        <w:tc>
          <w:tcPr>
            <w:tcW w:type="dxa" w:w="3300"/>
            <w:tcMar>
              <w:top w:type="dxa" w:w="60"/>
              <w:left w:type="dxa" w:w="100"/>
              <w:bottom w:type="dxa" w:w="60"/>
              <w:right w:type="dxa" w:w="100"/>
            </w:tcMar>
          </w:tcPr>
          <w:p>
            <w:pPr>
              <w:spacing w:after="0" w:line="240"/>
            </w:pPr>
            <w:r>
              <w:rPr>
                <w:b w:val="false"/>
                <w:bCs w:val="false"/>
                <w:sz w:val="18"/>
                <w:szCs w:val="18"/>
              </w:rPr>
              <w:t xml:space="preserve">src/meshAMR/meshAMRgeneric.h</w:t>
            </w:r>
          </w:p>
        </w:tc>
        <w:tc>
          <w:tcPr>
            <w:tcW w:type="dxa" w:w="4380"/>
            <w:tcMar>
              <w:top w:type="dxa" w:w="60"/>
              <w:left w:type="dxa" w:w="100"/>
              <w:bottom w:type="dxa" w:w="60"/>
              <w:right w:type="dxa" w:w="100"/>
            </w:tcMar>
          </w:tcPr>
          <w:p>
            <w:pPr>
              <w:spacing w:after="0" w:line="240"/>
            </w:pPr>
            <w:r>
              <w:rPr>
                <w:b w:val="false"/>
                <w:bCs w:val="false"/>
                <w:sz w:val="18"/>
                <w:szCs w:val="18"/>
              </w:rPr>
              <w:t xml:space="preserve">Octree refinement driven by a user localResolution(x) callback; 2:1 balanced; save/load of .msh files</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Cell-centred data buffer</w:t>
            </w:r>
          </w:p>
        </w:tc>
        <w:tc>
          <w:tcPr>
            <w:tcW w:type="dxa" w:w="3300"/>
            <w:shd w:fill="EEF1F6" w:val="clear"/>
            <w:tcMar>
              <w:top w:type="dxa" w:w="60"/>
              <w:left w:type="dxa" w:w="100"/>
              <w:bottom w:type="dxa" w:w="60"/>
              <w:right w:type="dxa" w:w="100"/>
            </w:tcMar>
          </w:tcPr>
          <w:p>
            <w:pPr>
              <w:spacing w:after="0" w:line="240"/>
            </w:pPr>
            <w:r>
              <w:rPr>
                <w:b w:val="false"/>
                <w:bCs w:val="false"/>
                <w:sz w:val="18"/>
                <w:szCs w:val="18"/>
              </w:rPr>
              <w:t xml:space="preserve">src/pic/pic.h — PIC::Mesh::cDataCenterNode</w:t>
            </w:r>
          </w:p>
        </w:tc>
        <w:tc>
          <w:tcPr>
            <w:tcW w:type="dxa" w:w="4380"/>
            <w:shd w:fill="EEF1F6" w:val="clear"/>
            <w:tcMar>
              <w:top w:type="dxa" w:w="60"/>
              <w:left w:type="dxa" w:w="100"/>
              <w:bottom w:type="dxa" w:w="60"/>
              <w:right w:type="dxa" w:w="100"/>
            </w:tcMar>
          </w:tcPr>
          <w:p>
            <w:pPr>
              <w:spacing w:after="0" w:line="240"/>
            </w:pPr>
            <w:r>
              <w:rPr>
                <w:b w:val="false"/>
                <w:bCs w:val="false"/>
                <w:sz w:val="18"/>
                <w:szCs w:val="18"/>
              </w:rPr>
              <w:t xml:space="preserve">Associated-data buffer where background B, V, n, T, ∇B are stored per cell</w:t>
            </w:r>
          </w:p>
        </w:tc>
      </w:tr>
      <w:tr>
        <w:tc>
          <w:tcPr>
            <w:tcW w:type="dxa" w:w="2400"/>
            <w:tcMar>
              <w:top w:type="dxa" w:w="60"/>
              <w:left w:type="dxa" w:w="100"/>
              <w:bottom w:type="dxa" w:w="60"/>
              <w:right w:type="dxa" w:w="100"/>
            </w:tcMar>
          </w:tcPr>
          <w:p>
            <w:pPr>
              <w:spacing w:after="0" w:line="240"/>
            </w:pPr>
            <w:r>
              <w:rPr>
                <w:b w:val="false"/>
                <w:bCs w:val="false"/>
                <w:sz w:val="18"/>
                <w:szCs w:val="18"/>
              </w:rPr>
              <w:t xml:space="preserve">DATAFILE coupler</w:t>
            </w:r>
          </w:p>
        </w:tc>
        <w:tc>
          <w:tcPr>
            <w:tcW w:type="dxa" w:w="3300"/>
            <w:tcMar>
              <w:top w:type="dxa" w:w="60"/>
              <w:left w:type="dxa" w:w="100"/>
              <w:bottom w:type="dxa" w:w="60"/>
              <w:right w:type="dxa" w:w="100"/>
            </w:tcMar>
          </w:tcPr>
          <w:p>
            <w:pPr>
              <w:spacing w:after="0" w:line="240"/>
            </w:pPr>
            <w:r>
              <w:rPr>
                <w:b w:val="false"/>
                <w:bCs w:val="false"/>
                <w:sz w:val="18"/>
                <w:szCs w:val="18"/>
              </w:rPr>
              <w:t xml:space="preserve">PIC::CPLR::DATAFILE</w:t>
            </w:r>
          </w:p>
        </w:tc>
        <w:tc>
          <w:tcPr>
            <w:tcW w:type="dxa" w:w="4380"/>
            <w:tcMar>
              <w:top w:type="dxa" w:w="60"/>
              <w:left w:type="dxa" w:w="100"/>
              <w:bottom w:type="dxa" w:w="60"/>
              <w:right w:type="dxa" w:w="100"/>
            </w:tcMar>
          </w:tcPr>
          <w:p>
            <w:pPr>
              <w:spacing w:after="0" w:line="240"/>
            </w:pPr>
            <w:r>
              <w:rPr>
                <w:b w:val="false"/>
                <w:bCs w:val="false"/>
                <w:sz w:val="18"/>
                <w:szCs w:val="18"/>
              </w:rPr>
              <w:t xml:space="preserve">Offset table (MagneticField, ElectricField, MagneticFieldGradient, PlasmaBulkVelocity, PlasmaDivU, …), binary save/load, MULTIFILE time interpolation</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SWMF coupler</w:t>
            </w:r>
          </w:p>
        </w:tc>
        <w:tc>
          <w:tcPr>
            <w:tcW w:type="dxa" w:w="3300"/>
            <w:shd w:fill="EEF1F6" w:val="clear"/>
            <w:tcMar>
              <w:top w:type="dxa" w:w="60"/>
              <w:left w:type="dxa" w:w="100"/>
              <w:bottom w:type="dxa" w:w="60"/>
              <w:right w:type="dxa" w:w="100"/>
            </w:tcMar>
          </w:tcPr>
          <w:p>
            <w:pPr>
              <w:spacing w:after="0" w:line="240"/>
            </w:pPr>
            <w:r>
              <w:rPr>
                <w:b w:val="false"/>
                <w:bCs w:val="false"/>
                <w:sz w:val="18"/>
                <w:szCs w:val="18"/>
              </w:rPr>
              <w:t xml:space="preserve">PIC::CPLR::SWMF</w:t>
            </w:r>
          </w:p>
        </w:tc>
        <w:tc>
          <w:tcPr>
            <w:tcW w:type="dxa" w:w="4380"/>
            <w:shd w:fill="EEF1F6" w:val="clear"/>
            <w:tcMar>
              <w:top w:type="dxa" w:w="60"/>
              <w:left w:type="dxa" w:w="100"/>
              <w:bottom w:type="dxa" w:w="60"/>
              <w:right w:type="dxa" w:w="100"/>
            </w:tcMar>
          </w:tcPr>
          <w:p>
            <w:pPr>
              <w:spacing w:after="0" w:line="240"/>
            </w:pPr>
            <w:r>
              <w:rPr>
                <w:b w:val="false"/>
                <w:bCs w:val="false"/>
                <w:sz w:val="18"/>
                <w:szCs w:val="18"/>
              </w:rPr>
              <w:t xml:space="preserve">Alternative live background source; same accessor shape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Interpolation</w:t>
            </w:r>
          </w:p>
        </w:tc>
        <w:tc>
          <w:tcPr>
            <w:tcW w:type="dxa" w:w="3300"/>
            <w:tcMar>
              <w:top w:type="dxa" w:w="60"/>
              <w:left w:type="dxa" w:w="100"/>
              <w:bottom w:type="dxa" w:w="60"/>
              <w:right w:type="dxa" w:w="100"/>
            </w:tcMar>
          </w:tcPr>
          <w:p>
            <w:pPr>
              <w:spacing w:after="0" w:line="240"/>
            </w:pPr>
            <w:r>
              <w:rPr>
                <w:b w:val="false"/>
                <w:bCs w:val="false"/>
                <w:sz w:val="18"/>
                <w:szCs w:val="18"/>
              </w:rPr>
              <w:t xml:space="preserve">PIC::InterpolationRoutines::CellCentered</w:t>
            </w:r>
          </w:p>
        </w:tc>
        <w:tc>
          <w:tcPr>
            <w:tcW w:type="dxa" w:w="4380"/>
            <w:tcMar>
              <w:top w:type="dxa" w:w="60"/>
              <w:left w:type="dxa" w:w="100"/>
              <w:bottom w:type="dxa" w:w="60"/>
              <w:right w:type="dxa" w:w="100"/>
            </w:tcMar>
          </w:tcPr>
          <w:p>
            <w:pPr>
              <w:spacing w:after="0" w:line="240"/>
            </w:pPr>
            <w:r>
              <w:rPr>
                <w:b w:val="false"/>
                <w:bCs w:val="false"/>
                <w:sz w:val="18"/>
                <w:szCs w:val="18"/>
              </w:rPr>
              <w:t xml:space="preserve">Trilinear stencil; cRowStencil variant valid for non-local blocks</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Particle buffer</w:t>
            </w:r>
          </w:p>
        </w:tc>
        <w:tc>
          <w:tcPr>
            <w:tcW w:type="dxa" w:w="3300"/>
            <w:shd w:fill="EEF1F6" w:val="clear"/>
            <w:tcMar>
              <w:top w:type="dxa" w:w="60"/>
              <w:left w:type="dxa" w:w="100"/>
              <w:bottom w:type="dxa" w:w="60"/>
              <w:right w:type="dxa" w:w="100"/>
            </w:tcMar>
          </w:tcPr>
          <w:p>
            <w:pPr>
              <w:spacing w:after="0" w:line="240"/>
            </w:pPr>
            <w:r>
              <w:rPr>
                <w:b w:val="false"/>
                <w:bCs w:val="false"/>
                <w:sz w:val="18"/>
                <w:szCs w:val="18"/>
              </w:rPr>
              <w:t xml:space="preserve">PIC::ParticleBuffer</w:t>
            </w:r>
          </w:p>
        </w:tc>
        <w:tc>
          <w:tcPr>
            <w:tcW w:type="dxa" w:w="4380"/>
            <w:shd w:fill="EEF1F6" w:val="clear"/>
            <w:tcMar>
              <w:top w:type="dxa" w:w="60"/>
              <w:left w:type="dxa" w:w="100"/>
              <w:bottom w:type="dxa" w:w="60"/>
              <w:right w:type="dxa" w:w="100"/>
            </w:tcMar>
          </w:tcPr>
          <w:p>
            <w:pPr>
              <w:spacing w:after="0" w:line="240"/>
            </w:pPr>
            <w:r>
              <w:rPr>
                <w:b w:val="false"/>
                <w:bCs w:val="false"/>
                <w:sz w:val="18"/>
                <w:szCs w:val="18"/>
              </w:rPr>
              <w:t xml:space="preserve">Per-particle storage with RequestDataStorage for custom offsets (μ, magnetic moment, field-line ID)</w:t>
            </w:r>
          </w:p>
        </w:tc>
      </w:tr>
      <w:tr>
        <w:tc>
          <w:tcPr>
            <w:tcW w:type="dxa" w:w="2400"/>
            <w:tcMar>
              <w:top w:type="dxa" w:w="60"/>
              <w:left w:type="dxa" w:w="100"/>
              <w:bottom w:type="dxa" w:w="60"/>
              <w:right w:type="dxa" w:w="100"/>
            </w:tcMar>
          </w:tcPr>
          <w:p>
            <w:pPr>
              <w:spacing w:after="0" w:line="240"/>
            </w:pPr>
            <w:r>
              <w:rPr>
                <w:b w:val="false"/>
                <w:bCs w:val="false"/>
                <w:sz w:val="18"/>
                <w:szCs w:val="18"/>
              </w:rPr>
              <w:t xml:space="preserve">Movers (reference)</w:t>
            </w:r>
          </w:p>
        </w:tc>
        <w:tc>
          <w:tcPr>
            <w:tcW w:type="dxa" w:w="3300"/>
            <w:tcMar>
              <w:top w:type="dxa" w:w="60"/>
              <w:left w:type="dxa" w:w="100"/>
              <w:bottom w:type="dxa" w:w="60"/>
              <w:right w:type="dxa" w:w="100"/>
            </w:tcMar>
          </w:tcPr>
          <w:p>
            <w:pPr>
              <w:spacing w:after="0" w:line="240"/>
            </w:pPr>
            <w:r>
              <w:rPr>
                <w:b w:val="false"/>
                <w:bCs w:val="false"/>
                <w:sz w:val="18"/>
                <w:szCs w:val="18"/>
              </w:rPr>
              <w:t xml:space="preserve">pic_mover_guiding_center.cpp, pic_mover_relativistic_guiding_center.cpp</w:t>
            </w:r>
          </w:p>
        </w:tc>
        <w:tc>
          <w:tcPr>
            <w:tcW w:type="dxa" w:w="4380"/>
            <w:tcMar>
              <w:top w:type="dxa" w:w="60"/>
              <w:left w:type="dxa" w:w="100"/>
              <w:bottom w:type="dxa" w:w="60"/>
              <w:right w:type="dxa" w:w="100"/>
            </w:tcMar>
          </w:tcPr>
          <w:p>
            <w:pPr>
              <w:spacing w:after="0" w:line="240"/>
            </w:pPr>
            <w:r>
              <w:rPr>
                <w:b w:val="false"/>
                <w:bCs w:val="false"/>
                <w:sz w:val="18"/>
                <w:szCs w:val="18"/>
              </w:rPr>
              <w:t xml:space="preserve">Templates for guiding-centre integration and for the mover return-code protocol</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Field lines</w:t>
            </w:r>
          </w:p>
        </w:tc>
        <w:tc>
          <w:tcPr>
            <w:tcW w:type="dxa" w:w="3300"/>
            <w:shd w:fill="EEF1F6" w:val="clear"/>
            <w:tcMar>
              <w:top w:type="dxa" w:w="60"/>
              <w:left w:type="dxa" w:w="100"/>
              <w:bottom w:type="dxa" w:w="60"/>
              <w:right w:type="dxa" w:w="100"/>
            </w:tcMar>
          </w:tcPr>
          <w:p>
            <w:pPr>
              <w:spacing w:after="0" w:line="240"/>
            </w:pPr>
            <w:r>
              <w:rPr>
                <w:b w:val="false"/>
                <w:bCs w:val="false"/>
                <w:sz w:val="18"/>
                <w:szCs w:val="18"/>
              </w:rPr>
              <w:t xml:space="preserve">PIC::FieldLine</w:t>
            </w:r>
          </w:p>
        </w:tc>
        <w:tc>
          <w:tcPr>
            <w:tcW w:type="dxa" w:w="4380"/>
            <w:shd w:fill="EEF1F6" w:val="clear"/>
            <w:tcMar>
              <w:top w:type="dxa" w:w="60"/>
              <w:left w:type="dxa" w:w="100"/>
              <w:bottom w:type="dxa" w:w="60"/>
              <w:right w:type="dxa" w:w="100"/>
            </w:tcMar>
          </w:tcPr>
          <w:p>
            <w:pPr>
              <w:spacing w:after="0" w:line="240"/>
            </w:pPr>
            <w:r>
              <w:rPr>
                <w:b w:val="false"/>
                <w:bCs w:val="false"/>
                <w:sz w:val="18"/>
                <w:szCs w:val="18"/>
              </w:rPr>
              <w:t xml:space="preserve">Optional; used by srcSEP. Not required by srcSEP3D but available for diagnostics and for 1-D cross-checks</w:t>
            </w:r>
          </w:p>
        </w:tc>
      </w:tr>
    </w:tbl>
    <w:p>
      <w:pPr>
        <w:spacing w:after="140"/>
      </w:pPr>
    </w:p>
    <w:p>
      <w:pPr>
        <w:pStyle w:val="Heading2"/>
        <w:spacing w:after="120" w:before="280"/>
      </w:pPr>
      <w:r>
        <w:t xml:space="preserve">2.2 srcEarth (earth.tar)</w:t>
      </w:r>
    </w:p>
    <w:p>
      <w:pPr>
        <w:spacing w:after="120" w:line="264"/>
        <w:jc w:val="left"/>
      </w:pPr>
      <w:r>
        <w:rPr>
          <w:b w:val="false"/>
          <w:bCs w:val="false"/>
          <w:i w:val="false"/>
          <w:iCs w:val="false"/>
        </w:rPr>
        <w:t xml:space="preserve">srcEarth contributes two directly transferable patterns. First, </w:t>
      </w:r>
      <w:r>
        <w:rPr>
          <w:rFonts w:ascii="Consolas" w:cs="Consolas" w:eastAsia="Consolas" w:hAnsi="Consolas"/>
          <w:b w:val="false"/>
          <w:bCs w:val="false"/>
          <w:i w:val="false"/>
          <w:iCs w:val="false"/>
          <w:sz w:val="19"/>
          <w:szCs w:val="19"/>
        </w:rPr>
        <w:t xml:space="preserve">srcEarth/3d/GlobalMagneticField.{h,cpp}</w:t>
      </w:r>
      <w:r>
        <w:rPr>
          <w:b w:val="false"/>
          <w:bCs w:val="false"/>
          <w:i w:val="false"/>
          <w:iCs w:val="false"/>
        </w:rPr>
        <w:t xml:space="preserve"> demonstrates how to build a compact, decomposition-independent, globally replicated cell-centred field snapshot: every used AMR leaf receives a deterministic dense index in </w:t>
      </w:r>
      <w:r>
        <w:rPr>
          <w:rFonts w:ascii="Consolas" w:cs="Consolas" w:eastAsia="Consolas" w:hAnsi="Consolas"/>
          <w:b w:val="false"/>
          <w:bCs w:val="false"/>
          <w:i w:val="false"/>
          <w:iCs w:val="false"/>
          <w:sz w:val="19"/>
          <w:szCs w:val="19"/>
        </w:rPr>
        <w:t xml:space="preserve">node-&gt;Temp_ID</w:t>
      </w:r>
      <w:r>
        <w:rPr>
          <w:b w:val="false"/>
          <w:bCs w:val="false"/>
          <w:i w:val="false"/>
          <w:iCs w:val="false"/>
        </w:rPr>
        <w:t xml:space="preserve">, a cell is addressed as </w:t>
      </w:r>
      <w:r>
        <w:rPr>
          <w:rFonts w:ascii="Consolas" w:cs="Consolas" w:eastAsia="Consolas" w:hAnsi="Consolas"/>
          <w:b w:val="false"/>
          <w:bCs w:val="false"/>
          <w:i w:val="false"/>
          <w:iCs w:val="false"/>
          <w:sz w:val="19"/>
          <w:szCs w:val="19"/>
        </w:rPr>
        <w:t xml:space="preserve">Temp_ID·(Nx·Ny·Nz) + i + Nx(j + Ny·k)</w:t>
      </w:r>
      <w:r>
        <w:rPr>
          <w:b w:val="false"/>
          <w:bCs w:val="false"/>
          <w:i w:val="false"/>
          <w:iCs w:val="false"/>
        </w:rPr>
        <w:t xml:space="preserve">, and an </w:t>
      </w:r>
      <w:r>
        <w:rPr>
          <w:rFonts w:ascii="Consolas" w:cs="Consolas" w:eastAsia="Consolas" w:hAnsi="Consolas"/>
          <w:b w:val="false"/>
          <w:bCs w:val="false"/>
          <w:i w:val="false"/>
          <w:iCs w:val="false"/>
          <w:sz w:val="19"/>
          <w:szCs w:val="19"/>
        </w:rPr>
        <w:t xml:space="preserve">MPI_Allreduce</w:t>
      </w:r>
      <w:r>
        <w:rPr>
          <w:b w:val="false"/>
          <w:bCs w:val="false"/>
          <w:i w:val="false"/>
          <w:iCs w:val="false"/>
        </w:rPr>
        <w:t xml:space="preserve"> makes the arrays identical on every rank. srcSEP3D adopts this indexing scheme verbatim for the external-script field exchange, because it gives a stable, rank-independent ordering of cell centres.</w:t>
      </w:r>
    </w:p>
    <w:p>
      <w:pPr>
        <w:spacing w:after="120" w:line="264"/>
        <w:jc w:val="left"/>
      </w:pPr>
      <w:r>
        <w:rPr>
          <w:b w:val="false"/>
          <w:bCs w:val="false"/>
          <w:i w:val="false"/>
          <w:iCs w:val="false"/>
        </w:rPr>
        <w:t xml:space="preserve">Second, </w:t>
      </w:r>
      <w:r>
        <w:rPr>
          <w:rFonts w:ascii="Consolas" w:cs="Consolas" w:eastAsia="Consolas" w:hAnsi="Consolas"/>
          <w:b w:val="false"/>
          <w:bCs w:val="false"/>
          <w:i w:val="false"/>
          <w:iCs w:val="false"/>
          <w:sz w:val="19"/>
          <w:szCs w:val="19"/>
        </w:rPr>
        <w:t xml:space="preserve">srcEarth/main_lib.cpp::localResolution()</w:t>
      </w:r>
      <w:r>
        <w:rPr>
          <w:b w:val="false"/>
          <w:bCs w:val="false"/>
          <w:i w:val="false"/>
          <w:iCs w:val="false"/>
        </w:rPr>
        <w:t xml:space="preserve"> shows the established AMPS idiom for a piecewise radial resolution law with a near-body surface refinement and a linear relaxation to the background. srcSEP3D replaces the piecewise-constant branches with a smooth, closed-form law (Section 6), but keeps the same callback signature and the same "configured profile overrides default" precedence.</w:t>
      </w:r>
    </w:p>
    <w:p>
      <w:pPr>
        <w:pStyle w:val="Heading2"/>
        <w:spacing w:after="120" w:before="280"/>
      </w:pPr>
      <w:r>
        <w:t xml:space="preserve">2.3 srcSEP (sep.tar) — the 1-D field-line model</w:t>
      </w:r>
    </w:p>
    <w:p>
      <w:pPr>
        <w:spacing w:after="120" w:line="264"/>
        <w:jc w:val="left"/>
      </w:pPr>
      <w:r>
        <w:t xml:space="preserve">srcSEP is the single most valuable asset in the set. It is a mature, heavily documented field-line SEP model whose architecture srcSEP3D should copy rather than reinvent. The components that transfer directly:</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600"/>
        <w:gridCol w:w="4000"/>
        <w:gridCol w:w="3480"/>
      </w:tblGrid>
      <w:tr>
        <w:trPr>
          <w:tblHeader/>
        </w:trPr>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srcSEP asset</w:t>
            </w:r>
          </w:p>
        </w:tc>
        <w:tc>
          <w:tcPr>
            <w:tcW w:type="dxa" w:w="4000"/>
            <w:shd w:fill="1F3864" w:val="clear"/>
            <w:tcMar>
              <w:top w:type="dxa" w:w="60"/>
              <w:left w:type="dxa" w:w="100"/>
              <w:bottom w:type="dxa" w:w="60"/>
              <w:right w:type="dxa" w:w="100"/>
            </w:tcMar>
          </w:tcPr>
          <w:p>
            <w:pPr>
              <w:spacing w:after="0" w:line="240"/>
            </w:pPr>
            <w:r>
              <w:rPr>
                <w:b/>
                <w:bCs/>
                <w:color w:val="FFFFFF"/>
                <w:sz w:val="18"/>
                <w:szCs w:val="18"/>
              </w:rPr>
              <w:t xml:space="preserve">What it provides</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Reuse in srcSEP3D</w:t>
            </w:r>
          </w:p>
        </w:tc>
      </w:tr>
      <w:tr>
        <w:tc>
          <w:tcPr>
            <w:tcW w:type="dxa" w:w="2600"/>
            <w:tcMar>
              <w:top w:type="dxa" w:w="60"/>
              <w:left w:type="dxa" w:w="100"/>
              <w:bottom w:type="dxa" w:w="60"/>
              <w:right w:type="dxa" w:w="100"/>
            </w:tcMar>
          </w:tcPr>
          <w:p>
            <w:pPr>
              <w:spacing w:after="0" w:line="240"/>
            </w:pPr>
            <w:r>
              <w:rPr>
                <w:b w:val="false"/>
                <w:bCs w:val="false"/>
                <w:sz w:val="18"/>
                <w:szCs w:val="18"/>
              </w:rPr>
              <w:t xml:space="preserve">util/sep_transport_common.{h,cpp}</w:t>
            </w:r>
          </w:p>
        </w:tc>
        <w:tc>
          <w:tcPr>
            <w:tcW w:type="dxa" w:w="4000"/>
            <w:tcMar>
              <w:top w:type="dxa" w:w="60"/>
              <w:left w:type="dxa" w:w="100"/>
              <w:bottom w:type="dxa" w:w="60"/>
              <w:right w:type="dxa" w:w="100"/>
            </w:tcMar>
          </w:tcPr>
          <w:p>
            <w:pPr>
              <w:spacing w:after="0" w:line="240"/>
            </w:pPr>
            <w:r>
              <w:rPr>
                <w:b w:val="false"/>
                <w:bCs w:val="false"/>
                <w:sz w:val="18"/>
                <w:szCs w:val="18"/>
              </w:rPr>
              <w:t xml:space="preserve">Relativistic p↔v conversion, named composable timestep limits, SelectSubstep with limiting-name reporting, keyed random streams, reflective μ folding, Status/StatusCode taxonomy</w:t>
            </w:r>
          </w:p>
        </w:tc>
        <w:tc>
          <w:tcPr>
            <w:tcW w:type="dxa" w:w="3480"/>
            <w:tcMar>
              <w:top w:type="dxa" w:w="60"/>
              <w:left w:type="dxa" w:w="100"/>
              <w:bottom w:type="dxa" w:w="60"/>
              <w:right w:type="dxa" w:w="100"/>
            </w:tcMar>
          </w:tcPr>
          <w:p>
            <w:pPr>
              <w:spacing w:after="0" w:line="240"/>
            </w:pPr>
            <w:r>
              <w:rPr>
                <w:b w:val="false"/>
                <w:bCs w:val="false"/>
                <w:sz w:val="18"/>
                <w:szCs w:val="18"/>
              </w:rPr>
              <w:t xml:space="preserve">Reuse unchanged; it is already PIC-free</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util/sep_coefficient_physics.{h,cpp}</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Pure kernels: gyrofrequency, Larmor radius, rigidity, Jokipii slab QLT Dμμ and dDμμ/dμ, Florinskiy dynamic slab, correlation-length MFP, adaptive Simpson κ∥ integration, resonance-gap policy</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unchanged</w:t>
            </w:r>
          </w:p>
        </w:tc>
      </w:tr>
      <w:tr>
        <w:tc>
          <w:tcPr>
            <w:tcW w:type="dxa" w:w="2600"/>
            <w:tcMar>
              <w:top w:type="dxa" w:w="60"/>
              <w:left w:type="dxa" w:w="100"/>
              <w:bottom w:type="dxa" w:w="60"/>
              <w:right w:type="dxa" w:w="100"/>
            </w:tcMar>
          </w:tcPr>
          <w:p>
            <w:pPr>
              <w:spacing w:after="0" w:line="240"/>
            </w:pPr>
            <w:r>
              <w:rPr>
                <w:b w:val="false"/>
                <w:bCs w:val="false"/>
                <w:sz w:val="18"/>
                <w:szCs w:val="18"/>
              </w:rPr>
              <w:t xml:space="preserve">util/sep_coefficient_registry.{h,cpp}</w:t>
            </w:r>
          </w:p>
        </w:tc>
        <w:tc>
          <w:tcPr>
            <w:tcW w:type="dxa" w:w="4000"/>
            <w:tcMar>
              <w:top w:type="dxa" w:w="60"/>
              <w:left w:type="dxa" w:w="100"/>
              <w:bottom w:type="dxa" w:w="60"/>
              <w:right w:type="dxa" w:w="100"/>
            </w:tcMar>
          </w:tcPr>
          <w:p>
            <w:pPr>
              <w:spacing w:after="0" w:line="240"/>
            </w:pPr>
            <w:r>
              <w:rPr>
                <w:b w:val="false"/>
                <w:bCs w:val="false"/>
                <w:sz w:val="18"/>
                <w:szCs w:val="18"/>
              </w:rPr>
              <w:t xml:space="preserve">Named selection of source mode, spatial kind, pitch-angle kind, MFP kind, invalid-value policy; validation; configuration fingerprint</w:t>
            </w:r>
          </w:p>
        </w:tc>
        <w:tc>
          <w:tcPr>
            <w:tcW w:type="dxa" w:w="3480"/>
            <w:tcMar>
              <w:top w:type="dxa" w:w="60"/>
              <w:left w:type="dxa" w:w="100"/>
              <w:bottom w:type="dxa" w:w="60"/>
              <w:right w:type="dxa" w:w="100"/>
            </w:tcMar>
          </w:tcPr>
          <w:p>
            <w:pPr>
              <w:spacing w:after="0" w:line="240"/>
            </w:pPr>
            <w:r>
              <w:rPr>
                <w:b w:val="false"/>
                <w:bCs w:val="false"/>
                <w:sz w:val="18"/>
                <w:szCs w:val="18"/>
              </w:rPr>
              <w:t xml:space="preserve">Extend with a perpendicular slot; otherwise reuse</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util/sep_transport_coefficients.h</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Abstract SpatialDiffusionProvider / PitchAngleDiffusionProvider / MeanFreePathProvider interfaces with provenance and turbulence identity</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Extend to 3-D signatures (position vector instead of arc length); add PerpendicularDiffusionProvider</w:t>
            </w:r>
          </w:p>
        </w:tc>
      </w:tr>
      <w:tr>
        <w:tc>
          <w:tcPr>
            <w:tcW w:type="dxa" w:w="2600"/>
            <w:tcMar>
              <w:top w:type="dxa" w:w="60"/>
              <w:left w:type="dxa" w:w="100"/>
              <w:bottom w:type="dxa" w:w="60"/>
              <w:right w:type="dxa" w:w="100"/>
            </w:tcMar>
          </w:tcPr>
          <w:p>
            <w:pPr>
              <w:spacing w:after="0" w:line="240"/>
            </w:pPr>
            <w:r>
              <w:rPr>
                <w:b w:val="false"/>
                <w:bCs w:val="false"/>
                <w:sz w:val="18"/>
                <w:szCs w:val="18"/>
              </w:rPr>
              <w:t xml:space="preserve">util/sep_parker_core.{h,cpp}</w:t>
            </w:r>
          </w:p>
        </w:tc>
        <w:tc>
          <w:tcPr>
            <w:tcW w:type="dxa" w:w="4000"/>
            <w:tcMar>
              <w:top w:type="dxa" w:w="60"/>
              <w:left w:type="dxa" w:w="100"/>
              <w:bottom w:type="dxa" w:w="60"/>
              <w:right w:type="dxa" w:w="100"/>
            </w:tcMar>
          </w:tcPr>
          <w:p>
            <w:pPr>
              <w:spacing w:after="0" w:line="240"/>
            </w:pPr>
            <w:r>
              <w:rPr>
                <w:b w:val="false"/>
                <w:bCs w:val="false"/>
                <w:sz w:val="18"/>
                <w:szCs w:val="18"/>
              </w:rPr>
              <w:t xml:space="preserve">1-D Itô Parker step ds=(U∥+dκ/ds)dt+√(2κ dt)dW, dp=−(p/3)divU dt</w:t>
            </w:r>
          </w:p>
        </w:tc>
        <w:tc>
          <w:tcPr>
            <w:tcW w:type="dxa" w:w="3480"/>
            <w:tcMar>
              <w:top w:type="dxa" w:w="60"/>
              <w:left w:type="dxa" w:w="100"/>
              <w:bottom w:type="dxa" w:w="60"/>
              <w:right w:type="dxa" w:w="100"/>
            </w:tcMar>
          </w:tcPr>
          <w:p>
            <w:pPr>
              <w:spacing w:after="0" w:line="240"/>
            </w:pPr>
            <w:r>
              <w:rPr>
                <w:b w:val="false"/>
                <w:bCs w:val="false"/>
                <w:sz w:val="18"/>
                <w:szCs w:val="18"/>
              </w:rPr>
              <w:t xml:space="preserve">Generalise to a 3-D tensor step; keep the 1-D core linked into Stage-1 tests as an independent reference</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util/sep_focused_transport_core.{h,cpp}</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Symmetric deterministic/stochastic/deterministic split, reflecting Milstein pitch-angle scheme, full-gyrotropic vs reduced equation modes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Generalise to 3-D; reuse the μ-operator wholesale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util/sep_test_registry.{h,cpp}</w:t>
            </w:r>
          </w:p>
        </w:tc>
        <w:tc>
          <w:tcPr>
            <w:tcW w:type="dxa" w:w="4000"/>
            <w:tcMar>
              <w:top w:type="dxa" w:w="60"/>
              <w:left w:type="dxa" w:w="100"/>
              <w:bottom w:type="dxa" w:w="60"/>
              <w:right w:type="dxa" w:w="100"/>
            </w:tcMar>
          </w:tcPr>
          <w:p>
            <w:pPr>
              <w:spacing w:after="0" w:line="240"/>
            </w:pPr>
            <w:r>
              <w:rPr>
                <w:b w:val="false"/>
                <w:bCs w:val="false"/>
                <w:sz w:val="18"/>
                <w:szCs w:val="18"/>
              </w:rPr>
              <w:t xml:space="preserve">Test descriptors with ID/group/runtime class/initialisation level, Pass/Fail/Skip/Error status, metrics, refinement-order estimator, JSON and JUnit writers</w:t>
            </w:r>
          </w:p>
        </w:tc>
        <w:tc>
          <w:tcPr>
            <w:tcW w:type="dxa" w:w="3480"/>
            <w:tcMar>
              <w:top w:type="dxa" w:w="60"/>
              <w:left w:type="dxa" w:w="100"/>
              <w:bottom w:type="dxa" w:w="60"/>
              <w:right w:type="dxa" w:w="100"/>
            </w:tcMar>
          </w:tcPr>
          <w:p>
            <w:pPr>
              <w:spacing w:after="0" w:line="240"/>
            </w:pPr>
            <w:r>
              <w:rPr>
                <w:b w:val="false"/>
                <w:bCs w:val="false"/>
                <w:sz w:val="18"/>
                <w:szCs w:val="18"/>
              </w:rPr>
              <w:t xml:space="preserve">Reuse unchanged — this is the Stage-1 test harness</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util/sep_cli.{h,cpp}</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Case-insensitive option parsing, --name value and --name=value forms, fail-before-initialisation policy, --list-* discovery modes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the parser pattern with a srcSEP3D option table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swcme/</w:t>
            </w:r>
          </w:p>
        </w:tc>
        <w:tc>
          <w:tcPr>
            <w:tcW w:type="dxa" w:w="4000"/>
            <w:tcMar>
              <w:top w:type="dxa" w:w="60"/>
              <w:left w:type="dxa" w:w="100"/>
              <w:bottom w:type="dxa" w:w="60"/>
              <w:right w:type="dxa" w:w="100"/>
            </w:tcMar>
          </w:tcPr>
          <w:p>
            <w:pPr>
              <w:spacing w:after="0" w:line="240"/>
            </w:pPr>
            <w:r>
              <w:rPr>
                <w:b w:val="false"/>
                <w:bCs w:val="false"/>
                <w:sz w:val="18"/>
                <w:szCs w:val="18"/>
              </w:rPr>
              <w:t xml:space="preserve">Header-mostly 1-D and 3-D semi-analytic solar wind / CME shock model with a prepared-state lifecycle, checked APIs, and an AMPS-facing adapter</w:t>
            </w:r>
          </w:p>
        </w:tc>
        <w:tc>
          <w:tcPr>
            <w:tcW w:type="dxa" w:w="3480"/>
            <w:tcMar>
              <w:top w:type="dxa" w:w="60"/>
              <w:left w:type="dxa" w:w="100"/>
              <w:bottom w:type="dxa" w:w="60"/>
              <w:right w:type="dxa" w:w="100"/>
            </w:tcMar>
          </w:tcPr>
          <w:p>
            <w:pPr>
              <w:spacing w:after="0" w:line="240"/>
            </w:pPr>
            <w:r>
              <w:rPr>
                <w:b w:val="false"/>
                <w:bCs w:val="false"/>
                <w:sz w:val="18"/>
                <w:szCs w:val="18"/>
              </w:rPr>
              <w:t xml:space="preserve">Move to src/models/swcme and link from both applications (Section 5.4)</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validation/</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Case registry, campaign schema, per-case runners, evidence manifests, publication references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Clone the structure for a 3-D case registry</w:t>
            </w:r>
          </w:p>
        </w:tc>
      </w:tr>
    </w:tbl>
    <w:p>
      <w:pPr>
        <w:spacing w:after="140"/>
      </w:pPr>
    </w:p>
    <w:p>
      <w:pPr>
        <w:spacing w:after="120" w:line="264"/>
        <w:jc w:val="left"/>
      </w:pPr>
      <w:r>
        <w:rPr>
          <w:b w:val="false"/>
          <w:bCs w:val="false"/>
          <w:i w:val="false"/>
          <w:iCs w:val="false"/>
        </w:rPr>
        <w:t xml:space="preserve">srcSEP’s current public mover set is exactly </w:t>
      </w:r>
      <w:r>
        <w:rPr>
          <w:rFonts w:ascii="Consolas" w:cs="Consolas" w:eastAsia="Consolas" w:hAnsi="Consolas"/>
          <w:b w:val="false"/>
          <w:bCs w:val="false"/>
          <w:i w:val="false"/>
          <w:iCs w:val="false"/>
          <w:sz w:val="19"/>
          <w:szCs w:val="19"/>
        </w:rPr>
        <w:t xml:space="preserve">parker</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fte-dmumu</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fte-mfp</w:t>
      </w:r>
      <w:r>
        <w:rPr>
          <w:b w:val="false"/>
          <w:bCs w:val="false"/>
          <w:i w:val="false"/>
          <w:iCs w:val="false"/>
        </w:rPr>
        <w:t xml:space="preserve">. Its Step 5 change explicitly removed the historical Parker3D, drift, and Boris movers and declared srcSEP to be field-line-only. Its Step 5 manifest also states that volumetric sampling around an arbitrary Cartesian point "should be hosted by the separate 3-D application". srcSEP3D is that application; this plan therefore takes ownership of the transferred 3-D scope rather than re-enabling anything inside srcSEP.</w:t>
      </w:r>
    </w:p>
    <w:p>
      <w:pPr>
        <w:pStyle w:val="Heading2"/>
        <w:spacing w:after="120" w:before="280"/>
      </w:pPr>
      <w:r>
        <w:t xml:space="preserve">2.4 srcSEP3D (sep3d.tar) — the existing prototype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200"/>
        <w:gridCol w:w="4900"/>
        <w:gridCol w:w="2980"/>
      </w:tblGrid>
      <w:tr>
        <w:trPr>
          <w:tblHeader/>
        </w:trPr>
        <w:tc>
          <w:tcPr>
            <w:tcW w:type="dxa" w:w="2200"/>
            <w:shd w:fill="1F3864" w:val="clear"/>
            <w:tcMar>
              <w:top w:type="dxa" w:w="60"/>
              <w:left w:type="dxa" w:w="100"/>
              <w:bottom w:type="dxa" w:w="60"/>
              <w:right w:type="dxa" w:w="100"/>
            </w:tcMar>
          </w:tcPr>
          <w:p>
            <w:pPr>
              <w:spacing w:after="0" w:line="240"/>
            </w:pPr>
            <w:r>
              <w:rPr>
                <w:b/>
                <w:bCs/>
                <w:color w:val="FFFFFF"/>
                <w:sz w:val="18"/>
                <w:szCs w:val="18"/>
              </w:rPr>
              <w:t xml:space="preserve">File</w:t>
            </w:r>
          </w:p>
        </w:tc>
        <w:tc>
          <w:tcPr>
            <w:tcW w:type="dxa" w:w="4900"/>
            <w:shd w:fill="1F3864" w:val="clear"/>
            <w:tcMar>
              <w:top w:type="dxa" w:w="60"/>
              <w:left w:type="dxa" w:w="100"/>
              <w:bottom w:type="dxa" w:w="60"/>
              <w:right w:type="dxa" w:w="100"/>
            </w:tcMar>
          </w:tcPr>
          <w:p>
            <w:pPr>
              <w:spacing w:after="0" w:line="240"/>
            </w:pPr>
            <w:r>
              <w:rPr>
                <w:b/>
                <w:bCs/>
                <w:color w:val="FFFFFF"/>
                <w:sz w:val="18"/>
                <w:szCs w:val="18"/>
              </w:rPr>
              <w:t xml:space="preserve">Content</w:t>
            </w:r>
          </w:p>
        </w:tc>
        <w:tc>
          <w:tcPr>
            <w:tcW w:type="dxa" w:w="2980"/>
            <w:shd w:fill="1F3864" w:val="clear"/>
            <w:tcMar>
              <w:top w:type="dxa" w:w="60"/>
              <w:left w:type="dxa" w:w="100"/>
              <w:bottom w:type="dxa" w:w="60"/>
              <w:right w:type="dxa" w:w="100"/>
            </w:tcMar>
          </w:tcPr>
          <w:p>
            <w:pPr>
              <w:spacing w:after="0" w:line="240"/>
            </w:pPr>
            <w:r>
              <w:rPr>
                <w:b/>
                <w:bCs/>
                <w:color w:val="FFFFFF"/>
                <w:sz w:val="18"/>
                <w:szCs w:val="18"/>
              </w:rPr>
              <w:t xml:space="preserve">Disposition</w:t>
            </w:r>
          </w:p>
        </w:tc>
      </w:tr>
      <w:tr>
        <w:tc>
          <w:tcPr>
            <w:tcW w:type="dxa" w:w="2200"/>
            <w:tcMar>
              <w:top w:type="dxa" w:w="60"/>
              <w:left w:type="dxa" w:w="100"/>
              <w:bottom w:type="dxa" w:w="60"/>
              <w:right w:type="dxa" w:w="100"/>
            </w:tcMar>
          </w:tcPr>
          <w:p>
            <w:pPr>
              <w:spacing w:after="0" w:line="240"/>
            </w:pPr>
            <w:r>
              <w:rPr>
                <w:b w:val="false"/>
                <w:bCs w:val="false"/>
                <w:sz w:val="18"/>
                <w:szCs w:val="18"/>
              </w:rPr>
              <w:t xml:space="preserve">SEP3D.h</w:t>
            </w:r>
          </w:p>
        </w:tc>
        <w:tc>
          <w:tcPr>
            <w:tcW w:type="dxa" w:w="4900"/>
            <w:tcMar>
              <w:top w:type="dxa" w:w="60"/>
              <w:left w:type="dxa" w:w="100"/>
              <w:bottom w:type="dxa" w:w="60"/>
              <w:right w:type="dxa" w:w="100"/>
            </w:tcMar>
          </w:tcPr>
          <w:p>
            <w:pPr>
              <w:spacing w:after="0" w:line="240"/>
            </w:pPr>
            <w:r>
              <w:rPr>
                <w:b w:val="false"/>
                <w:bCs w:val="false"/>
                <w:sz w:val="18"/>
                <w:szCs w:val="18"/>
              </w:rPr>
              <w:t xml:space="preserve">Exosphere-derived namespace; axisymmetric mover declarations; full Lorentz + gravity TotalParticleAcceleration; inject_particle_onto_field_line; GlobalEnergyDistribution</w:t>
            </w:r>
          </w:p>
        </w:tc>
        <w:tc>
          <w:tcPr>
            <w:tcW w:type="dxa" w:w="2980"/>
            <w:tcMar>
              <w:top w:type="dxa" w:w="60"/>
              <w:left w:type="dxa" w:w="100"/>
              <w:bottom w:type="dxa" w:w="60"/>
              <w:right w:type="dxa" w:w="100"/>
            </w:tcMar>
          </w:tcPr>
          <w:p>
            <w:pPr>
              <w:spacing w:after="0" w:line="240"/>
            </w:pPr>
            <w:r>
              <w:rPr>
                <w:b w:val="false"/>
                <w:bCs w:val="false"/>
                <w:sz w:val="18"/>
                <w:szCs w:val="18"/>
              </w:rPr>
              <w:t xml:space="preserve">Split: sampler kept and generalised; acceleration and injection replaced</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SEP3D.cpp</w:t>
            </w:r>
          </w:p>
        </w:tc>
        <w:tc>
          <w:tcPr>
            <w:tcW w:type="dxa" w:w="4900"/>
            <w:shd w:fill="EEF1F6" w:val="clear"/>
            <w:tcMar>
              <w:top w:type="dxa" w:w="60"/>
              <w:left w:type="dxa" w:w="100"/>
              <w:bottom w:type="dxa" w:w="60"/>
              <w:right w:type="dxa" w:w="100"/>
            </w:tcMar>
          </w:tcPr>
          <w:p>
            <w:pPr>
              <w:spacing w:after="0" w:line="240"/>
            </w:pPr>
            <w:r>
              <w:rPr>
                <w:b w:val="false"/>
                <w:bCs w:val="false"/>
                <w:sz w:val="18"/>
                <w:szCs w:val="18"/>
              </w:rPr>
              <w:t xml:space="preserve">Mover_Axisymmetric_SecondOrder (rotates to y=0 each step); energy-distribution sample/print with CMPI_channel reduction</w:t>
            </w:r>
          </w:p>
        </w:tc>
        <w:tc>
          <w:tcPr>
            <w:tcW w:type="dxa" w:w="2980"/>
            <w:shd w:fill="EEF1F6" w:val="clear"/>
            <w:tcMar>
              <w:top w:type="dxa" w:w="60"/>
              <w:left w:type="dxa" w:w="100"/>
              <w:bottom w:type="dxa" w:w="60"/>
              <w:right w:type="dxa" w:w="100"/>
            </w:tcMar>
          </w:tcPr>
          <w:p>
            <w:pPr>
              <w:spacing w:after="0" w:line="240"/>
            </w:pPr>
            <w:r>
              <w:rPr>
                <w:b w:val="false"/>
                <w:bCs w:val="false"/>
                <w:sz w:val="18"/>
                <w:szCs w:val="18"/>
              </w:rPr>
              <w:t xml:space="preserve">Mover retired; sampler reduction pattern kept</w:t>
            </w:r>
          </w:p>
        </w:tc>
      </w:tr>
      <w:tr>
        <w:tc>
          <w:tcPr>
            <w:tcW w:type="dxa" w:w="2200"/>
            <w:tcMar>
              <w:top w:type="dxa" w:w="60"/>
              <w:left w:type="dxa" w:w="100"/>
              <w:bottom w:type="dxa" w:w="60"/>
              <w:right w:type="dxa" w:w="100"/>
            </w:tcMar>
          </w:tcPr>
          <w:p>
            <w:pPr>
              <w:spacing w:after="0" w:line="240"/>
            </w:pPr>
            <w:r>
              <w:rPr>
                <w:b w:val="false"/>
                <w:bCs w:val="false"/>
                <w:sz w:val="18"/>
                <w:szCs w:val="18"/>
              </w:rPr>
              <w:t xml:space="preserve">main_lib.cpp</w:t>
            </w:r>
          </w:p>
        </w:tc>
        <w:tc>
          <w:tcPr>
            <w:tcW w:type="dxa" w:w="4900"/>
            <w:tcMar>
              <w:top w:type="dxa" w:w="60"/>
              <w:left w:type="dxa" w:w="100"/>
              <w:bottom w:type="dxa" w:w="60"/>
              <w:right w:type="dxa" w:w="100"/>
            </w:tcMar>
          </w:tcPr>
          <w:p>
            <w:pPr>
              <w:spacing w:after="0" w:line="240"/>
            </w:pPr>
            <w:r>
              <w:rPr>
                <w:b w:val="false"/>
                <w:bCs w:val="false"/>
                <w:sz w:val="18"/>
                <w:szCs w:val="18"/>
              </w:rPr>
              <w:t xml:space="preserve">AMPS init sequence, 2×10⁶ m uniform localResolution, thin wedge domain, MULTIFILE background init, prepopulate/field-line injection</w:t>
            </w:r>
          </w:p>
        </w:tc>
        <w:tc>
          <w:tcPr>
            <w:tcW w:type="dxa" w:w="2980"/>
            <w:tcMar>
              <w:top w:type="dxa" w:w="60"/>
              <w:left w:type="dxa" w:w="100"/>
              <w:bottom w:type="dxa" w:w="60"/>
              <w:right w:type="dxa" w:w="100"/>
            </w:tcMar>
          </w:tcPr>
          <w:p>
            <w:pPr>
              <w:spacing w:after="0" w:line="240"/>
            </w:pPr>
            <w:r>
              <w:rPr>
                <w:b w:val="false"/>
                <w:bCs w:val="false"/>
                <w:sz w:val="18"/>
                <w:szCs w:val="18"/>
              </w:rPr>
              <w:t xml:space="preserve">Init sequence kept as a skeleton; domain, resolution, and injection replaced</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main.cpp</w:t>
            </w:r>
          </w:p>
        </w:tc>
        <w:tc>
          <w:tcPr>
            <w:tcW w:type="dxa" w:w="4900"/>
            <w:shd w:fill="EEF1F6" w:val="clear"/>
            <w:tcMar>
              <w:top w:type="dxa" w:w="60"/>
              <w:left w:type="dxa" w:w="100"/>
              <w:bottom w:type="dxa" w:w="60"/>
              <w:right w:type="dxa" w:w="100"/>
            </w:tcMar>
          </w:tcPr>
          <w:p>
            <w:pPr>
              <w:spacing w:after="0" w:line="240"/>
            </w:pPr>
            <w:r>
              <w:rPr>
                <w:b w:val="false"/>
                <w:bCs w:val="false"/>
                <w:sz w:val="18"/>
                <w:szCs w:val="18"/>
              </w:rPr>
              <w:t xml:space="preserve">Standard AMPS driver loop with nightly-test hook</w:t>
            </w:r>
          </w:p>
        </w:tc>
        <w:tc>
          <w:tcPr>
            <w:tcW w:type="dxa" w:w="2980"/>
            <w:shd w:fill="EEF1F6" w:val="clear"/>
            <w:tcMar>
              <w:top w:type="dxa" w:w="60"/>
              <w:left w:type="dxa" w:w="100"/>
              <w:bottom w:type="dxa" w:w="60"/>
              <w:right w:type="dxa" w:w="100"/>
            </w:tcMar>
          </w:tcPr>
          <w:p>
            <w:pPr>
              <w:spacing w:after="0" w:line="240"/>
            </w:pPr>
            <w:r>
              <w:rPr>
                <w:b w:val="false"/>
                <w:bCs w:val="false"/>
                <w:sz w:val="18"/>
                <w:szCs w:val="18"/>
              </w:rPr>
              <w:t xml:space="preserve">Kept; extended with CLI parsing and test-mode dispatch</w:t>
            </w:r>
          </w:p>
        </w:tc>
      </w:tr>
      <w:tr>
        <w:tc>
          <w:tcPr>
            <w:tcW w:type="dxa" w:w="2200"/>
            <w:tcMar>
              <w:top w:type="dxa" w:w="60"/>
              <w:left w:type="dxa" w:w="100"/>
              <w:bottom w:type="dxa" w:w="60"/>
              <w:right w:type="dxa" w:w="100"/>
            </w:tcMar>
          </w:tcPr>
          <w:p>
            <w:pPr>
              <w:spacing w:after="0" w:line="240"/>
            </w:pPr>
            <w:r>
              <w:rPr>
                <w:b w:val="false"/>
                <w:bCs w:val="false"/>
                <w:sz w:val="18"/>
                <w:szCs w:val="18"/>
              </w:rPr>
              <w:t xml:space="preserve">makefile</w:t>
            </w:r>
          </w:p>
        </w:tc>
        <w:tc>
          <w:tcPr>
            <w:tcW w:type="dxa" w:w="4900"/>
            <w:tcMar>
              <w:top w:type="dxa" w:w="60"/>
              <w:left w:type="dxa" w:w="100"/>
              <w:bottom w:type="dxa" w:w="60"/>
              <w:right w:type="dxa" w:w="100"/>
            </w:tcMar>
          </w:tcPr>
          <w:p>
            <w:pPr>
              <w:spacing w:after="0" w:line="240"/>
            </w:pPr>
            <w:r>
              <w:rPr>
                <w:b w:val="false"/>
                <w:bCs w:val="false"/>
                <w:sz w:val="18"/>
                <w:szCs w:val="18"/>
              </w:rPr>
              <w:t xml:space="preserve">Builds mainlib.a and main.a</w:t>
            </w:r>
          </w:p>
        </w:tc>
        <w:tc>
          <w:tcPr>
            <w:tcW w:type="dxa" w:w="2980"/>
            <w:tcMar>
              <w:top w:type="dxa" w:w="60"/>
              <w:left w:type="dxa" w:w="100"/>
              <w:bottom w:type="dxa" w:w="60"/>
              <w:right w:type="dxa" w:w="100"/>
            </w:tcMar>
          </w:tcPr>
          <w:p>
            <w:pPr>
              <w:spacing w:after="0" w:line="240"/>
            </w:pPr>
            <w:r>
              <w:rPr>
                <w:b w:val="false"/>
                <w:bCs w:val="false"/>
                <w:sz w:val="18"/>
                <w:szCs w:val="18"/>
              </w:rPr>
              <w:t xml:space="preserve">Extended with core/ objects and standalone test targets</w:t>
            </w:r>
          </w:p>
        </w:tc>
      </w:tr>
    </w:tbl>
    <w:p>
      <w:pPr>
        <w:spacing w:after="140"/>
      </w:pPr>
    </w:p>
    <w:p>
      <w:pPr>
        <w:pBdr>
          <w:left w:val="single" w:color="DD6B20" w:sz="14" w:space="8"/>
        </w:pBdr>
        <w:shd w:fill="FFF7ED" w:val="clear"/>
        <w:spacing w:after="140" w:before="100" w:line="264"/>
        <w:ind w:left="200" w:right="200"/>
      </w:pPr>
      <w:r>
        <w:rPr>
          <w:b/>
          <w:bCs/>
          <w:color w:val="9C4221"/>
        </w:rPr>
        <w:t xml:space="preserve">Scope note  </w:t>
      </w:r>
      <w:r>
        <w:t xml:space="preserve">The existing prototype declares DIM-dependent code paths and uses _PIC_FIELD_LINE_MODE_ in places. srcSEP3D as planned here is a true three-dimensional Cartesian application: DIM = 3, particles are attached to mesh cells (not field-line segments), and field lines are used only as a diagnostic and cross-validation device.</w:t>
      </w:r>
    </w:p>
    <w:p>
      <w:r>
        <w:br w:type="page"/>
      </w:r>
    </w:p>
    <w:p>
      <w:pPr>
        <w:pStyle w:val="Heading1"/>
        <w:spacing w:after="160" w:before="360"/>
      </w:pPr>
      <w:r>
        <w:t xml:space="preserve">3. Architecture and Directory Layout</w:t>
      </w:r>
    </w:p>
    <w:p>
      <w:pPr>
        <w:pStyle w:val="Heading2"/>
        <w:spacing w:after="120" w:before="280"/>
      </w:pPr>
      <w:r>
        <w:t xml:space="preserve">3.1 Layering</w:t>
      </w:r>
    </w:p>
    <w:p>
      <w:pPr>
        <w:spacing w:after="120" w:line="264"/>
        <w:jc w:val="left"/>
      </w:pPr>
      <w:r>
        <w:t xml:space="preserve">srcSEP3D is organised in four layers. The layering rule is enforced by the build: a lower layer must compile and link without any symbol from a higher layer.</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200"/>
        <w:gridCol w:w="2400"/>
        <w:gridCol w:w="3000"/>
        <w:gridCol w:w="2480"/>
      </w:tblGrid>
      <w:tr>
        <w:trPr>
          <w:tblHeader/>
        </w:trPr>
        <w:tc>
          <w:tcPr>
            <w:tcW w:type="dxa" w:w="2200"/>
            <w:shd w:fill="1F3864" w:val="clear"/>
            <w:tcMar>
              <w:top w:type="dxa" w:w="60"/>
              <w:left w:type="dxa" w:w="100"/>
              <w:bottom w:type="dxa" w:w="60"/>
              <w:right w:type="dxa" w:w="100"/>
            </w:tcMar>
          </w:tcPr>
          <w:p>
            <w:pPr>
              <w:spacing w:after="0" w:line="240"/>
            </w:pPr>
            <w:r>
              <w:rPr>
                <w:b/>
                <w:bCs/>
                <w:color w:val="FFFFFF"/>
                <w:sz w:val="18"/>
                <w:szCs w:val="18"/>
              </w:rPr>
              <w:t xml:space="preserve">Layer</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Directory</w:t>
            </w:r>
          </w:p>
        </w:tc>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May include</w:t>
            </w:r>
          </w:p>
        </w:tc>
        <w:tc>
          <w:tcPr>
            <w:tcW w:type="dxa" w:w="2480"/>
            <w:shd w:fill="1F3864" w:val="clear"/>
            <w:tcMar>
              <w:top w:type="dxa" w:w="60"/>
              <w:left w:type="dxa" w:w="100"/>
              <w:bottom w:type="dxa" w:w="60"/>
              <w:right w:type="dxa" w:w="100"/>
            </w:tcMar>
          </w:tcPr>
          <w:p>
            <w:pPr>
              <w:spacing w:after="0" w:line="240"/>
            </w:pPr>
            <w:r>
              <w:rPr>
                <w:b/>
                <w:bCs/>
                <w:color w:val="FFFFFF"/>
                <w:sz w:val="18"/>
                <w:szCs w:val="18"/>
              </w:rPr>
              <w:t xml:space="preserve">Must not include</w:t>
            </w:r>
          </w:p>
        </w:tc>
      </w:tr>
      <w:tr>
        <w:tc>
          <w:tcPr>
            <w:tcW w:type="dxa" w:w="2200"/>
            <w:tcMar>
              <w:top w:type="dxa" w:w="60"/>
              <w:left w:type="dxa" w:w="100"/>
              <w:bottom w:type="dxa" w:w="60"/>
              <w:right w:type="dxa" w:w="100"/>
            </w:tcMar>
          </w:tcPr>
          <w:p>
            <w:pPr>
              <w:spacing w:after="0" w:line="240"/>
            </w:pPr>
            <w:r>
              <w:rPr>
                <w:b w:val="false"/>
                <w:bCs w:val="false"/>
                <w:sz w:val="18"/>
                <w:szCs w:val="18"/>
              </w:rPr>
              <w:t xml:space="preserve">L0 — Numerical core</w:t>
            </w:r>
          </w:p>
        </w:tc>
        <w:tc>
          <w:tcPr>
            <w:tcW w:type="dxa" w:w="2400"/>
            <w:tcMar>
              <w:top w:type="dxa" w:w="60"/>
              <w:left w:type="dxa" w:w="100"/>
              <w:bottom w:type="dxa" w:w="60"/>
              <w:right w:type="dxa" w:w="100"/>
            </w:tcMar>
          </w:tcPr>
          <w:p>
            <w:pPr>
              <w:spacing w:after="0" w:line="240"/>
            </w:pPr>
            <w:r>
              <w:rPr>
                <w:b w:val="false"/>
                <w:bCs w:val="false"/>
                <w:sz w:val="18"/>
                <w:szCs w:val="18"/>
              </w:rPr>
              <w:t xml:space="preserve">srcSEP3D/core/</w:t>
            </w:r>
          </w:p>
        </w:tc>
        <w:tc>
          <w:tcPr>
            <w:tcW w:type="dxa" w:w="3000"/>
            <w:tcMar>
              <w:top w:type="dxa" w:w="60"/>
              <w:left w:type="dxa" w:w="100"/>
              <w:bottom w:type="dxa" w:w="60"/>
              <w:right w:type="dxa" w:w="100"/>
            </w:tcMar>
          </w:tcPr>
          <w:p>
            <w:pPr>
              <w:spacing w:after="0" w:line="240"/>
            </w:pPr>
            <w:r>
              <w:rPr>
                <w:b w:val="false"/>
                <w:bCs w:val="false"/>
                <w:sz w:val="18"/>
                <w:szCs w:val="18"/>
              </w:rPr>
              <w:t xml:space="preserve">C++17 standard library only; srcSEP/util headers</w:t>
            </w:r>
          </w:p>
        </w:tc>
        <w:tc>
          <w:tcPr>
            <w:tcW w:type="dxa" w:w="2480"/>
            <w:tcMar>
              <w:top w:type="dxa" w:w="60"/>
              <w:left w:type="dxa" w:w="100"/>
              <w:bottom w:type="dxa" w:w="60"/>
              <w:right w:type="dxa" w:w="100"/>
            </w:tcMar>
          </w:tcPr>
          <w:p>
            <w:pPr>
              <w:spacing w:after="0" w:line="240"/>
            </w:pPr>
            <w:r>
              <w:rPr>
                <w:b w:val="false"/>
                <w:bCs w:val="false"/>
                <w:sz w:val="18"/>
                <w:szCs w:val="18"/>
              </w:rPr>
              <w:t xml:space="preserve">pic.h, mpi.h, any AMPS global</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L1 — Background models</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srcSEP3D/background/</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L0; src/models/swcme headers</w:t>
            </w:r>
          </w:p>
        </w:tc>
        <w:tc>
          <w:tcPr>
            <w:tcW w:type="dxa" w:w="2480"/>
            <w:shd w:fill="EEF1F6" w:val="clear"/>
            <w:tcMar>
              <w:top w:type="dxa" w:w="60"/>
              <w:left w:type="dxa" w:w="100"/>
              <w:bottom w:type="dxa" w:w="60"/>
              <w:right w:type="dxa" w:w="100"/>
            </w:tcMar>
          </w:tcPr>
          <w:p>
            <w:pPr>
              <w:spacing w:after="0" w:line="240"/>
            </w:pPr>
            <w:r>
              <w:rPr>
                <w:b w:val="false"/>
                <w:bCs w:val="false"/>
                <w:sz w:val="18"/>
                <w:szCs w:val="18"/>
              </w:rPr>
              <w:t xml:space="preserve">pic.h, mpi.h</w:t>
            </w:r>
          </w:p>
        </w:tc>
      </w:tr>
      <w:tr>
        <w:tc>
          <w:tcPr>
            <w:tcW w:type="dxa" w:w="2200"/>
            <w:tcMar>
              <w:top w:type="dxa" w:w="60"/>
              <w:left w:type="dxa" w:w="100"/>
              <w:bottom w:type="dxa" w:w="60"/>
              <w:right w:type="dxa" w:w="100"/>
            </w:tcMar>
          </w:tcPr>
          <w:p>
            <w:pPr>
              <w:spacing w:after="0" w:line="240"/>
            </w:pPr>
            <w:r>
              <w:rPr>
                <w:b w:val="false"/>
                <w:bCs w:val="false"/>
                <w:sz w:val="18"/>
                <w:szCs w:val="18"/>
              </w:rPr>
              <w:t xml:space="preserve">L2 — AMPS adapters</w:t>
            </w:r>
          </w:p>
        </w:tc>
        <w:tc>
          <w:tcPr>
            <w:tcW w:type="dxa" w:w="2400"/>
            <w:tcMar>
              <w:top w:type="dxa" w:w="60"/>
              <w:left w:type="dxa" w:w="100"/>
              <w:bottom w:type="dxa" w:w="60"/>
              <w:right w:type="dxa" w:w="100"/>
            </w:tcMar>
          </w:tcPr>
          <w:p>
            <w:pPr>
              <w:spacing w:after="0" w:line="240"/>
            </w:pPr>
            <w:r>
              <w:rPr>
                <w:b w:val="false"/>
                <w:bCs w:val="false"/>
                <w:sz w:val="18"/>
                <w:szCs w:val="18"/>
              </w:rPr>
              <w:t xml:space="preserve">srcSEP3D/amps/</w:t>
            </w:r>
          </w:p>
        </w:tc>
        <w:tc>
          <w:tcPr>
            <w:tcW w:type="dxa" w:w="3000"/>
            <w:tcMar>
              <w:top w:type="dxa" w:w="60"/>
              <w:left w:type="dxa" w:w="100"/>
              <w:bottom w:type="dxa" w:w="60"/>
              <w:right w:type="dxa" w:w="100"/>
            </w:tcMar>
          </w:tcPr>
          <w:p>
            <w:pPr>
              <w:spacing w:after="0" w:line="240"/>
            </w:pPr>
            <w:r>
              <w:rPr>
                <w:b w:val="false"/>
                <w:bCs w:val="false"/>
                <w:sz w:val="18"/>
                <w:szCs w:val="18"/>
              </w:rPr>
              <w:t xml:space="preserve">L0, L1, pic.h, mpi.h</w:t>
            </w:r>
          </w:p>
        </w:tc>
        <w:tc>
          <w:tcPr>
            <w:tcW w:type="dxa" w:w="2480"/>
            <w:tcMar>
              <w:top w:type="dxa" w:w="60"/>
              <w:left w:type="dxa" w:w="100"/>
              <w:bottom w:type="dxa" w:w="60"/>
              <w:right w:type="dxa" w:w="100"/>
            </w:tcMar>
          </w:tcPr>
          <w:p>
            <w:pPr>
              <w:spacing w:after="0" w:line="240"/>
            </w:pPr>
            <w:r>
              <w:rPr>
                <w:b w:val="false"/>
                <w:bCs w:val="false"/>
                <w:sz w:val="18"/>
                <w:szCs w:val="18"/>
              </w:rPr>
              <w:t xml:space="preserve">—</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L3 — Application</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srcSEP3D/*.cpp</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everything</w:t>
            </w:r>
          </w:p>
        </w:tc>
        <w:tc>
          <w:tcPr>
            <w:tcW w:type="dxa" w:w="2480"/>
            <w:shd w:fill="EEF1F6" w:val="clear"/>
            <w:tcMar>
              <w:top w:type="dxa" w:w="60"/>
              <w:left w:type="dxa" w:w="100"/>
              <w:bottom w:type="dxa" w:w="60"/>
              <w:right w:type="dxa" w:w="100"/>
            </w:tcMar>
          </w:tcPr>
          <w:p>
            <w:pPr>
              <w:spacing w:after="0" w:line="240"/>
            </w:pPr>
            <w:r>
              <w:rPr>
                <w:b w:val="false"/>
                <w:bCs w:val="false"/>
                <w:sz w:val="18"/>
                <w:szCs w:val="18"/>
              </w:rPr>
              <w:t xml:space="preserve">—</w:t>
            </w:r>
          </w:p>
        </w:tc>
      </w:tr>
    </w:tbl>
    <w:p>
      <w:pPr>
        <w:spacing w:after="140"/>
      </w:pPr>
    </w:p>
    <w:p>
      <w:pPr>
        <w:spacing w:after="120" w:line="264"/>
        <w:jc w:val="left"/>
      </w:pPr>
      <w:r>
        <w:rPr>
          <w:b w:val="false"/>
          <w:bCs w:val="false"/>
          <w:i w:val="false"/>
          <w:iCs w:val="false"/>
        </w:rPr>
        <w:t xml:space="preserve">This is the same boundary srcSEP established between </w:t>
      </w:r>
      <w:r>
        <w:rPr>
          <w:rFonts w:ascii="Consolas" w:cs="Consolas" w:eastAsia="Consolas" w:hAnsi="Consolas"/>
          <w:b w:val="false"/>
          <w:bCs w:val="false"/>
          <w:i w:val="false"/>
          <w:iCs w:val="false"/>
          <w:sz w:val="19"/>
          <w:szCs w:val="19"/>
        </w:rPr>
        <w:t xml:space="preserve">util/</w:t>
      </w:r>
      <w:r>
        <w:rPr>
          <w:b w:val="false"/>
          <w:bCs w:val="false"/>
          <w:i w:val="false"/>
          <w:iCs w:val="false"/>
        </w:rPr>
        <w:t xml:space="preserve"> and its production files, and it is the single structural decision that makes the Stage-1 test program possible. Every physics kernel, every coefficient provider, the mesh resolution law, the Parker-spiral field, and the SWCME-to-SI bridge all live below L2 and can therefore be exercised by a small standalone executable that links neither AMPS nor MPI.</w:t>
      </w:r>
    </w:p>
    <w:p>
      <w:pPr>
        <w:pStyle w:val="Heading2"/>
        <w:spacing w:after="120" w:before="280"/>
      </w:pPr>
      <w:r>
        <w:t xml:space="preserve">3.2 Proposed directory tree</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srcSEP3D/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AGENTS.md                      # working agreement, mirrors srcSEP/AGENTS.md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README.md                      # user-facing description and quick start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DESIGN_NOTES.md                # rationale, kept current with each work package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CLI_CONTRACT.md                # authoritative option list and precedence rules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MESH_RESOLUTION.md             # the resolution law, its knobs and closed forms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BACKGROUND_FIELD.md            # provider contract; external-script file formats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TRANSPORT_NUMERICS_3D.md       # equations, splitting, timestep limits, RNG keys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MIGRATION_MANIFEST.md          # retired prototype names -&gt; replacements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makefile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core/                          # L0 - no pic.h, no mpi.h</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sep3d_types.h                # Vec3, Tensor3, Status, units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sep3d_geometry.{h,cpp}       # triads, rotations, distance-to-spiral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sep3d_mesh_resolution.{h,cpp}# the localResolution law + octree level map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sep3d_parker_field.{h,cpp}   # analytic Parker spiral B, dB, |B|, L_B</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sep3d_coefficients.{h,cpp}   # 3-D provider interfaces + tensor assembly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sep3d_parker_core.{h,cpp}    # 3-D Ito Parker step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sep3d_focused_core.{h,cpp}   # 3-D focused-transport step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sep3d_timestep.{h,cpp}       # named composable limits, SelectSubstep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sep3d_sampling_core.{h,cpp}  # binning, moments, unit-bearing products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sep3d_run_configuration.{h,cpp}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sep3d_cli.{h,cpp}            # option table + parser (no AMPS symbols)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sep3d_test_registry.{h,cpp}  # thin wrapper over SEP::Testing registry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background/                    # L1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bg_provider.h                # abstract BackgroundProvider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bg_parker.{h,cpp}            # wraps core/sep3d_parker_field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bg_swcme.{h,cpp}             # wraps swcme::sep::Interface3D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bg_external_script.{h,cpp}   # RESERVED - spec only in release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bg_registry.{h,cpp}          # named selection + validation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                          # L2</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amps_mesh.cpp                # domain, localResolution callback, build/load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amps_background_store.cpp    # fill cell-centred offsets from a provider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amps_field_gradients.cpp     # grad B and grad U generation on the mesh</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amps_mover_parker.cpp        # PIC mover shell -&gt; core/sep3d_parker_core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amps_mover_focused.cpp       # PIC mover shell -&gt; core/sep3d_focused_core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amps_mover_dispatch.cpp      # validating adapter, capability registry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amps_injection.cpp           # inner boundary, shock, and volumetric sources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amps_sampling.cpp            # volumetric and virtual-spacecraft sampling</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amps_output.cpp              # Tecplot / CSV, transactional writes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SEP3D.{h,cpp}                  # L3 umbrella header and glue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main.cpp  main_lib.cpp         # driver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test/                          # Stage 1 and Stage 2 harnesses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run_stage1_tests.sh</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test_stage1_mesh.cpp  test_stage1_background.cpp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test_stage1_coefficients.cpp  test_stage1_movers.cpp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test_stage1_cli.cpp   test_stage1_sampling.cpp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stubs/parker_field_stub.py   # reference stub for the external provider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validation/                    # Stage 3 case registry (mirrors srcSEP)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case_registry.json  run_case.py  run_campaign.py</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    cases/{N3D01..,X3D01..,O3D01..}/</w:t>
      </w:r>
    </w:p>
    <w:p>
      <w:pPr>
        <w:pStyle w:val="Heading2"/>
        <w:spacing w:after="120" w:before="280"/>
      </w:pPr>
      <w:r>
        <w:t xml:space="preserve">3.3 Namespace layout</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namespace SEP3D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Core {          // L0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Geometry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Mesh {}       // resolution law, level map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Field {}      // analytic Parker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Coefficients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Transport {}  // Parker and focused cores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Sampling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Background {}   // L1 providers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AMPS {}         // L2 adapters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namespace Testing {}      // registry + descriptors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Reused unchanged from srcSEP:</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SEP::Transport::{Status, StatusCode, SelectSubstep, KeyedRandomStream,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SEP::Transport::CoefficientPhysics::{...}</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   SEP::Testing::{Registry, Descriptor, Result, Metric, ...}</w:t>
      </w:r>
    </w:p>
    <w:p>
      <w:pPr>
        <w:pStyle w:val="Heading2"/>
        <w:spacing w:after="120" w:before="280"/>
      </w:pPr>
      <w:r>
        <w:t xml:space="preserve">3.4 Build integration</w:t>
      </w:r>
    </w:p>
    <w:p>
      <w:pPr>
        <w:pStyle w:val="ListParagraph"/>
        <w:numPr>
          <w:ilvl w:val="0"/>
          <w:numId w:val="3"/>
        </w:numPr>
        <w:spacing w:after="60" w:line="264"/>
      </w:pPr>
      <w:r>
        <w:rPr>
          <w:rFonts w:ascii="Consolas" w:cs="Consolas" w:eastAsia="Consolas" w:hAnsi="Consolas"/>
          <w:b w:val="false"/>
          <w:bCs w:val="false"/>
          <w:i w:val="false"/>
          <w:iCs w:val="false"/>
          <w:sz w:val="19"/>
          <w:szCs w:val="19"/>
        </w:rPr>
        <w:t xml:space="preserve">srcSEP3D/makefile</w:t>
      </w:r>
      <w:r>
        <w:rPr>
          <w:b w:val="false"/>
          <w:bCs w:val="false"/>
          <w:i w:val="false"/>
          <w:iCs w:val="false"/>
        </w:rPr>
        <w:t xml:space="preserve"> gains three object groups: </w:t>
      </w:r>
      <w:r>
        <w:rPr>
          <w:rFonts w:ascii="Consolas" w:cs="Consolas" w:eastAsia="Consolas" w:hAnsi="Consolas"/>
          <w:b w:val="false"/>
          <w:bCs w:val="false"/>
          <w:i w:val="false"/>
          <w:iCs w:val="false"/>
          <w:sz w:val="19"/>
          <w:szCs w:val="19"/>
        </w:rPr>
        <w:t xml:space="preserve">CORE_OBJ</w:t>
      </w:r>
      <w:r>
        <w:rPr>
          <w:b w:val="false"/>
          <w:bCs w:val="false"/>
          <w:i w:val="false"/>
          <w:iCs w:val="false"/>
        </w:rPr>
        <w:t xml:space="preserve"> (L0), </w:t>
      </w:r>
      <w:r>
        <w:rPr>
          <w:rFonts w:ascii="Consolas" w:cs="Consolas" w:eastAsia="Consolas" w:hAnsi="Consolas"/>
          <w:b w:val="false"/>
          <w:bCs w:val="false"/>
          <w:i w:val="false"/>
          <w:iCs w:val="false"/>
          <w:sz w:val="19"/>
          <w:szCs w:val="19"/>
        </w:rPr>
        <w:t xml:space="preserve">BG_OBJ</w:t>
      </w:r>
      <w:r>
        <w:rPr>
          <w:b w:val="false"/>
          <w:bCs w:val="false"/>
          <w:i w:val="false"/>
          <w:iCs w:val="false"/>
        </w:rPr>
        <w:t xml:space="preserve"> (L1), and </w:t>
      </w:r>
      <w:r>
        <w:rPr>
          <w:rFonts w:ascii="Consolas" w:cs="Consolas" w:eastAsia="Consolas" w:hAnsi="Consolas"/>
          <w:b w:val="false"/>
          <w:bCs w:val="false"/>
          <w:i w:val="false"/>
          <w:iCs w:val="false"/>
          <w:sz w:val="19"/>
          <w:szCs w:val="19"/>
        </w:rPr>
        <w:t xml:space="preserve">AMPS_OBJ</w:t>
      </w:r>
      <w:r>
        <w:rPr>
          <w:b w:val="false"/>
          <w:bCs w:val="false"/>
          <w:i w:val="false"/>
          <w:iCs w:val="false"/>
        </w:rPr>
        <w:t xml:space="preserve"> (L2+L3). </w:t>
      </w:r>
      <w:r>
        <w:rPr>
          <w:rFonts w:ascii="Consolas" w:cs="Consolas" w:eastAsia="Consolas" w:hAnsi="Consolas"/>
          <w:b w:val="false"/>
          <w:bCs w:val="false"/>
          <w:i w:val="false"/>
          <w:iCs w:val="false"/>
          <w:sz w:val="19"/>
          <w:szCs w:val="19"/>
        </w:rPr>
        <w:t xml:space="preserve">mainlib.a</w:t>
      </w:r>
      <w:r>
        <w:rPr>
          <w:b w:val="false"/>
          <w:bCs w:val="false"/>
          <w:i w:val="false"/>
          <w:iCs w:val="false"/>
        </w:rPr>
        <w:t xml:space="preserve"> contains all three; the Stage-1 test binaries link only </w:t>
      </w:r>
      <w:r>
        <w:rPr>
          <w:rFonts w:ascii="Consolas" w:cs="Consolas" w:eastAsia="Consolas" w:hAnsi="Consolas"/>
          <w:b w:val="false"/>
          <w:bCs w:val="false"/>
          <w:i w:val="false"/>
          <w:iCs w:val="false"/>
          <w:sz w:val="19"/>
          <w:szCs w:val="19"/>
        </w:rPr>
        <w:t xml:space="preserve">CORE_OBJ</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BG_OBJ</w:t>
      </w:r>
      <w:r>
        <w:rPr>
          <w:b w:val="false"/>
          <w:bCs w:val="false"/>
          <w:i w:val="false"/>
          <w:iCs w:val="false"/>
        </w:rPr>
        <w:t xml:space="preserve">.</w:t>
      </w:r>
    </w:p>
    <w:p>
      <w:pPr>
        <w:pStyle w:val="ListParagraph"/>
        <w:numPr>
          <w:ilvl w:val="0"/>
          <w:numId w:val="3"/>
        </w:numPr>
        <w:spacing w:after="60" w:line="264"/>
      </w:pPr>
      <w:r>
        <w:rPr>
          <w:b w:val="false"/>
          <w:bCs w:val="false"/>
          <w:i w:val="false"/>
          <w:iCs w:val="false"/>
        </w:rPr>
        <w:t xml:space="preserve">A guard rule fails the build if </w:t>
      </w:r>
      <w:r>
        <w:rPr>
          <w:rFonts w:ascii="Consolas" w:cs="Consolas" w:eastAsia="Consolas" w:hAnsi="Consolas"/>
          <w:b w:val="false"/>
          <w:bCs w:val="false"/>
          <w:i w:val="false"/>
          <w:iCs w:val="false"/>
          <w:sz w:val="19"/>
          <w:szCs w:val="19"/>
        </w:rPr>
        <w:t xml:space="preserve">grep -l "pic\.h\|mpi\.h" core/*</w:t>
      </w:r>
      <w:r>
        <w:rPr>
          <w:b w:val="false"/>
          <w:bCs w:val="false"/>
          <w:i w:val="false"/>
          <w:iCs w:val="false"/>
        </w:rPr>
        <w:t xml:space="preserve"> returns anything. This is cheap and prevents the layering from silently eroding.</w:t>
      </w:r>
    </w:p>
    <w:p>
      <w:pPr>
        <w:pStyle w:val="ListParagraph"/>
        <w:numPr>
          <w:ilvl w:val="0"/>
          <w:numId w:val="3"/>
        </w:numPr>
        <w:spacing w:after="60" w:line="264"/>
      </w:pPr>
      <w:r>
        <w:rPr>
          <w:b w:val="false"/>
          <w:bCs w:val="false"/>
          <w:i w:val="false"/>
          <w:iCs w:val="false"/>
        </w:rPr>
        <w:t xml:space="preserve">srcSEP’s </w:t>
      </w:r>
      <w:r>
        <w:rPr>
          <w:rFonts w:ascii="Consolas" w:cs="Consolas" w:eastAsia="Consolas" w:hAnsi="Consolas"/>
          <w:b w:val="false"/>
          <w:bCs w:val="false"/>
          <w:i w:val="false"/>
          <w:iCs w:val="false"/>
          <w:sz w:val="19"/>
          <w:szCs w:val="19"/>
        </w:rPr>
        <w:t xml:space="preserve">util/</w:t>
      </w:r>
      <w:r>
        <w:rPr>
          <w:b w:val="false"/>
          <w:bCs w:val="false"/>
          <w:i w:val="false"/>
          <w:iCs w:val="false"/>
        </w:rPr>
        <w:t xml:space="preserve"> objects are compiled into a small </w:t>
      </w:r>
      <w:r>
        <w:rPr>
          <w:rFonts w:ascii="Consolas" w:cs="Consolas" w:eastAsia="Consolas" w:hAnsi="Consolas"/>
          <w:b w:val="false"/>
          <w:bCs w:val="false"/>
          <w:i w:val="false"/>
          <w:iCs w:val="false"/>
          <w:sz w:val="19"/>
          <w:szCs w:val="19"/>
        </w:rPr>
        <w:t xml:space="preserve">sep_util.a</w:t>
      </w:r>
      <w:r>
        <w:rPr>
          <w:b w:val="false"/>
          <w:bCs w:val="false"/>
          <w:i w:val="false"/>
          <w:iCs w:val="false"/>
        </w:rPr>
        <w:t xml:space="preserve"> that both applications link, so the shared kernels have exactly one binary definition.</w:t>
      </w:r>
    </w:p>
    <w:p>
      <w:pPr>
        <w:pStyle w:val="ListParagraph"/>
        <w:numPr>
          <w:ilvl w:val="0"/>
          <w:numId w:val="3"/>
        </w:numPr>
        <w:spacing w:after="60" w:line="264"/>
      </w:pPr>
      <w:r>
        <w:rPr>
          <w:b w:val="false"/>
          <w:bCs w:val="false"/>
          <w:i w:val="false"/>
          <w:iCs w:val="false"/>
        </w:rPr>
        <w:t xml:space="preserve">SWCME is compiled to </w:t>
      </w:r>
      <w:r>
        <w:rPr>
          <w:rFonts w:ascii="Consolas" w:cs="Consolas" w:eastAsia="Consolas" w:hAnsi="Consolas"/>
          <w:b w:val="false"/>
          <w:bCs w:val="false"/>
          <w:i w:val="false"/>
          <w:iCs w:val="false"/>
          <w:sz w:val="19"/>
          <w:szCs w:val="19"/>
        </w:rPr>
        <w:t xml:space="preserve">src/models/swcme/swcme.a</w:t>
      </w:r>
      <w:r>
        <w:rPr>
          <w:b w:val="false"/>
          <w:bCs w:val="false"/>
          <w:i w:val="false"/>
          <w:iCs w:val="false"/>
        </w:rPr>
        <w:t xml:space="preserve"> and registered in the top-level AMPS makefile alongside the other </w:t>
      </w:r>
      <w:r>
        <w:rPr>
          <w:rFonts w:ascii="Consolas" w:cs="Consolas" w:eastAsia="Consolas" w:hAnsi="Consolas"/>
          <w:b w:val="false"/>
          <w:bCs w:val="false"/>
          <w:i w:val="false"/>
          <w:iCs w:val="false"/>
          <w:sz w:val="19"/>
          <w:szCs w:val="19"/>
        </w:rPr>
        <w:t xml:space="preserve">src/models</w:t>
      </w:r>
      <w:r>
        <w:rPr>
          <w:b w:val="false"/>
          <w:bCs w:val="false"/>
          <w:i w:val="false"/>
          <w:iCs w:val="false"/>
        </w:rPr>
        <w:t xml:space="preserve"> libraries.</w:t>
      </w:r>
    </w:p>
    <w:p>
      <w:r>
        <w:br w:type="page"/>
      </w:r>
    </w:p>
    <w:p>
      <w:pPr>
        <w:pStyle w:val="Heading1"/>
        <w:spacing w:after="160" w:before="360"/>
      </w:pPr>
      <w:r>
        <w:t xml:space="preserve">4. Governing Equations and Numerical Formulation</w:t>
      </w:r>
    </w:p>
    <w:p>
      <w:pPr>
        <w:spacing w:after="120" w:line="264"/>
        <w:jc w:val="left"/>
      </w:pPr>
      <w:r>
        <w:t xml:space="preserve">srcSEP3D solves two transport equations with the same background, the same coefficient registry, the same time-step machinery, and the same random streams. They differ only in the phase-space dimension they resolve and in the stochastic operator they apply.</w:t>
      </w:r>
    </w:p>
    <w:p>
      <w:pPr>
        <w:pStyle w:val="Heading2"/>
        <w:spacing w:after="120" w:before="280"/>
      </w:pPr>
      <w:r>
        <w:t xml:space="preserve">4.1 Particle representation and state</w:t>
      </w:r>
    </w:p>
    <w:p>
      <w:pPr>
        <w:spacing w:after="120" w:line="264"/>
        <w:jc w:val="left"/>
      </w:pPr>
      <w:r>
        <w:t xml:space="preserve">A macroparticle carries the following state. The layout is requested from the AMPS particle buffer at initialisation so that unused fields cost nothing.</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700"/>
        <w:gridCol w:w="1300"/>
        <w:gridCol w:w="1500"/>
        <w:gridCol w:w="2300"/>
        <w:gridCol w:w="2280"/>
      </w:tblGrid>
      <w:tr>
        <w:trPr>
          <w:tblHeader/>
        </w:trPr>
        <w:tc>
          <w:tcPr>
            <w:tcW w:type="dxa" w:w="2700"/>
            <w:shd w:fill="1F3864" w:val="clear"/>
            <w:tcMar>
              <w:top w:type="dxa" w:w="60"/>
              <w:left w:type="dxa" w:w="100"/>
              <w:bottom w:type="dxa" w:w="60"/>
              <w:right w:type="dxa" w:w="100"/>
            </w:tcMar>
          </w:tcPr>
          <w:p>
            <w:pPr>
              <w:spacing w:after="0" w:line="240"/>
            </w:pPr>
            <w:r>
              <w:rPr>
                <w:b/>
                <w:bCs/>
                <w:color w:val="FFFFFF"/>
                <w:sz w:val="18"/>
                <w:szCs w:val="18"/>
              </w:rPr>
              <w:t xml:space="preserve">Quantity</w:t>
            </w:r>
          </w:p>
        </w:tc>
        <w:tc>
          <w:tcPr>
            <w:tcW w:type="dxa" w:w="1300"/>
            <w:shd w:fill="1F3864" w:val="clear"/>
            <w:tcMar>
              <w:top w:type="dxa" w:w="60"/>
              <w:left w:type="dxa" w:w="100"/>
              <w:bottom w:type="dxa" w:w="60"/>
              <w:right w:type="dxa" w:w="100"/>
            </w:tcMar>
          </w:tcPr>
          <w:p>
            <w:pPr>
              <w:spacing w:after="0" w:line="240"/>
            </w:pPr>
            <w:r>
              <w:rPr>
                <w:b/>
                <w:bCs/>
                <w:color w:val="FFFFFF"/>
                <w:sz w:val="18"/>
                <w:szCs w:val="18"/>
              </w:rPr>
              <w:t xml:space="preserve">Symbol</w:t>
            </w:r>
          </w:p>
        </w:tc>
        <w:tc>
          <w:tcPr>
            <w:tcW w:type="dxa" w:w="1500"/>
            <w:shd w:fill="1F3864" w:val="clear"/>
            <w:tcMar>
              <w:top w:type="dxa" w:w="60"/>
              <w:left w:type="dxa" w:w="100"/>
              <w:bottom w:type="dxa" w:w="60"/>
              <w:right w:type="dxa" w:w="100"/>
            </w:tcMar>
          </w:tcPr>
          <w:p>
            <w:pPr>
              <w:spacing w:after="0" w:line="240"/>
            </w:pPr>
            <w:r>
              <w:rPr>
                <w:b/>
                <w:bCs/>
                <w:color w:val="FFFFFF"/>
                <w:sz w:val="18"/>
                <w:szCs w:val="18"/>
              </w:rPr>
              <w:t xml:space="preserve">Units</w:t>
            </w:r>
          </w:p>
        </w:tc>
        <w:tc>
          <w:tcPr>
            <w:tcW w:type="dxa" w:w="2300"/>
            <w:shd w:fill="1F3864" w:val="clear"/>
            <w:tcMar>
              <w:top w:type="dxa" w:w="60"/>
              <w:left w:type="dxa" w:w="100"/>
              <w:bottom w:type="dxa" w:w="60"/>
              <w:right w:type="dxa" w:w="100"/>
            </w:tcMar>
          </w:tcPr>
          <w:p>
            <w:pPr>
              <w:spacing w:after="0" w:line="240"/>
            </w:pPr>
            <w:r>
              <w:rPr>
                <w:b/>
                <w:bCs/>
                <w:color w:val="FFFFFF"/>
                <w:sz w:val="18"/>
                <w:szCs w:val="18"/>
              </w:rPr>
              <w:t xml:space="preserve">Parker mover</w:t>
            </w:r>
          </w:p>
        </w:tc>
        <w:tc>
          <w:tcPr>
            <w:tcW w:type="dxa" w:w="2280"/>
            <w:shd w:fill="1F3864" w:val="clear"/>
            <w:tcMar>
              <w:top w:type="dxa" w:w="60"/>
              <w:left w:type="dxa" w:w="100"/>
              <w:bottom w:type="dxa" w:w="60"/>
              <w:right w:type="dxa" w:w="100"/>
            </w:tcMar>
          </w:tcPr>
          <w:p>
            <w:pPr>
              <w:spacing w:after="0" w:line="240"/>
            </w:pPr>
            <w:r>
              <w:rPr>
                <w:b/>
                <w:bCs/>
                <w:color w:val="FFFFFF"/>
                <w:sz w:val="18"/>
                <w:szCs w:val="18"/>
              </w:rPr>
              <w:t xml:space="preserve">Focused mover</w:t>
            </w:r>
          </w:p>
        </w:tc>
      </w:tr>
      <w:tr>
        <w:tc>
          <w:tcPr>
            <w:tcW w:type="dxa" w:w="2700"/>
            <w:tcMar>
              <w:top w:type="dxa" w:w="60"/>
              <w:left w:type="dxa" w:w="100"/>
              <w:bottom w:type="dxa" w:w="60"/>
              <w:right w:type="dxa" w:w="100"/>
            </w:tcMar>
          </w:tcPr>
          <w:p>
            <w:pPr>
              <w:spacing w:after="0" w:line="240"/>
            </w:pPr>
            <w:r>
              <w:rPr>
                <w:b w:val="false"/>
                <w:bCs w:val="false"/>
                <w:sz w:val="18"/>
                <w:szCs w:val="18"/>
              </w:rPr>
              <w:t xml:space="preserve">Guiding-centre position</w:t>
            </w:r>
          </w:p>
        </w:tc>
        <w:tc>
          <w:tcPr>
            <w:tcW w:type="dxa" w:w="1300"/>
            <w:tcMar>
              <w:top w:type="dxa" w:w="60"/>
              <w:left w:type="dxa" w:w="100"/>
              <w:bottom w:type="dxa" w:w="60"/>
              <w:right w:type="dxa" w:w="100"/>
            </w:tcMar>
          </w:tcPr>
          <w:p>
            <w:pPr>
              <w:spacing w:after="0" w:line="240"/>
            </w:pPr>
            <w:r>
              <w:rPr>
                <w:b w:val="false"/>
                <w:bCs w:val="false"/>
                <w:sz w:val="18"/>
                <w:szCs w:val="18"/>
              </w:rPr>
              <w:t xml:space="preserve">x</w:t>
            </w:r>
          </w:p>
        </w:tc>
        <w:tc>
          <w:tcPr>
            <w:tcW w:type="dxa" w:w="1500"/>
            <w:tcMar>
              <w:top w:type="dxa" w:w="60"/>
              <w:left w:type="dxa" w:w="100"/>
              <w:bottom w:type="dxa" w:w="60"/>
              <w:right w:type="dxa" w:w="100"/>
            </w:tcMar>
          </w:tcPr>
          <w:p>
            <w:pPr>
              <w:spacing w:after="0" w:line="240"/>
            </w:pPr>
            <w:r>
              <w:rPr>
                <w:b w:val="false"/>
                <w:bCs w:val="false"/>
                <w:sz w:val="18"/>
                <w:szCs w:val="18"/>
              </w:rPr>
              <w:t xml:space="preserve">m</w:t>
            </w:r>
          </w:p>
        </w:tc>
        <w:tc>
          <w:tcPr>
            <w:tcW w:type="dxa" w:w="2300"/>
            <w:tcMar>
              <w:top w:type="dxa" w:w="60"/>
              <w:left w:type="dxa" w:w="100"/>
              <w:bottom w:type="dxa" w:w="60"/>
              <w:right w:type="dxa" w:w="100"/>
            </w:tcMar>
          </w:tcPr>
          <w:p>
            <w:pPr>
              <w:spacing w:after="0" w:line="240"/>
            </w:pPr>
            <w:r>
              <w:rPr>
                <w:b w:val="false"/>
                <w:bCs w:val="false"/>
                <w:sz w:val="18"/>
                <w:szCs w:val="18"/>
              </w:rPr>
              <w:t xml:space="preserve">required</w:t>
            </w:r>
          </w:p>
        </w:tc>
        <w:tc>
          <w:tcPr>
            <w:tcW w:type="dxa" w:w="2280"/>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Plasma-frame momentum magnitude</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p</w:t>
            </w:r>
          </w:p>
        </w:tc>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kg m s⁻¹</w:t>
            </w:r>
          </w:p>
        </w:tc>
        <w:tc>
          <w:tcPr>
            <w:tcW w:type="dxa" w:w="2300"/>
            <w:shd w:fill="EEF1F6" w:val="clear"/>
            <w:tcMar>
              <w:top w:type="dxa" w:w="60"/>
              <w:left w:type="dxa" w:w="100"/>
              <w:bottom w:type="dxa" w:w="60"/>
              <w:right w:type="dxa" w:w="100"/>
            </w:tcMar>
          </w:tcPr>
          <w:p>
            <w:pPr>
              <w:spacing w:after="0" w:line="240"/>
            </w:pPr>
            <w:r>
              <w:rPr>
                <w:b w:val="false"/>
                <w:bCs w:val="false"/>
                <w:sz w:val="18"/>
                <w:szCs w:val="18"/>
              </w:rPr>
              <w:t xml:space="preserve">required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2700"/>
            <w:tcMar>
              <w:top w:type="dxa" w:w="60"/>
              <w:left w:type="dxa" w:w="100"/>
              <w:bottom w:type="dxa" w:w="60"/>
              <w:right w:type="dxa" w:w="100"/>
            </w:tcMar>
          </w:tcPr>
          <w:p>
            <w:pPr>
              <w:spacing w:after="0" w:line="240"/>
            </w:pPr>
            <w:r>
              <w:rPr>
                <w:b w:val="false"/>
                <w:bCs w:val="false"/>
                <w:sz w:val="18"/>
                <w:szCs w:val="18"/>
              </w:rPr>
              <w:t xml:space="preserve">Pitch-angle cosine</w:t>
            </w:r>
          </w:p>
        </w:tc>
        <w:tc>
          <w:tcPr>
            <w:tcW w:type="dxa" w:w="1300"/>
            <w:tcMar>
              <w:top w:type="dxa" w:w="60"/>
              <w:left w:type="dxa" w:w="100"/>
              <w:bottom w:type="dxa" w:w="60"/>
              <w:right w:type="dxa" w:w="100"/>
            </w:tcMar>
          </w:tcPr>
          <w:p>
            <w:pPr>
              <w:spacing w:after="0" w:line="240"/>
            </w:pPr>
            <w:r>
              <w:rPr>
                <w:b w:val="false"/>
                <w:bCs w:val="false"/>
                <w:sz w:val="18"/>
                <w:szCs w:val="18"/>
              </w:rPr>
              <w:t xml:space="preserve">μ</w:t>
            </w:r>
          </w:p>
        </w:tc>
        <w:tc>
          <w:tcPr>
            <w:tcW w:type="dxa" w:w="1500"/>
            <w:tcMar>
              <w:top w:type="dxa" w:w="60"/>
              <w:left w:type="dxa" w:w="100"/>
              <w:bottom w:type="dxa" w:w="60"/>
              <w:right w:type="dxa" w:w="100"/>
            </w:tcMar>
          </w:tcPr>
          <w:p>
            <w:pPr>
              <w:spacing w:after="0" w:line="240"/>
            </w:pPr>
            <w:r>
              <w:rPr>
                <w:b w:val="false"/>
                <w:bCs w:val="false"/>
                <w:sz w:val="18"/>
                <w:szCs w:val="18"/>
              </w:rPr>
              <w:t xml:space="preserve">—</w:t>
            </w:r>
          </w:p>
        </w:tc>
        <w:tc>
          <w:tcPr>
            <w:tcW w:type="dxa" w:w="2300"/>
            <w:tcMar>
              <w:top w:type="dxa" w:w="60"/>
              <w:left w:type="dxa" w:w="100"/>
              <w:bottom w:type="dxa" w:w="60"/>
              <w:right w:type="dxa" w:w="100"/>
            </w:tcMar>
          </w:tcPr>
          <w:p>
            <w:pPr>
              <w:spacing w:after="0" w:line="240"/>
            </w:pPr>
            <w:r>
              <w:rPr>
                <w:b w:val="false"/>
                <w:bCs w:val="false"/>
                <w:sz w:val="18"/>
                <w:szCs w:val="18"/>
              </w:rPr>
              <w:t xml:space="preserve">not used</w:t>
            </w:r>
          </w:p>
        </w:tc>
        <w:tc>
          <w:tcPr>
            <w:tcW w:type="dxa" w:w="2280"/>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Statistical weight correction</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w</w:t>
            </w:r>
          </w:p>
        </w:tc>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w:t>
            </w:r>
          </w:p>
        </w:tc>
        <w:tc>
          <w:tcPr>
            <w:tcW w:type="dxa" w:w="2300"/>
            <w:shd w:fill="EEF1F6" w:val="clear"/>
            <w:tcMar>
              <w:top w:type="dxa" w:w="60"/>
              <w:left w:type="dxa" w:w="100"/>
              <w:bottom w:type="dxa" w:w="60"/>
              <w:right w:type="dxa" w:w="100"/>
            </w:tcMar>
          </w:tcPr>
          <w:p>
            <w:pPr>
              <w:spacing w:after="0" w:line="240"/>
            </w:pPr>
            <w:r>
              <w:rPr>
                <w:b w:val="false"/>
                <w:bCs w:val="false"/>
                <w:sz w:val="18"/>
                <w:szCs w:val="18"/>
              </w:rPr>
              <w:t xml:space="preserve">required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2700"/>
            <w:tcMar>
              <w:top w:type="dxa" w:w="60"/>
              <w:left w:type="dxa" w:w="100"/>
              <w:bottom w:type="dxa" w:w="60"/>
              <w:right w:type="dxa" w:w="100"/>
            </w:tcMar>
          </w:tcPr>
          <w:p>
            <w:pPr>
              <w:spacing w:after="0" w:line="240"/>
            </w:pPr>
            <w:r>
              <w:rPr>
                <w:b w:val="false"/>
                <w:bCs w:val="false"/>
                <w:sz w:val="18"/>
                <w:szCs w:val="18"/>
              </w:rPr>
              <w:t xml:space="preserve">Species index</w:t>
            </w:r>
          </w:p>
        </w:tc>
        <w:tc>
          <w:tcPr>
            <w:tcW w:type="dxa" w:w="1300"/>
            <w:tcMar>
              <w:top w:type="dxa" w:w="60"/>
              <w:left w:type="dxa" w:w="100"/>
              <w:bottom w:type="dxa" w:w="60"/>
              <w:right w:type="dxa" w:w="100"/>
            </w:tcMar>
          </w:tcPr>
          <w:p>
            <w:pPr>
              <w:spacing w:after="0" w:line="240"/>
            </w:pPr>
            <w:r>
              <w:rPr>
                <w:b w:val="false"/>
                <w:bCs w:val="false"/>
                <w:sz w:val="18"/>
                <w:szCs w:val="18"/>
              </w:rPr>
              <w:t xml:space="preserve">s</w:t>
            </w:r>
          </w:p>
        </w:tc>
        <w:tc>
          <w:tcPr>
            <w:tcW w:type="dxa" w:w="1500"/>
            <w:tcMar>
              <w:top w:type="dxa" w:w="60"/>
              <w:left w:type="dxa" w:w="100"/>
              <w:bottom w:type="dxa" w:w="60"/>
              <w:right w:type="dxa" w:w="100"/>
            </w:tcMar>
          </w:tcPr>
          <w:p>
            <w:pPr>
              <w:spacing w:after="0" w:line="240"/>
            </w:pPr>
            <w:r>
              <w:rPr>
                <w:b w:val="false"/>
                <w:bCs w:val="false"/>
                <w:sz w:val="18"/>
                <w:szCs w:val="18"/>
              </w:rPr>
              <w:t xml:space="preserve">—</w:t>
            </w:r>
          </w:p>
        </w:tc>
        <w:tc>
          <w:tcPr>
            <w:tcW w:type="dxa" w:w="2300"/>
            <w:tcMar>
              <w:top w:type="dxa" w:w="60"/>
              <w:left w:type="dxa" w:w="100"/>
              <w:bottom w:type="dxa" w:w="60"/>
              <w:right w:type="dxa" w:w="100"/>
            </w:tcMar>
          </w:tcPr>
          <w:p>
            <w:pPr>
              <w:spacing w:after="0" w:line="240"/>
            </w:pPr>
            <w:r>
              <w:rPr>
                <w:b w:val="false"/>
                <w:bCs w:val="false"/>
                <w:sz w:val="18"/>
                <w:szCs w:val="18"/>
              </w:rPr>
              <w:t xml:space="preserve">required</w:t>
            </w:r>
          </w:p>
        </w:tc>
        <w:tc>
          <w:tcPr>
            <w:tcW w:type="dxa" w:w="2280"/>
            <w:tcMar>
              <w:top w:type="dxa" w:w="60"/>
              <w:left w:type="dxa" w:w="100"/>
              <w:bottom w:type="dxa" w:w="60"/>
              <w:right w:type="dxa" w:w="100"/>
            </w:tcMar>
          </w:tcPr>
          <w:p>
            <w:pPr>
              <w:spacing w:after="0" w:line="240"/>
            </w:pPr>
            <w:r>
              <w:rPr>
                <w:b w:val="false"/>
                <w:bCs w:val="false"/>
                <w:sz w:val="18"/>
                <w:szCs w:val="18"/>
              </w:rPr>
              <w:t xml:space="preserve">required</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Stable particle identity</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id</w:t>
            </w:r>
          </w:p>
        </w:tc>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w:t>
            </w:r>
          </w:p>
        </w:tc>
        <w:tc>
          <w:tcPr>
            <w:tcW w:type="dxa" w:w="2300"/>
            <w:shd w:fill="EEF1F6" w:val="clear"/>
            <w:tcMar>
              <w:top w:type="dxa" w:w="60"/>
              <w:left w:type="dxa" w:w="100"/>
              <w:bottom w:type="dxa" w:w="60"/>
              <w:right w:type="dxa" w:w="100"/>
            </w:tcMar>
          </w:tcPr>
          <w:p>
            <w:pPr>
              <w:spacing w:after="0" w:line="240"/>
            </w:pPr>
            <w:r>
              <w:rPr>
                <w:b w:val="false"/>
                <w:bCs w:val="false"/>
                <w:sz w:val="18"/>
                <w:szCs w:val="18"/>
              </w:rPr>
              <w:t xml:space="preserve">required (RNG key)</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required (RNG key)</w:t>
            </w:r>
          </w:p>
        </w:tc>
      </w:tr>
      <w:tr>
        <w:tc>
          <w:tcPr>
            <w:tcW w:type="dxa" w:w="2700"/>
            <w:tcMar>
              <w:top w:type="dxa" w:w="60"/>
              <w:left w:type="dxa" w:w="100"/>
              <w:bottom w:type="dxa" w:w="60"/>
              <w:right w:type="dxa" w:w="100"/>
            </w:tcMar>
          </w:tcPr>
          <w:p>
            <w:pPr>
              <w:spacing w:after="0" w:line="240"/>
            </w:pPr>
            <w:r>
              <w:rPr>
                <w:b w:val="false"/>
                <w:bCs w:val="false"/>
                <w:sz w:val="18"/>
                <w:szCs w:val="18"/>
              </w:rPr>
              <w:t xml:space="preserve">Injection time / age</w:t>
            </w:r>
          </w:p>
        </w:tc>
        <w:tc>
          <w:tcPr>
            <w:tcW w:type="dxa" w:w="1300"/>
            <w:tcMar>
              <w:top w:type="dxa" w:w="60"/>
              <w:left w:type="dxa" w:w="100"/>
              <w:bottom w:type="dxa" w:w="60"/>
              <w:right w:type="dxa" w:w="100"/>
            </w:tcMar>
          </w:tcPr>
          <w:p>
            <w:pPr>
              <w:spacing w:after="0" w:line="240"/>
            </w:pPr>
            <w:r>
              <w:rPr>
                <w:b w:val="false"/>
                <w:bCs w:val="false"/>
                <w:sz w:val="18"/>
                <w:szCs w:val="18"/>
              </w:rPr>
              <w:t xml:space="preserve">t₀</w:t>
            </w:r>
          </w:p>
        </w:tc>
        <w:tc>
          <w:tcPr>
            <w:tcW w:type="dxa" w:w="1500"/>
            <w:tcMar>
              <w:top w:type="dxa" w:w="60"/>
              <w:left w:type="dxa" w:w="100"/>
              <w:bottom w:type="dxa" w:w="60"/>
              <w:right w:type="dxa" w:w="100"/>
            </w:tcMar>
          </w:tcPr>
          <w:p>
            <w:pPr>
              <w:spacing w:after="0" w:line="240"/>
            </w:pPr>
            <w:r>
              <w:rPr>
                <w:b w:val="false"/>
                <w:bCs w:val="false"/>
                <w:sz w:val="18"/>
                <w:szCs w:val="18"/>
              </w:rPr>
              <w:t xml:space="preserve">s</w:t>
            </w:r>
          </w:p>
        </w:tc>
        <w:tc>
          <w:tcPr>
            <w:tcW w:type="dxa" w:w="2300"/>
            <w:tcMar>
              <w:top w:type="dxa" w:w="60"/>
              <w:left w:type="dxa" w:w="100"/>
              <w:bottom w:type="dxa" w:w="60"/>
              <w:right w:type="dxa" w:w="100"/>
            </w:tcMar>
          </w:tcPr>
          <w:p>
            <w:pPr>
              <w:spacing w:after="0" w:line="240"/>
            </w:pPr>
            <w:r>
              <w:rPr>
                <w:b w:val="false"/>
                <w:bCs w:val="false"/>
                <w:sz w:val="18"/>
                <w:szCs w:val="18"/>
              </w:rPr>
              <w:t xml:space="preserve">diagnostic</w:t>
            </w:r>
          </w:p>
        </w:tc>
        <w:tc>
          <w:tcPr>
            <w:tcW w:type="dxa" w:w="2280"/>
            <w:tcMar>
              <w:top w:type="dxa" w:w="60"/>
              <w:left w:type="dxa" w:w="100"/>
              <w:bottom w:type="dxa" w:w="60"/>
              <w:right w:type="dxa" w:w="100"/>
            </w:tcMar>
          </w:tcPr>
          <w:p>
            <w:pPr>
              <w:spacing w:after="0" w:line="240"/>
            </w:pPr>
            <w:r>
              <w:rPr>
                <w:b w:val="false"/>
                <w:bCs w:val="false"/>
                <w:sz w:val="18"/>
                <w:szCs w:val="18"/>
              </w:rPr>
              <w:t xml:space="preserve">diagnostic</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Reserved: gyrophase</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φ</w:t>
            </w:r>
          </w:p>
        </w:tc>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rad</w:t>
            </w:r>
          </w:p>
        </w:tc>
        <w:tc>
          <w:tcPr>
            <w:tcW w:type="dxa" w:w="2300"/>
            <w:shd w:fill="EEF1F6" w:val="clear"/>
            <w:tcMar>
              <w:top w:type="dxa" w:w="60"/>
              <w:left w:type="dxa" w:w="100"/>
              <w:bottom w:type="dxa" w:w="60"/>
              <w:right w:type="dxa" w:w="100"/>
            </w:tcMar>
          </w:tcPr>
          <w:p>
            <w:pPr>
              <w:spacing w:after="0" w:line="240"/>
            </w:pPr>
            <w:r>
              <w:rPr>
                <w:b w:val="false"/>
                <w:bCs w:val="false"/>
                <w:sz w:val="18"/>
                <w:szCs w:val="18"/>
              </w:rPr>
              <w:t xml:space="preserve">reserved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reserved</w:t>
            </w:r>
          </w:p>
        </w:tc>
      </w:tr>
      <w:tr>
        <w:tc>
          <w:tcPr>
            <w:tcW w:type="dxa" w:w="2700"/>
            <w:tcMar>
              <w:top w:type="dxa" w:w="60"/>
              <w:left w:type="dxa" w:w="100"/>
              <w:bottom w:type="dxa" w:w="60"/>
              <w:right w:type="dxa" w:w="100"/>
            </w:tcMar>
          </w:tcPr>
          <w:p>
            <w:pPr>
              <w:spacing w:after="0" w:line="240"/>
            </w:pPr>
            <w:r>
              <w:rPr>
                <w:b w:val="false"/>
                <w:bCs w:val="false"/>
                <w:sz w:val="18"/>
                <w:szCs w:val="18"/>
              </w:rPr>
              <w:t xml:space="preserve">Reserved: field-line tag</w:t>
            </w:r>
          </w:p>
        </w:tc>
        <w:tc>
          <w:tcPr>
            <w:tcW w:type="dxa" w:w="1300"/>
            <w:tcMar>
              <w:top w:type="dxa" w:w="60"/>
              <w:left w:type="dxa" w:w="100"/>
              <w:bottom w:type="dxa" w:w="60"/>
              <w:right w:type="dxa" w:w="100"/>
            </w:tcMar>
          </w:tcPr>
          <w:p>
            <w:pPr>
              <w:spacing w:after="0" w:line="240"/>
            </w:pPr>
            <w:r>
              <w:rPr>
                <w:b w:val="false"/>
                <w:bCs w:val="false"/>
                <w:sz w:val="18"/>
                <w:szCs w:val="18"/>
              </w:rPr>
              <w:t xml:space="preserve">ℓ</w:t>
            </w:r>
          </w:p>
        </w:tc>
        <w:tc>
          <w:tcPr>
            <w:tcW w:type="dxa" w:w="1500"/>
            <w:tcMar>
              <w:top w:type="dxa" w:w="60"/>
              <w:left w:type="dxa" w:w="100"/>
              <w:bottom w:type="dxa" w:w="60"/>
              <w:right w:type="dxa" w:w="100"/>
            </w:tcMar>
          </w:tcPr>
          <w:p>
            <w:pPr>
              <w:spacing w:after="0" w:line="240"/>
            </w:pPr>
            <w:r>
              <w:rPr>
                <w:b w:val="false"/>
                <w:bCs w:val="false"/>
                <w:sz w:val="18"/>
                <w:szCs w:val="18"/>
              </w:rPr>
              <w:t xml:space="preserve">—</w:t>
            </w:r>
          </w:p>
        </w:tc>
        <w:tc>
          <w:tcPr>
            <w:tcW w:type="dxa" w:w="2300"/>
            <w:tcMar>
              <w:top w:type="dxa" w:w="60"/>
              <w:left w:type="dxa" w:w="100"/>
              <w:bottom w:type="dxa" w:w="60"/>
              <w:right w:type="dxa" w:w="100"/>
            </w:tcMar>
          </w:tcPr>
          <w:p>
            <w:pPr>
              <w:spacing w:after="0" w:line="240"/>
            </w:pPr>
            <w:r>
              <w:rPr>
                <w:b w:val="false"/>
                <w:bCs w:val="false"/>
                <w:sz w:val="18"/>
                <w:szCs w:val="18"/>
              </w:rPr>
              <w:t xml:space="preserve">reserved</w:t>
            </w:r>
          </w:p>
        </w:tc>
        <w:tc>
          <w:tcPr>
            <w:tcW w:type="dxa" w:w="2280"/>
            <w:tcMar>
              <w:top w:type="dxa" w:w="60"/>
              <w:left w:type="dxa" w:w="100"/>
              <w:bottom w:type="dxa" w:w="60"/>
              <w:right w:type="dxa" w:w="100"/>
            </w:tcMar>
          </w:tcPr>
          <w:p>
            <w:pPr>
              <w:spacing w:after="0" w:line="240"/>
            </w:pPr>
            <w:r>
              <w:rPr>
                <w:b w:val="false"/>
                <w:bCs w:val="false"/>
                <w:sz w:val="18"/>
                <w:szCs w:val="18"/>
              </w:rPr>
              <w:t xml:space="preserve">reserved</w:t>
            </w:r>
          </w:p>
        </w:tc>
      </w:tr>
    </w:tbl>
    <w:p>
      <w:pPr>
        <w:spacing w:after="140"/>
      </w:pPr>
    </w:p>
    <w:p>
      <w:pPr>
        <w:spacing w:after="120" w:line="264"/>
        <w:jc w:val="left"/>
      </w:pPr>
      <w:r>
        <w:rPr>
          <w:b w:val="false"/>
          <w:bCs w:val="false"/>
          <w:i w:val="false"/>
          <w:iCs w:val="false"/>
        </w:rPr>
        <w:t xml:space="preserve">Momentum is stored rather than velocity because both equations are naturally written in the plasma frame and because the cooling operator is exact in p. Conversions use srcSEP’s existing relativistic helpers (</w:t>
      </w:r>
      <w:r>
        <w:rPr>
          <w:rFonts w:ascii="Consolas" w:cs="Consolas" w:eastAsia="Consolas" w:hAnsi="Consolas"/>
          <w:b w:val="false"/>
          <w:bCs w:val="false"/>
          <w:i w:val="false"/>
          <w:iCs w:val="false"/>
          <w:sz w:val="19"/>
          <w:szCs w:val="19"/>
        </w:rPr>
        <w:t xml:space="preserve">MomentumFromSpeed</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SpeedFromMomentum</w:t>
      </w:r>
      <w:r>
        <w:rPr>
          <w:b w:val="false"/>
          <w:bCs w:val="false"/>
          <w:i w:val="false"/>
          <w:iCs w:val="false"/>
        </w:rPr>
        <w:t xml:space="preserve">), which require 0 ≤ v &lt; c and never clip an invalid state.</w:t>
      </w:r>
    </w:p>
    <w:p>
      <w:pPr>
        <w:pStyle w:val="Heading2"/>
        <w:spacing w:after="120" w:before="280"/>
      </w:pPr>
      <w:r>
        <w:t xml:space="preserve">4.2 The Parker transport equation</w:t>
      </w:r>
    </w:p>
    <w:p>
      <w:pPr>
        <w:spacing w:after="120" w:line="264"/>
        <w:jc w:val="left"/>
      </w:pPr>
      <w:r>
        <w:t xml:space="preserve">The isotropic distribution function f(x, p, t) obeys</w:t>
      </w:r>
    </w:p>
    <w:p>
      <w:pPr>
        <w:spacing w:after="140" w:before="80"/>
        <w:ind w:left="400"/>
      </w:pPr>
      <w:r>
        <w:rPr>
          <w:rFonts w:ascii="Cambria" w:cs="Cambria" w:eastAsia="Cambria" w:hAnsi="Cambria"/>
          <w:i/>
          <w:iCs/>
          <w:sz w:val="21"/>
          <w:szCs w:val="21"/>
        </w:rPr>
        <w:t xml:space="preserve">∂f/∂t + (U + v_d)·∇f  =  ∇·(κ·∇f) + (1/3)(∇·U) p ∂f/∂p + Q</w:t>
      </w:r>
    </w:p>
    <w:p>
      <w:pPr>
        <w:spacing w:after="120" w:line="264"/>
        <w:jc w:val="left"/>
      </w:pPr>
      <w:r>
        <w:t xml:space="preserve">with κ the spatial diffusion tensor and v_d the drift velocity. The equivalent Itô stochastic differential system, which is what the mover integrates, is</w:t>
      </w:r>
    </w:p>
    <w:p>
      <w:pPr>
        <w:spacing w:after="40" w:before="80"/>
        <w:ind w:left="400"/>
      </w:pPr>
      <w:r>
        <w:rPr>
          <w:rFonts w:ascii="Cambria" w:cs="Cambria" w:eastAsia="Cambria" w:hAnsi="Cambria"/>
          <w:i/>
          <w:iCs/>
          <w:sz w:val="21"/>
          <w:szCs w:val="21"/>
        </w:rPr>
        <w:t xml:space="preserve">dx = [ U + v_d + (∇·κ) ] dt + √(2 κ) · dW</w:t>
      </w:r>
    </w:p>
    <w:p>
      <w:pPr>
        <w:spacing w:after="140" w:before="0"/>
        <w:ind w:left="400"/>
      </w:pPr>
      <w:r>
        <w:rPr>
          <w:rFonts w:ascii="Cambria" w:cs="Cambria" w:eastAsia="Cambria" w:hAnsi="Cambria"/>
          <w:i/>
          <w:iCs/>
          <w:sz w:val="21"/>
          <w:szCs w:val="21"/>
        </w:rPr>
        <w:t xml:space="preserve">dp = −(p/3)(∇·U) dt</w:t>
      </w:r>
    </w:p>
    <w:p>
      <w:pPr>
        <w:spacing w:after="120" w:line="264"/>
        <w:jc w:val="left"/>
      </w:pPr>
      <w:r>
        <w:rPr>
          <w:b w:val="false"/>
          <w:bCs w:val="false"/>
          <w:i w:val="false"/>
          <w:iCs w:val="false"/>
        </w:rPr>
        <w:t xml:space="preserve">Here √(2κ)·dW must be understood as the decomposition of the tensor into the local field-aligned orthonormal triad (b̂, ê₁, ê₂), where b̂ = B/|B|. With κ = κ∥ b̂b̂ + κ⊥ (I − b̂b̂) + κ_A ε·b̂, the noise term becomes three independent scalar draws:</w:t>
      </w:r>
    </w:p>
    <w:p>
      <w:pPr>
        <w:spacing w:after="140" w:before="80"/>
        <w:ind w:left="400"/>
      </w:pPr>
      <w:r>
        <w:rPr>
          <w:rFonts w:ascii="Cambria" w:cs="Cambria" w:eastAsia="Cambria" w:hAnsi="Cambria"/>
          <w:i/>
          <w:iCs/>
          <w:sz w:val="21"/>
          <w:szCs w:val="21"/>
        </w:rPr>
        <w:t xml:space="preserve">dx_stoch = b̂ √(2 κ∥ dt) ξ₀ + ê₁ √(2 κ⊥ dt) ξ₁ + ê₂ √(2 κ⊥ dt) ξ₂,   ξ_i ~ N(0,1)</w:t>
      </w:r>
    </w:p>
    <w:p>
      <w:pPr>
        <w:spacing w:after="120" w:line="264"/>
        <w:jc w:val="left"/>
      </w:pPr>
      <w:r>
        <w:rPr>
          <w:b w:val="false"/>
          <w:bCs w:val="false"/>
          <w:i w:val="false"/>
          <w:iCs w:val="false"/>
        </w:rPr>
        <w:t xml:space="preserve">The Itô drift correction ∇·κ is the term most often implemented incorrectly, and it is the term that a uniform-density equilibrium test will expose immediately. For the release-1 case κ⊥ = 0, κ_A = 0, it has the closed form</w:t>
      </w:r>
    </w:p>
    <w:p>
      <w:pPr>
        <w:spacing w:after="40" w:before="80"/>
        <w:ind w:left="400"/>
      </w:pPr>
      <w:r>
        <w:rPr>
          <w:rFonts w:ascii="Cambria" w:cs="Cambria" w:eastAsia="Cambria" w:hAnsi="Cambria"/>
          <w:i/>
          <w:iCs/>
          <w:sz w:val="21"/>
          <w:szCs w:val="21"/>
        </w:rPr>
        <w:t xml:space="preserve">∇·κ = ∇·(κ∥ b̂ b̂) = b̂ [ ∂∥κ∥ + κ∥ (∇·b̂) ] + κ∥ (b̂·∇) b̂</w:t>
      </w:r>
    </w:p>
    <w:p>
      <w:pPr>
        <w:spacing w:after="140" w:before="0"/>
        <w:ind w:left="400"/>
      </w:pPr>
      <w:r>
        <w:rPr>
          <w:rFonts w:ascii="Cambria" w:cs="Cambria" w:eastAsia="Cambria" w:hAnsi="Cambria"/>
          <w:i/>
          <w:iCs/>
          <w:sz w:val="21"/>
          <w:szCs w:val="21"/>
        </w:rPr>
        <w:t xml:space="preserve">     with ∂∥κ∥ = b̂·∇κ∥,   ∇·b̂ = −b̂·∇ ln|B|</w:t>
      </w:r>
    </w:p>
    <w:p>
      <w:pPr>
        <w:spacing w:after="120" w:line="264"/>
        <w:jc w:val="left"/>
      </w:pPr>
      <w:r>
        <w:rPr>
          <w:b w:val="false"/>
          <w:bCs w:val="false"/>
          <w:i w:val="false"/>
          <w:iCs w:val="false"/>
        </w:rPr>
        <w:t xml:space="preserve">Both ∇·b̂ and (b̂·∇)b̂ follow from the stored magnetic-field gradient tensor ∂B_i/∂x_j. AMPS already reserves an offset for it (</w:t>
      </w:r>
      <w:r>
        <w:rPr>
          <w:rFonts w:ascii="Consolas" w:cs="Consolas" w:eastAsia="Consolas" w:hAnsi="Consolas"/>
          <w:b w:val="false"/>
          <w:bCs w:val="false"/>
          <w:i w:val="false"/>
          <w:iCs w:val="false"/>
          <w:sz w:val="19"/>
          <w:szCs w:val="19"/>
        </w:rPr>
        <w:t xml:space="preserve">PIC::CPLR::DATAFILE::Offset::MagneticFieldGradient</w:t>
      </w:r>
      <w:r>
        <w:rPr>
          <w:b w:val="false"/>
          <w:bCs w:val="false"/>
          <w:i w:val="false"/>
          <w:iCs w:val="false"/>
        </w:rPr>
        <w:t xml:space="preserve">) and already provides </w:t>
      </w:r>
      <w:r>
        <w:rPr>
          <w:rFonts w:ascii="Consolas" w:cs="Consolas" w:eastAsia="Consolas" w:hAnsi="Consolas"/>
          <w:b w:val="false"/>
          <w:bCs w:val="false"/>
          <w:i w:val="false"/>
          <w:iCs w:val="false"/>
          <w:sz w:val="19"/>
          <w:szCs w:val="19"/>
        </w:rPr>
        <w:t xml:space="preserve">GenerateMagneticFieldGradient(node)</w:t>
      </w:r>
      <w:r>
        <w:rPr>
          <w:b w:val="false"/>
          <w:bCs w:val="false"/>
          <w:i w:val="false"/>
          <w:iCs w:val="false"/>
        </w:rPr>
        <w:t xml:space="preserve"> to fill it by finite differences over the cell-centred stencil. srcSEP3D activates that offset and adds an analytic override when the Parker provider is selected, so the drift term can be verified against an exact reference.</w:t>
      </w:r>
    </w:p>
    <w:p>
      <w:pPr>
        <w:spacing w:after="120" w:line="264"/>
        <w:jc w:val="left"/>
      </w:pPr>
      <w:r>
        <w:rPr>
          <w:b w:val="false"/>
          <w:bCs w:val="false"/>
          <w:i w:val="false"/>
          <w:iCs w:val="false"/>
        </w:rPr>
        <w:t xml:space="preserve">Drifts v_d (gradient, curvature, and current-sheet) are </w:t>
      </w:r>
      <w:r>
        <w:rPr>
          <w:b/>
          <w:bCs/>
          <w:i w:val="false"/>
          <w:iCs w:val="false"/>
        </w:rPr>
        <w:t xml:space="preserve">not</w:t>
      </w:r>
      <w:r>
        <w:rPr>
          <w:b w:val="false"/>
          <w:bCs w:val="false"/>
          <w:i w:val="false"/>
          <w:iCs w:val="false"/>
        </w:rPr>
        <w:t xml:space="preserve"> enabled in release 1. The term is present in the equation and in the core signature with a provider that returns zero, and the first non-zero implementation is scheduled as a follow-on work package. This mirrors how the perpendicular diffusion slot is handled and keeps the two extensions independent.</w:t>
      </w:r>
    </w:p>
    <w:p>
      <w:pPr>
        <w:pStyle w:val="Heading2"/>
        <w:spacing w:after="120" w:before="280"/>
      </w:pPr>
      <w:r>
        <w:t xml:space="preserve">4.3 The focused transport equation</w:t>
      </w:r>
    </w:p>
    <w:p>
      <w:pPr>
        <w:spacing w:after="120" w:line="264"/>
        <w:jc w:val="left"/>
      </w:pPr>
      <w:r>
        <w:t xml:space="preserve">The gyrotropic distribution f(x, p, μ, t) obeys the Skilling/Ruffolo focused-transport equation. In the mixed frame (position in the observer frame, momentum and pitch angle in the plasma frame):</w:t>
      </w:r>
    </w:p>
    <w:p>
      <w:pPr>
        <w:spacing w:after="40" w:before="80"/>
        <w:ind w:left="400"/>
      </w:pPr>
      <w:r>
        <w:rPr>
          <w:rFonts w:ascii="Cambria" w:cs="Cambria" w:eastAsia="Cambria" w:hAnsi="Cambria"/>
          <w:i/>
          <w:iCs/>
          <w:sz w:val="21"/>
          <w:szCs w:val="21"/>
        </w:rPr>
        <w:t xml:space="preserve">∂f/∂t + (μ v b̂ + U)·∇f + (dμ/dt) ∂f/∂μ + (dp/dt) ∂f/∂p</w:t>
      </w:r>
    </w:p>
    <w:p>
      <w:pPr>
        <w:spacing w:after="140" w:before="0"/>
        <w:ind w:left="400"/>
      </w:pPr>
      <w:r>
        <w:rPr>
          <w:rFonts w:ascii="Cambria" w:cs="Cambria" w:eastAsia="Cambria" w:hAnsi="Cambria"/>
          <w:i/>
          <w:iCs/>
          <w:sz w:val="21"/>
          <w:szCs w:val="21"/>
        </w:rPr>
        <w:t xml:space="preserve">        =  ∂/∂μ ( D_μμ ∂f/∂μ )  +  ∇⊥·( κ⊥ ∇⊥ f )  +  Q</w:t>
      </w:r>
    </w:p>
    <w:p>
      <w:pPr>
        <w:spacing w:after="120" w:line="264"/>
        <w:jc w:val="left"/>
      </w:pPr>
      <w:r>
        <w:t xml:space="preserve">with the deterministic coefficients</w:t>
      </w:r>
    </w:p>
    <w:p>
      <w:pPr>
        <w:spacing w:after="40" w:before="80"/>
        <w:ind w:left="400"/>
      </w:pPr>
      <w:r>
        <w:rPr>
          <w:rFonts w:ascii="Cambria" w:cs="Cambria" w:eastAsia="Cambria" w:hAnsi="Cambria"/>
          <w:i/>
          <w:iCs/>
          <w:sz w:val="21"/>
          <w:szCs w:val="21"/>
        </w:rPr>
        <w:t xml:space="preserve">dμ/dt = (1−μ²)/2 · [ v (∇·b̂) + μ ( ∇·U − 3 b̂b̂:∇U ) ]</w:t>
      </w:r>
    </w:p>
    <w:p>
      <w:pPr>
        <w:spacing w:after="140" w:before="0"/>
        <w:ind w:left="400"/>
      </w:pPr>
      <w:r>
        <w:rPr>
          <w:rFonts w:ascii="Cambria" w:cs="Cambria" w:eastAsia="Cambria" w:hAnsi="Cambria"/>
          <w:i/>
          <w:iCs/>
          <w:sz w:val="21"/>
          <w:szCs w:val="21"/>
        </w:rPr>
        <w:t xml:space="preserve">dp/dt = −p · [ (1−μ²)/2 ( ∇·U − b̂b̂:∇U ) + μ² ( b̂b̂:∇U ) ]</w:t>
      </w:r>
    </w:p>
    <w:p>
      <w:pPr>
        <w:spacing w:after="120" w:line="264"/>
        <w:jc w:val="left"/>
      </w:pPr>
      <w:r>
        <w:rPr>
          <w:b w:val="false"/>
          <w:bCs w:val="false"/>
          <w:i w:val="false"/>
          <w:iCs w:val="false"/>
        </w:rPr>
        <w:t xml:space="preserve">The first bracket in dμ/dt is magnetic focusing; with the conventional focusing length L = −(∂ ln|B|/∂s)⁻¹ = 1/(∇·b̂), it reduces to v(1−μ²)/(2L). A uniform field gives infinite L and zero focusing rather than a numerical error — srcSEP already adopts exactly this convention and srcSEP3D keeps it.</w:t>
      </w:r>
    </w:p>
    <w:p>
      <w:pPr>
        <w:spacing w:after="120" w:line="264"/>
        <w:jc w:val="left"/>
      </w:pPr>
      <w:r>
        <w:rPr>
          <w:b w:val="false"/>
          <w:bCs w:val="false"/>
          <w:i w:val="false"/>
          <w:iCs w:val="false"/>
        </w:rPr>
        <w:t xml:space="preserve">Two scalars are needed from the plasma velocity field: ∇·U and the field-aligned strain b̂b̂:∇U = b̂_i b̂_j ∂U_i/∂x_j. Both are derived from the velocity gradient tensor. SWCME supplies ∇·U analytically in its ShockOnly mode (exactly 2U/r) and numerically in FullICME; the field-aligned strain is not part of the SWCME public API, so srcSEP3D computes the full 3×3 ∂U_i/∂x_j on the mesh with the same second-order stencil used for ∇B, and reserves a nine-component cell-centred offset for it.</w:t>
      </w:r>
    </w:p>
    <w:p>
      <w:pPr>
        <w:pBdr>
          <w:left w:val="single" w:color="DD6B20" w:sz="14" w:space="8"/>
        </w:pBdr>
        <w:shd w:fill="FFF7ED" w:val="clear"/>
        <w:spacing w:after="140" w:before="100" w:line="264"/>
        <w:ind w:left="200" w:right="200"/>
      </w:pPr>
      <w:r>
        <w:rPr>
          <w:b/>
          <w:bCs/>
          <w:color w:val="9C4221"/>
        </w:rPr>
        <w:t xml:space="preserve">Equation-mode gate  </w:t>
      </w:r>
      <w:r>
        <w:t xml:space="preserve">srcSEP distinguishes FullGyrotropic from ReducedFieldAligned1D coefficients and forces the user to choose deliberately. srcSEP3D keeps the same enum. In three dimensions the reduced mode is scientifically wrong for any expanding flow, so it is accepted only with an explicit --focused-equation-mode reduced flag and is tagged in the run manifest. The default is FullGyrotropic.</w:t>
      </w:r>
    </w:p>
    <w:p>
      <w:pPr>
        <w:spacing w:after="120" w:line="264"/>
        <w:jc w:val="left"/>
      </w:pPr>
      <w:r>
        <w:t xml:space="preserve">The stochastic pitch-angle operator is the conservative Fokker–Planck form with zero flux at μ = ±1, whose Itô SDE is</w:t>
      </w:r>
    </w:p>
    <w:p>
      <w:pPr>
        <w:spacing w:after="140" w:before="80"/>
        <w:ind w:left="400"/>
      </w:pPr>
      <w:r>
        <w:rPr>
          <w:rFonts w:ascii="Cambria" w:cs="Cambria" w:eastAsia="Cambria" w:hAnsi="Cambria"/>
          <w:i/>
          <w:iCs/>
          <w:sz w:val="21"/>
          <w:szCs w:val="21"/>
        </w:rPr>
        <w:t xml:space="preserve">dμ = (∂D_μμ/∂μ) dt + √(2 D_μμ dt) ξ,   ξ ~ N(0,1),   with reflection at μ = ±1</w:t>
      </w:r>
    </w:p>
    <w:p>
      <w:pPr>
        <w:spacing w:after="120" w:line="264"/>
        <w:jc w:val="left"/>
      </w:pPr>
      <w:r>
        <w:rPr>
          <w:b w:val="false"/>
          <w:bCs w:val="false"/>
          <w:i w:val="false"/>
          <w:iCs w:val="false"/>
        </w:rPr>
        <w:t xml:space="preserve">srcSEP’s reflecting Milstein scheme with modulo-folding boundary handling is reused unchanged. It handles a stochastic increment that crosses both boundaries and keeps μ = 0 regular. Euler–Maruyama is retained only as an explicit comparison mode.</w:t>
      </w:r>
    </w:p>
    <w:p>
      <w:pPr>
        <w:pStyle w:val="Heading2"/>
        <w:spacing w:after="120" w:before="280"/>
      </w:pPr>
      <w:r>
        <w:t xml:space="preserve">4.4 Operator splitting and one substep</w:t>
      </w:r>
    </w:p>
    <w:p>
      <w:pPr>
        <w:spacing w:after="120" w:line="264"/>
        <w:jc w:val="left"/>
      </w:pPr>
      <w:r>
        <w:t xml:space="preserve">Both movers use a symmetric splitting so that the deterministic and stochastic operators do not bias one another. One substep of length Δt is: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900"/>
        <w:gridCol w:w="4600"/>
        <w:gridCol w:w="4580"/>
      </w:tblGrid>
      <w:tr>
        <w:trPr>
          <w:tblHeader/>
        </w:trPr>
        <w:tc>
          <w:tcPr>
            <w:tcW w:type="dxa" w:w="900"/>
            <w:shd w:fill="1F3864" w:val="clear"/>
            <w:tcMar>
              <w:top w:type="dxa" w:w="60"/>
              <w:left w:type="dxa" w:w="100"/>
              <w:bottom w:type="dxa" w:w="60"/>
              <w:right w:type="dxa" w:w="100"/>
            </w:tcMar>
          </w:tcPr>
          <w:p>
            <w:pPr>
              <w:spacing w:after="0" w:line="240"/>
            </w:pPr>
            <w:r>
              <w:rPr>
                <w:b/>
                <w:bCs/>
                <w:color w:val="FFFFFF"/>
                <w:sz w:val="18"/>
                <w:szCs w:val="18"/>
              </w:rPr>
              <w:t xml:space="preserve">Stage</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Parker mover</w:t>
            </w:r>
          </w:p>
        </w:tc>
        <w:tc>
          <w:tcPr>
            <w:tcW w:type="dxa" w:w="4580"/>
            <w:shd w:fill="1F3864" w:val="clear"/>
            <w:tcMar>
              <w:top w:type="dxa" w:w="60"/>
              <w:left w:type="dxa" w:w="100"/>
              <w:bottom w:type="dxa" w:w="60"/>
              <w:right w:type="dxa" w:w="100"/>
            </w:tcMar>
          </w:tcPr>
          <w:p>
            <w:pPr>
              <w:spacing w:after="0" w:line="240"/>
            </w:pPr>
            <w:r>
              <w:rPr>
                <w:b/>
                <w:bCs/>
                <w:color w:val="FFFFFF"/>
                <w:sz w:val="18"/>
                <w:szCs w:val="18"/>
              </w:rPr>
              <w:t xml:space="preserve">Focused mover</w:t>
            </w:r>
          </w:p>
        </w:tc>
      </w:tr>
      <w:tr>
        <w:tc>
          <w:tcPr>
            <w:tcW w:type="dxa" w:w="900"/>
            <w:tcMar>
              <w:top w:type="dxa" w:w="60"/>
              <w:left w:type="dxa" w:w="100"/>
              <w:bottom w:type="dxa" w:w="60"/>
              <w:right w:type="dxa" w:w="100"/>
            </w:tcMar>
          </w:tcPr>
          <w:p>
            <w:pPr>
              <w:spacing w:after="0" w:line="240"/>
            </w:pPr>
            <w:r>
              <w:rPr>
                <w:b w:val="false"/>
                <w:bCs w:val="false"/>
                <w:sz w:val="18"/>
                <w:szCs w:val="18"/>
              </w:rPr>
              <w:t xml:space="preserve">1</w:t>
            </w:r>
          </w:p>
        </w:tc>
        <w:tc>
          <w:tcPr>
            <w:tcW w:type="dxa" w:w="4600"/>
            <w:tcMar>
              <w:top w:type="dxa" w:w="60"/>
              <w:left w:type="dxa" w:w="100"/>
              <w:bottom w:type="dxa" w:w="60"/>
              <w:right w:type="dxa" w:w="100"/>
            </w:tcMar>
          </w:tcPr>
          <w:p>
            <w:pPr>
              <w:spacing w:after="0" w:line="240"/>
            </w:pPr>
            <w:r>
              <w:rPr>
                <w:b w:val="false"/>
                <w:bCs w:val="false"/>
                <w:sz w:val="18"/>
                <w:szCs w:val="18"/>
              </w:rPr>
              <w:t xml:space="preserve">Read immutable background snapshot at x; build triad; query κ providers</w:t>
            </w:r>
          </w:p>
        </w:tc>
        <w:tc>
          <w:tcPr>
            <w:tcW w:type="dxa" w:w="4580"/>
            <w:tcMar>
              <w:top w:type="dxa" w:w="60"/>
              <w:left w:type="dxa" w:w="100"/>
              <w:bottom w:type="dxa" w:w="60"/>
              <w:right w:type="dxa" w:w="100"/>
            </w:tcMar>
          </w:tcPr>
          <w:p>
            <w:pPr>
              <w:spacing w:after="0" w:line="240"/>
            </w:pPr>
            <w:r>
              <w:rPr>
                <w:b w:val="false"/>
                <w:bCs w:val="false"/>
                <w:sz w:val="18"/>
                <w:szCs w:val="18"/>
              </w:rPr>
              <w:t xml:space="preserve">Read snapshot at x; build triad; query D_μμ provider</w:t>
            </w:r>
          </w:p>
        </w:tc>
      </w:tr>
      <w:tr>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2</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Half cooling: p ← p exp(−(∇·U)Δt/6)</w:t>
            </w:r>
          </w:p>
        </w:tc>
        <w:tc>
          <w:tcPr>
            <w:tcW w:type="dxa" w:w="4580"/>
            <w:shd w:fill="EEF1F6" w:val="clear"/>
            <w:tcMar>
              <w:top w:type="dxa" w:w="60"/>
              <w:left w:type="dxa" w:w="100"/>
              <w:bottom w:type="dxa" w:w="60"/>
              <w:right w:type="dxa" w:w="100"/>
            </w:tcMar>
          </w:tcPr>
          <w:p>
            <w:pPr>
              <w:spacing w:after="0" w:line="240"/>
            </w:pPr>
            <w:r>
              <w:rPr>
                <w:b w:val="false"/>
                <w:bCs w:val="false"/>
                <w:sz w:val="18"/>
                <w:szCs w:val="18"/>
              </w:rPr>
              <w:t xml:space="preserve">Half deterministic: μ and p advanced by Δt/2 with explicit midpoint</w:t>
            </w:r>
          </w:p>
        </w:tc>
      </w:tr>
      <w:tr>
        <w:tc>
          <w:tcPr>
            <w:tcW w:type="dxa" w:w="900"/>
            <w:tcMar>
              <w:top w:type="dxa" w:w="60"/>
              <w:left w:type="dxa" w:w="100"/>
              <w:bottom w:type="dxa" w:w="60"/>
              <w:right w:type="dxa" w:w="100"/>
            </w:tcMar>
          </w:tcPr>
          <w:p>
            <w:pPr>
              <w:spacing w:after="0" w:line="240"/>
            </w:pPr>
            <w:r>
              <w:rPr>
                <w:b w:val="false"/>
                <w:bCs w:val="false"/>
                <w:sz w:val="18"/>
                <w:szCs w:val="18"/>
              </w:rPr>
              <w:t xml:space="preserve">3</w:t>
            </w:r>
          </w:p>
        </w:tc>
        <w:tc>
          <w:tcPr>
            <w:tcW w:type="dxa" w:w="4600"/>
            <w:tcMar>
              <w:top w:type="dxa" w:w="60"/>
              <w:left w:type="dxa" w:w="100"/>
              <w:bottom w:type="dxa" w:w="60"/>
              <w:right w:type="dxa" w:w="100"/>
            </w:tcMar>
          </w:tcPr>
          <w:p>
            <w:pPr>
              <w:spacing w:after="0" w:line="240"/>
            </w:pPr>
            <w:r>
              <w:rPr>
                <w:b w:val="false"/>
                <w:bCs w:val="false"/>
                <w:sz w:val="18"/>
                <w:szCs w:val="18"/>
              </w:rPr>
              <w:t xml:space="preserve">Full drift + diffusion displacement of x</w:t>
            </w:r>
          </w:p>
        </w:tc>
        <w:tc>
          <w:tcPr>
            <w:tcW w:type="dxa" w:w="4580"/>
            <w:tcMar>
              <w:top w:type="dxa" w:w="60"/>
              <w:left w:type="dxa" w:w="100"/>
              <w:bottom w:type="dxa" w:w="60"/>
              <w:right w:type="dxa" w:w="100"/>
            </w:tcMar>
          </w:tcPr>
          <w:p>
            <w:pPr>
              <w:spacing w:after="0" w:line="240"/>
            </w:pPr>
            <w:r>
              <w:rPr>
                <w:b w:val="false"/>
                <w:bCs w:val="false"/>
                <w:sz w:val="18"/>
                <w:szCs w:val="18"/>
              </w:rPr>
              <w:t xml:space="preserve">One Itô μ-kick (reflecting Milstein)</w:t>
            </w:r>
          </w:p>
        </w:tc>
      </w:tr>
      <w:tr>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4</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Half cooling: p ← p exp(−(∇·U)Δt/6)</w:t>
            </w:r>
          </w:p>
        </w:tc>
        <w:tc>
          <w:tcPr>
            <w:tcW w:type="dxa" w:w="4580"/>
            <w:shd w:fill="EEF1F6" w:val="clear"/>
            <w:tcMar>
              <w:top w:type="dxa" w:w="60"/>
              <w:left w:type="dxa" w:w="100"/>
              <w:bottom w:type="dxa" w:w="60"/>
              <w:right w:type="dxa" w:w="100"/>
            </w:tcMar>
          </w:tcPr>
          <w:p>
            <w:pPr>
              <w:spacing w:after="0" w:line="240"/>
            </w:pPr>
            <w:r>
              <w:rPr>
                <w:b w:val="false"/>
                <w:bCs w:val="false"/>
                <w:sz w:val="18"/>
                <w:szCs w:val="18"/>
              </w:rPr>
              <w:t xml:space="preserve">Remaining half deterministic step for μ and p</w:t>
            </w:r>
          </w:p>
        </w:tc>
      </w:tr>
      <w:tr>
        <w:tc>
          <w:tcPr>
            <w:tcW w:type="dxa" w:w="900"/>
            <w:tcMar>
              <w:top w:type="dxa" w:w="60"/>
              <w:left w:type="dxa" w:w="100"/>
              <w:bottom w:type="dxa" w:w="60"/>
              <w:right w:type="dxa" w:w="100"/>
            </w:tcMar>
          </w:tcPr>
          <w:p>
            <w:pPr>
              <w:spacing w:after="0" w:line="240"/>
            </w:pPr>
            <w:r>
              <w:rPr>
                <w:b w:val="false"/>
                <w:bCs w:val="false"/>
                <w:sz w:val="18"/>
                <w:szCs w:val="18"/>
              </w:rPr>
              <w:t xml:space="preserve">5</w:t>
            </w:r>
          </w:p>
        </w:tc>
        <w:tc>
          <w:tcPr>
            <w:tcW w:type="dxa" w:w="4600"/>
            <w:tcMar>
              <w:top w:type="dxa" w:w="60"/>
              <w:left w:type="dxa" w:w="100"/>
              <w:bottom w:type="dxa" w:w="60"/>
              <w:right w:type="dxa" w:w="100"/>
            </w:tcMar>
          </w:tcPr>
          <w:p>
            <w:pPr>
              <w:spacing w:after="0" w:line="240"/>
            </w:pPr>
            <w:r>
              <w:rPr>
                <w:b w:val="false"/>
                <w:bCs w:val="false"/>
                <w:sz w:val="18"/>
                <w:szCs w:val="18"/>
              </w:rPr>
              <w:t xml:space="preserve">—</w:t>
            </w:r>
          </w:p>
        </w:tc>
        <w:tc>
          <w:tcPr>
            <w:tcW w:type="dxa" w:w="4580"/>
            <w:tcMar>
              <w:top w:type="dxa" w:w="60"/>
              <w:left w:type="dxa" w:w="100"/>
              <w:bottom w:type="dxa" w:w="60"/>
              <w:right w:type="dxa" w:w="100"/>
            </w:tcMar>
          </w:tcPr>
          <w:p>
            <w:pPr>
              <w:spacing w:after="0" w:line="240"/>
            </w:pPr>
            <w:r>
              <w:rPr>
                <w:b w:val="false"/>
                <w:bCs w:val="false"/>
                <w:sz w:val="18"/>
                <w:szCs w:val="18"/>
              </w:rPr>
              <w:t xml:space="preserve">Streaming: x ← x + (μ̄ v b̂ + U) Δt using the midpoint μ̄</w:t>
            </w:r>
          </w:p>
        </w:tc>
      </w:tr>
      <w:tr>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6</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Locate new cell; apply boundaries; commit</w:t>
            </w:r>
          </w:p>
        </w:tc>
        <w:tc>
          <w:tcPr>
            <w:tcW w:type="dxa" w:w="4580"/>
            <w:shd w:fill="EEF1F6" w:val="clear"/>
            <w:tcMar>
              <w:top w:type="dxa" w:w="60"/>
              <w:left w:type="dxa" w:w="100"/>
              <w:bottom w:type="dxa" w:w="60"/>
              <w:right w:type="dxa" w:w="100"/>
            </w:tcMar>
          </w:tcPr>
          <w:p>
            <w:pPr>
              <w:spacing w:after="0" w:line="240"/>
            </w:pPr>
            <w:r>
              <w:rPr>
                <w:b w:val="false"/>
                <w:bCs w:val="false"/>
                <w:sz w:val="18"/>
                <w:szCs w:val="18"/>
              </w:rPr>
              <w:t xml:space="preserve">Locate new cell; apply boundaries; commit</w:t>
            </w:r>
          </w:p>
        </w:tc>
      </w:tr>
    </w:tbl>
    <w:p>
      <w:pPr>
        <w:spacing w:after="140"/>
      </w:pPr>
    </w:p>
    <w:p>
      <w:pPr>
        <w:spacing w:after="120" w:line="264"/>
        <w:jc w:val="left"/>
      </w:pPr>
      <w:r>
        <w:rPr>
          <w:b w:val="false"/>
          <w:bCs w:val="false"/>
          <w:i w:val="false"/>
          <w:iCs w:val="false"/>
        </w:rPr>
        <w:t xml:space="preserve">Cooling is applied exactly rather than by an Euler step, using p(t+Δt) = p(t) exp(−(∇·U)Δt/3) for the full step and the square root of that factor for each half. This is the same exact-characteristic treatment srcSEP uses and it removes the dominant source of energy drift over long integrations.</w:t>
      </w:r>
    </w:p>
    <w:p>
      <w:pPr>
        <w:pStyle w:val="Heading2"/>
        <w:spacing w:after="120" w:before="280"/>
      </w:pPr>
      <w:r>
        <w:t xml:space="preserve">4.5 Diffusion coefficients: the registry</w:t>
      </w:r>
    </w:p>
    <w:p>
      <w:pPr>
        <w:spacing w:after="120" w:line="264"/>
        <w:jc w:val="left"/>
      </w:pPr>
      <w:r>
        <w:rPr>
          <w:b w:val="false"/>
          <w:bCs w:val="false"/>
          <w:i w:val="false"/>
          <w:iCs w:val="false"/>
        </w:rPr>
        <w:t xml:space="preserve">srcSEP selects its parallel transport coefficient through a single validated registry (</w:t>
      </w:r>
      <w:r>
        <w:rPr>
          <w:rFonts w:ascii="Consolas" w:cs="Consolas" w:eastAsia="Consolas" w:hAnsi="Consolas"/>
          <w:b w:val="false"/>
          <w:bCs w:val="false"/>
          <w:i w:val="false"/>
          <w:iCs w:val="false"/>
          <w:sz w:val="19"/>
          <w:szCs w:val="19"/>
        </w:rPr>
        <w:t xml:space="preserve">SEP::Transport::Coefficient::Configuration</w:t>
      </w:r>
      <w:r>
        <w:rPr>
          <w:b w:val="false"/>
          <w:bCs w:val="false"/>
          <w:i w:val="false"/>
          <w:iCs w:val="false"/>
        </w:rPr>
        <w:t xml:space="preserve">), with named CLI values for the coefficient authority, the spatial closure, the pitch-angle provider, and the mean-free-path model. That design is adopted wholesale. The table below shows the srcSEP3D option set; names that already exist in srcSEP keep their exact spelling so that a user moving between the two models does not have to relearn them.</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3000"/>
        <w:gridCol w:w="3000"/>
        <w:gridCol w:w="4080"/>
      </w:tblGrid>
      <w:tr>
        <w:trPr>
          <w:tblHeader/>
        </w:trPr>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Option</w:t>
            </w:r>
          </w:p>
        </w:tc>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Accepted values (release 1)</w:t>
            </w:r>
          </w:p>
        </w:tc>
        <w:tc>
          <w:tcPr>
            <w:tcW w:type="dxa" w:w="4080"/>
            <w:shd w:fill="1F3864" w:val="clear"/>
            <w:tcMar>
              <w:top w:type="dxa" w:w="60"/>
              <w:left w:type="dxa" w:w="100"/>
              <w:bottom w:type="dxa" w:w="60"/>
              <w:right w:type="dxa" w:w="100"/>
            </w:tcMar>
          </w:tcPr>
          <w:p>
            <w:pPr>
              <w:spacing w:after="0" w:line="240"/>
            </w:pPr>
            <w:r>
              <w:rPr>
                <w:b/>
                <w:bCs/>
                <w:color w:val="FFFFFF"/>
                <w:sz w:val="18"/>
                <w:szCs w:val="18"/>
              </w:rPr>
              <w:t xml:space="preserve">Meaning</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--coefficient-source</w:t>
            </w:r>
          </w:p>
        </w:tc>
        <w:tc>
          <w:tcPr>
            <w:tcW w:type="dxa" w:w="3000"/>
            <w:tcMar>
              <w:top w:type="dxa" w:w="60"/>
              <w:left w:type="dxa" w:w="100"/>
              <w:bottom w:type="dxa" w:w="60"/>
              <w:right w:type="dxa" w:w="100"/>
            </w:tcMar>
          </w:tcPr>
          <w:p>
            <w:pPr>
              <w:spacing w:after="0" w:line="240"/>
            </w:pPr>
            <w:r>
              <w:rPr>
                <w:b w:val="false"/>
                <w:bCs w:val="false"/>
                <w:sz w:val="18"/>
                <w:szCs w:val="18"/>
              </w:rPr>
              <w:t xml:space="preserve">prescribed | swmf</w:t>
            </w:r>
          </w:p>
        </w:tc>
        <w:tc>
          <w:tcPr>
            <w:tcW w:type="dxa" w:w="4080"/>
            <w:tcMar>
              <w:top w:type="dxa" w:w="60"/>
              <w:left w:type="dxa" w:w="100"/>
              <w:bottom w:type="dxa" w:w="60"/>
              <w:right w:type="dxa" w:w="100"/>
            </w:tcMar>
          </w:tcPr>
          <w:p>
            <w:pPr>
              <w:spacing w:after="0" w:line="240"/>
            </w:pPr>
            <w:r>
              <w:rPr>
                <w:b w:val="false"/>
                <w:bCs w:val="false"/>
                <w:sz w:val="18"/>
                <w:szCs w:val="18"/>
              </w:rPr>
              <w:t xml:space="preserve">Authority for turbulence-derived quantities. self-consistent is reserved until a 3-D turbulence transport subsystem exists.</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--parallel-diffusion-provider</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from-dmumu | from-mfp | constant</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How κ∥ is obtained: Simpson integration of D_μμ, the v λ∥/3 closure, or a fixed SI value.</w:t>
            </w:r>
          </w:p>
        </w:tc>
      </w:tr>
      <w:tr>
        <w:tc>
          <w:tcPr>
            <w:tcW w:type="dxa" w:w="3000"/>
            <w:tcMar>
              <w:top w:type="dxa" w:w="60"/>
              <w:left w:type="dxa" w:w="100"/>
              <w:bottom w:type="dxa" w:w="60"/>
              <w:right w:type="dxa" w:w="100"/>
            </w:tcMar>
          </w:tcPr>
          <w:p>
            <w:pPr>
              <w:spacing w:after="0" w:line="240"/>
            </w:pPr>
            <w:r>
              <w:rPr>
                <w:b w:val="false"/>
                <w:bCs w:val="false"/>
                <w:sz w:val="18"/>
                <w:szCs w:val="18"/>
              </w:rPr>
              <w:t xml:space="preserve">--pitch-angle-diffusion-provider</w:t>
            </w:r>
          </w:p>
        </w:tc>
        <w:tc>
          <w:tcPr>
            <w:tcW w:type="dxa" w:w="3000"/>
            <w:tcMar>
              <w:top w:type="dxa" w:w="60"/>
              <w:left w:type="dxa" w:w="100"/>
              <w:bottom w:type="dxa" w:w="60"/>
              <w:right w:type="dxa" w:w="100"/>
            </w:tcMar>
          </w:tcPr>
          <w:p>
            <w:pPr>
              <w:spacing w:after="0" w:line="240"/>
            </w:pPr>
            <w:r>
              <w:rPr>
                <w:b w:val="false"/>
                <w:bCs w:val="false"/>
                <w:sz w:val="18"/>
                <w:szCs w:val="18"/>
              </w:rPr>
              <w:t xml:space="preserve">constant | jokipii-1966 | florinskiy | qlt</w:t>
            </w:r>
          </w:p>
        </w:tc>
        <w:tc>
          <w:tcPr>
            <w:tcW w:type="dxa" w:w="4080"/>
            <w:tcMar>
              <w:top w:type="dxa" w:w="60"/>
              <w:left w:type="dxa" w:w="100"/>
              <w:bottom w:type="dxa" w:w="60"/>
              <w:right w:type="dxa" w:w="100"/>
            </w:tcMar>
          </w:tcPr>
          <w:p>
            <w:pPr>
              <w:spacing w:after="0" w:line="240"/>
            </w:pPr>
            <w:r>
              <w:rPr>
                <w:b w:val="false"/>
                <w:bCs w:val="false"/>
                <w:sz w:val="18"/>
                <w:szCs w:val="18"/>
              </w:rPr>
              <w:t xml:space="preserve">Source of D_μμ and ∂D_μμ/∂μ.</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--mean-free-path-provider</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qlt | qlt1 | tenishev-2005 | chen-2024 | from-spatial</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Source of λ∥.</w:t>
            </w:r>
          </w:p>
        </w:tc>
      </w:tr>
      <w:tr>
        <w:tc>
          <w:tcPr>
            <w:tcW w:type="dxa" w:w="3000"/>
            <w:tcMar>
              <w:top w:type="dxa" w:w="60"/>
              <w:left w:type="dxa" w:w="100"/>
              <w:bottom w:type="dxa" w:w="60"/>
              <w:right w:type="dxa" w:w="100"/>
            </w:tcMar>
          </w:tcPr>
          <w:p>
            <w:pPr>
              <w:spacing w:after="0" w:line="240"/>
            </w:pPr>
            <w:r>
              <w:rPr>
                <w:b w:val="false"/>
                <w:bCs w:val="false"/>
                <w:sz w:val="18"/>
                <w:szCs w:val="18"/>
              </w:rPr>
              <w:t xml:space="preserve">--perpendicular-diffusion-provider</w:t>
            </w:r>
          </w:p>
        </w:tc>
        <w:tc>
          <w:tcPr>
            <w:tcW w:type="dxa" w:w="3000"/>
            <w:tcMar>
              <w:top w:type="dxa" w:w="60"/>
              <w:left w:type="dxa" w:w="100"/>
              <w:bottom w:type="dxa" w:w="60"/>
              <w:right w:type="dxa" w:w="100"/>
            </w:tcMar>
          </w:tcPr>
          <w:p>
            <w:pPr>
              <w:spacing w:after="0" w:line="240"/>
            </w:pPr>
            <w:r>
              <w:rPr>
                <w:b w:val="false"/>
                <w:bCs w:val="false"/>
                <w:sz w:val="18"/>
                <w:szCs w:val="18"/>
              </w:rPr>
              <w:t xml:space="preserve">none</w:t>
            </w:r>
          </w:p>
        </w:tc>
        <w:tc>
          <w:tcPr>
            <w:tcW w:type="dxa" w:w="4080"/>
            <w:tcMar>
              <w:top w:type="dxa" w:w="60"/>
              <w:left w:type="dxa" w:w="100"/>
              <w:bottom w:type="dxa" w:w="60"/>
              <w:right w:type="dxa" w:w="100"/>
            </w:tcMar>
          </w:tcPr>
          <w:p>
            <w:pPr>
              <w:spacing w:after="0" w:line="240"/>
            </w:pPr>
            <w:r>
              <w:rPr>
                <w:b w:val="false"/>
                <w:bCs w:val="false"/>
                <w:sz w:val="18"/>
                <w:szCs w:val="18"/>
              </w:rPr>
              <w:t xml:space="preserve">RESERVED. Any other value fails before initialisation with a stable "reserved, not implemented" diagnostic.</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--drift-provider</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none</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RESERVED for gradient/curvature/current-sheet drifts.</w:t>
            </w:r>
          </w:p>
        </w:tc>
      </w:tr>
      <w:tr>
        <w:tc>
          <w:tcPr>
            <w:tcW w:type="dxa" w:w="3000"/>
            <w:tcMar>
              <w:top w:type="dxa" w:w="60"/>
              <w:left w:type="dxa" w:w="100"/>
              <w:bottom w:type="dxa" w:w="60"/>
              <w:right w:type="dxa" w:w="100"/>
            </w:tcMar>
          </w:tcPr>
          <w:p>
            <w:pPr>
              <w:spacing w:after="0" w:line="240"/>
            </w:pPr>
            <w:r>
              <w:rPr>
                <w:b w:val="false"/>
                <w:bCs w:val="false"/>
                <w:sz w:val="18"/>
                <w:szCs w:val="18"/>
              </w:rPr>
              <w:t xml:space="preserve">--invalid-coefficient-policy</w:t>
            </w:r>
          </w:p>
        </w:tc>
        <w:tc>
          <w:tcPr>
            <w:tcW w:type="dxa" w:w="3000"/>
            <w:tcMar>
              <w:top w:type="dxa" w:w="60"/>
              <w:left w:type="dxa" w:w="100"/>
              <w:bottom w:type="dxa" w:w="60"/>
              <w:right w:type="dxa" w:w="100"/>
            </w:tcMar>
          </w:tcPr>
          <w:p>
            <w:pPr>
              <w:spacing w:after="0" w:line="240"/>
            </w:pPr>
            <w:r>
              <w:rPr>
                <w:b w:val="false"/>
                <w:bCs w:val="false"/>
                <w:sz w:val="18"/>
                <w:szCs w:val="18"/>
              </w:rPr>
              <w:t xml:space="preserve">fail | ballistic</w:t>
            </w:r>
          </w:p>
        </w:tc>
        <w:tc>
          <w:tcPr>
            <w:tcW w:type="dxa" w:w="4080"/>
            <w:tcMar>
              <w:top w:type="dxa" w:w="60"/>
              <w:left w:type="dxa" w:w="100"/>
              <w:bottom w:type="dxa" w:w="60"/>
              <w:right w:type="dxa" w:w="100"/>
            </w:tcMar>
          </w:tcPr>
          <w:p>
            <w:pPr>
              <w:spacing w:after="0" w:line="240"/>
            </w:pPr>
            <w:r>
              <w:rPr>
                <w:b w:val="false"/>
                <w:bCs w:val="false"/>
                <w:sz w:val="18"/>
                <w:szCs w:val="18"/>
              </w:rPr>
              <w:t xml:space="preserve">ballistic is the exact λ = +∞ zero-rate state, never a finite clamp.</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--resonance-gap-policy</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reject | ballistic</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Behaviour when the D_μμ integral is unresolved at 90°.</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--coefficient-k-min, --coefficient-k-max</w:t>
            </w:r>
          </w:p>
        </w:tc>
        <w:tc>
          <w:tcPr>
            <w:tcW w:type="dxa" w:w="3000"/>
            <w:tcMar>
              <w:top w:type="dxa" w:w="60"/>
              <w:left w:type="dxa" w:w="100"/>
              <w:bottom w:type="dxa" w:w="60"/>
              <w:right w:type="dxa" w:w="100"/>
            </w:tcMar>
          </w:tcPr>
          <w:p>
            <w:pPr>
              <w:spacing w:after="0" w:line="240"/>
            </w:pPr>
            <w:r>
              <w:rPr>
                <w:b w:val="false"/>
                <w:bCs w:val="false"/>
                <w:sz w:val="18"/>
                <w:szCs w:val="18"/>
              </w:rPr>
              <w:t xml:space="preserve">SI m⁻¹</w:t>
            </w:r>
          </w:p>
        </w:tc>
        <w:tc>
          <w:tcPr>
            <w:tcW w:type="dxa" w:w="4080"/>
            <w:tcMar>
              <w:top w:type="dxa" w:w="60"/>
              <w:left w:type="dxa" w:w="100"/>
              <w:bottom w:type="dxa" w:w="60"/>
              <w:right w:type="dxa" w:w="100"/>
            </w:tcMar>
          </w:tcPr>
          <w:p>
            <w:pPr>
              <w:spacing w:after="0" w:line="240"/>
            </w:pPr>
            <w:r>
              <w:rPr>
                <w:b w:val="false"/>
                <w:bCs w:val="false"/>
                <w:sz w:val="18"/>
                <w:szCs w:val="18"/>
              </w:rPr>
              <w:t xml:space="preserve">Spectrum bounds at the reference radius; scaled by their own radial exponents.</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--prescribed-delta-b-over-b</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(0,1]</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Turbulence amplitude for the prescribed spectrum.</w:t>
            </w:r>
          </w:p>
        </w:tc>
      </w:tr>
    </w:tbl>
    <w:p>
      <w:pPr>
        <w:spacing w:after="140"/>
      </w:pPr>
    </w:p>
    <w:p>
      <w:pPr>
        <w:spacing w:after="120" w:line="264"/>
        <w:jc w:val="left"/>
      </w:pPr>
      <w:r>
        <w:rPr>
          <w:b w:val="false"/>
          <w:bCs w:val="false"/>
          <w:i w:val="false"/>
          <w:iCs w:val="false"/>
        </w:rPr>
        <w:t xml:space="preserve">Validation rules carry over: conversion cycles are rejected (from-dmumu together with from-spatial is a cycle), source/ownership mismatches are rejected, and the complete selection is printed at startup and hashed into a configuration fingerprint that a restart must match. srcSEP’s </w:t>
      </w:r>
      <w:r>
        <w:rPr>
          <w:rFonts w:ascii="Consolas" w:cs="Consolas" w:eastAsia="Consolas" w:hAnsi="Consolas"/>
          <w:b w:val="false"/>
          <w:bCs w:val="false"/>
          <w:i w:val="false"/>
          <w:iCs w:val="false"/>
          <w:sz w:val="19"/>
          <w:szCs w:val="19"/>
        </w:rPr>
        <w:t xml:space="preserve">ConfigurationFingerprint</w:t>
      </w:r>
      <w:r>
        <w:rPr>
          <w:b w:val="false"/>
          <w:bCs w:val="false"/>
          <w:i w:val="false"/>
          <w:iCs w:val="false"/>
        </w:rPr>
        <w:t xml:space="preserve"> function is reused with the perpendicular and drift slots appended, so a release-1 run and a future release-2 run with κ⊥ enabled can never be confused.</w:t>
      </w:r>
    </w:p>
    <w:p>
      <w:pPr>
        <w:pStyle w:val="Heading3"/>
        <w:spacing w:after="100" w:before="220"/>
      </w:pPr>
      <w:r>
        <w:t xml:space="preserve">4.5.1 The tensor assembly step</w:t>
      </w:r>
    </w:p>
    <w:p>
      <w:pPr>
        <w:spacing w:after="120" w:line="264"/>
        <w:jc w:val="left"/>
      </w:pPr>
      <w:r>
        <w:t xml:space="preserve">The registry returns scalars. The mover needs a tensor. Assembly is a single, separately testable function:</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struct DiffusionTensorSample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Status  status;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kappaParallelM2PerS;      // from the parallel provider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kappaPerpM2PerS;          // 0.0 in release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kappaAntisymM2PerS;       // 0.0 in release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Vec3    divKappaMPerS;            // Ito drift correction, SI m/s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Vec3    bHat, e1, e2;             // deterministic orthonormal triad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std::string provenance;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DiffusionTensorSample AssembleDiffusionTensor(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const BackgroundSample&amp; bg,       // B, grad B, U, grad U, n, T, vA</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const SpeciesProperties&amp; species,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momentumKgMPerS,</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    const CoefficientRegistry&amp; registry);</w:t>
      </w:r>
    </w:p>
    <w:p>
      <w:pPr>
        <w:spacing w:after="120" w:line="264"/>
        <w:jc w:val="left"/>
      </w:pPr>
      <w:r>
        <w:rPr>
          <w:b w:val="false"/>
          <w:bCs w:val="false"/>
          <w:i w:val="false"/>
          <w:iCs w:val="false"/>
        </w:rPr>
        <w:t xml:space="preserve">Because κ⊥ and κ_A are returned as explicit zeros rather than being absent, the mover contains the complete three-component noise expression from day one. A Stage-1 test asserts that the release-1 path with κ⊥ = 0 produces </w:t>
      </w:r>
      <w:r>
        <w:rPr>
          <w:b/>
          <w:bCs/>
          <w:i w:val="false"/>
          <w:iCs w:val="false"/>
        </w:rPr>
        <w:t xml:space="preserve">bitwise identical</w:t>
      </w:r>
      <w:r>
        <w:rPr>
          <w:b w:val="false"/>
          <w:bCs w:val="false"/>
          <w:i w:val="false"/>
          <w:iCs w:val="false"/>
        </w:rPr>
        <w:t xml:space="preserve"> trajectories to a parallel-only reference implementation. When κ⊥ is later switched on, that test is the regression guard that proves nothing else changed.</w:t>
      </w:r>
    </w:p>
    <w:p>
      <w:pPr>
        <w:pStyle w:val="Heading2"/>
        <w:spacing w:after="120" w:before="280"/>
      </w:pPr>
      <w:r>
        <w:t xml:space="preserve">4.6 Reserved: perpendicular diffusion</w:t>
      </w:r>
    </w:p>
    <w:p>
      <w:pPr>
        <w:spacing w:after="120" w:line="264"/>
        <w:jc w:val="left"/>
      </w:pPr>
      <w:r>
        <w:t xml:space="preserve">Perpendicular transport is deliberately out of scope for release 1, but the following are put in place now so that adding it is a contained change:</w:t>
      </w:r>
    </w:p>
    <w:p>
      <w:pPr>
        <w:pStyle w:val="ListParagraph"/>
        <w:numPr>
          <w:ilvl w:val="0"/>
          <w:numId w:val="3"/>
        </w:numPr>
        <w:spacing w:after="60" w:line="264"/>
      </w:pPr>
      <w:r>
        <w:rPr>
          <w:b w:val="false"/>
          <w:bCs w:val="false"/>
          <w:i w:val="false"/>
          <w:iCs w:val="false"/>
        </w:rPr>
        <w:t xml:space="preserve">The abstract </w:t>
      </w:r>
      <w:r>
        <w:rPr>
          <w:rFonts w:ascii="Consolas" w:cs="Consolas" w:eastAsia="Consolas" w:hAnsi="Consolas"/>
          <w:b w:val="false"/>
          <w:bCs w:val="false"/>
          <w:i w:val="false"/>
          <w:iCs w:val="false"/>
          <w:sz w:val="19"/>
          <w:szCs w:val="19"/>
        </w:rPr>
        <w:t xml:space="preserve">PerpendicularDiffusionProvider</w:t>
      </w:r>
      <w:r>
        <w:rPr>
          <w:b w:val="false"/>
          <w:bCs w:val="false"/>
          <w:i w:val="false"/>
          <w:iCs w:val="false"/>
        </w:rPr>
        <w:t xml:space="preserve"> interface, returning κ⊥, ∂κ⊥/∂x, a validity state, and provenance, with the same shape as the existing parallel providers.</w:t>
      </w:r>
    </w:p>
    <w:p>
      <w:pPr>
        <w:pStyle w:val="ListParagraph"/>
        <w:numPr>
          <w:ilvl w:val="0"/>
          <w:numId w:val="3"/>
        </w:numPr>
        <w:spacing w:after="60" w:line="264"/>
      </w:pPr>
      <w:r>
        <w:t xml:space="preserve">Reserved registry names, parsed and rejected with an explicit message rather than an "unknown option" error: constant-ratio, nlgc, ue-qlt, field-line-random-walk, jokipii-1966-perp.</w:t>
      </w:r>
    </w:p>
    <w:p>
      <w:pPr>
        <w:pStyle w:val="ListParagraph"/>
        <w:numPr>
          <w:ilvl w:val="0"/>
          <w:numId w:val="3"/>
        </w:numPr>
        <w:spacing w:after="60" w:line="264"/>
      </w:pPr>
      <w:r>
        <w:t xml:space="preserve">The ê₁, ê₂ triad construction, which must be deterministic and smooth. The recommended rule is ê₁ = normalize(ẑ × b̂), falling back to normalize(x̂ × b̂) when |b̂·ẑ| &gt; 0.9, followed by a rotation of the pair through a per-step random gyrophase so no residual alignment with the coordinate axes survives in the ensemble.</w:t>
      </w:r>
    </w:p>
    <w:p>
      <w:pPr>
        <w:pStyle w:val="ListParagraph"/>
        <w:numPr>
          <w:ilvl w:val="0"/>
          <w:numId w:val="3"/>
        </w:numPr>
        <w:spacing w:after="60" w:line="264"/>
      </w:pPr>
      <w:r>
        <w:t xml:space="preserve">The perpendicular noise draws in both movers, multiplied by zero.</w:t>
      </w:r>
    </w:p>
    <w:p>
      <w:pPr>
        <w:pStyle w:val="ListParagraph"/>
        <w:numPr>
          <w:ilvl w:val="0"/>
          <w:numId w:val="3"/>
        </w:numPr>
        <w:spacing w:after="60" w:line="264"/>
      </w:pPr>
      <w:r>
        <w:t xml:space="preserve">Two Stage-1 tests: the identity test above, and a test that the triad is orthonormal, right-handed, and continuous along a Parker spiral including through the polar region.</w:t>
      </w:r>
    </w:p>
    <w:p>
      <w:pPr>
        <w:pBdr>
          <w:left w:val="single" w:color="DD6B20" w:sz="14" w:space="8"/>
        </w:pBdr>
        <w:shd w:fill="FFF7ED" w:val="clear"/>
        <w:spacing w:after="140" w:before="100" w:line="264"/>
        <w:ind w:left="200" w:right="200"/>
      </w:pPr>
      <w:r>
        <w:rPr>
          <w:b/>
          <w:bCs/>
          <w:color w:val="9C4221"/>
        </w:rPr>
        <w:t xml:space="preserve">Why the triad matters even at κ⊥ = 0  </w:t>
      </w:r>
      <w:r>
        <w:t xml:space="preserve">For an isotropic κ⊥ the choice of ê₁ and ê₂ is mathematically irrelevant, but numerically it determines reproducibility. Fixing the rule now, and testing it now, means the future κ⊥ work package does not also have to litigate reproducibility.</w:t>
      </w:r>
    </w:p>
    <w:p>
      <w:pPr>
        <w:pStyle w:val="Heading2"/>
        <w:spacing w:after="120" w:before="280"/>
      </w:pPr>
      <w:r>
        <w:t xml:space="preserve">4.7 Time-step control</w:t>
      </w:r>
    </w:p>
    <w:p>
      <w:pPr>
        <w:spacing w:after="120" w:line="264"/>
        <w:jc w:val="left"/>
      </w:pPr>
      <w:r>
        <w:rPr>
          <w:b w:val="false"/>
          <w:bCs w:val="false"/>
          <w:i w:val="false"/>
          <w:iCs w:val="false"/>
        </w:rPr>
        <w:t xml:space="preserve">srcSEP’s named composable limit mechanism is reused: each active operator contributes a named limit, the minimum is selected, and the selector records which limit was binding and how many times. A minimum below the declared floor is reported as </w:t>
      </w:r>
      <w:r>
        <w:rPr>
          <w:rFonts w:ascii="Consolas" w:cs="Consolas" w:eastAsia="Consolas" w:hAnsi="Consolas"/>
          <w:b w:val="false"/>
          <w:bCs w:val="false"/>
          <w:i w:val="false"/>
          <w:iCs w:val="false"/>
          <w:sz w:val="19"/>
          <w:szCs w:val="19"/>
        </w:rPr>
        <w:t xml:space="preserve">StepUnderflow</w:t>
      </w:r>
      <w:r>
        <w:rPr>
          <w:b w:val="false"/>
          <w:bCs w:val="false"/>
          <w:i w:val="false"/>
          <w:iCs w:val="false"/>
        </w:rPr>
        <w:t xml:space="preserve"> rather than silently clamped. The 3-D limits are: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700"/>
        <w:gridCol w:w="3000"/>
        <w:gridCol w:w="2000"/>
        <w:gridCol w:w="2380"/>
      </w:tblGrid>
      <w:tr>
        <w:trPr>
          <w:tblHeader/>
        </w:trPr>
        <w:tc>
          <w:tcPr>
            <w:tcW w:type="dxa" w:w="2700"/>
            <w:shd w:fill="1F3864" w:val="clear"/>
            <w:tcMar>
              <w:top w:type="dxa" w:w="60"/>
              <w:left w:type="dxa" w:w="100"/>
              <w:bottom w:type="dxa" w:w="60"/>
              <w:right w:type="dxa" w:w="100"/>
            </w:tcMar>
          </w:tcPr>
          <w:p>
            <w:pPr>
              <w:spacing w:after="0" w:line="240"/>
            </w:pPr>
            <w:r>
              <w:rPr>
                <w:b/>
                <w:bCs/>
                <w:color w:val="FFFFFF"/>
                <w:sz w:val="18"/>
                <w:szCs w:val="18"/>
              </w:rPr>
              <w:t xml:space="preserve">Limit name</w:t>
            </w:r>
          </w:p>
        </w:tc>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Expression</w:t>
            </w:r>
          </w:p>
        </w:tc>
        <w:tc>
          <w:tcPr>
            <w:tcW w:type="dxa" w:w="2000"/>
            <w:shd w:fill="1F3864" w:val="clear"/>
            <w:tcMar>
              <w:top w:type="dxa" w:w="60"/>
              <w:left w:type="dxa" w:w="100"/>
              <w:bottom w:type="dxa" w:w="60"/>
              <w:right w:type="dxa" w:w="100"/>
            </w:tcMar>
          </w:tcPr>
          <w:p>
            <w:pPr>
              <w:spacing w:after="0" w:line="240"/>
            </w:pPr>
            <w:r>
              <w:rPr>
                <w:b/>
                <w:bCs/>
                <w:color w:val="FFFFFF"/>
                <w:sz w:val="18"/>
                <w:szCs w:val="18"/>
              </w:rPr>
              <w:t xml:space="preserve">Default target</w:t>
            </w:r>
          </w:p>
        </w:tc>
        <w:tc>
          <w:tcPr>
            <w:tcW w:type="dxa" w:w="2380"/>
            <w:shd w:fill="1F3864" w:val="clear"/>
            <w:tcMar>
              <w:top w:type="dxa" w:w="60"/>
              <w:left w:type="dxa" w:w="100"/>
              <w:bottom w:type="dxa" w:w="60"/>
              <w:right w:type="dxa" w:w="100"/>
            </w:tcMar>
          </w:tcPr>
          <w:p>
            <w:pPr>
              <w:spacing w:after="0" w:line="240"/>
            </w:pPr>
            <w:r>
              <w:rPr>
                <w:b/>
                <w:bCs/>
                <w:color w:val="FFFFFF"/>
                <w:sz w:val="18"/>
                <w:szCs w:val="18"/>
              </w:rPr>
              <w:t xml:space="preserve">Applies to</w:t>
            </w:r>
          </w:p>
        </w:tc>
      </w:tr>
      <w:tr>
        <w:tc>
          <w:tcPr>
            <w:tcW w:type="dxa" w:w="2700"/>
            <w:tcMar>
              <w:top w:type="dxa" w:w="60"/>
              <w:left w:type="dxa" w:w="100"/>
              <w:bottom w:type="dxa" w:w="60"/>
              <w:right w:type="dxa" w:w="100"/>
            </w:tcMar>
          </w:tcPr>
          <w:p>
            <w:pPr>
              <w:spacing w:after="0" w:line="240"/>
            </w:pPr>
            <w:r>
              <w:rPr>
                <w:b w:val="false"/>
                <w:bCs w:val="false"/>
                <w:sz w:val="18"/>
                <w:szCs w:val="18"/>
              </w:rPr>
              <w:t xml:space="preserve">cell-crossing</w:t>
            </w:r>
          </w:p>
        </w:tc>
        <w:tc>
          <w:tcPr>
            <w:tcW w:type="dxa" w:w="3000"/>
            <w:tcMar>
              <w:top w:type="dxa" w:w="60"/>
              <w:left w:type="dxa" w:w="100"/>
              <w:bottom w:type="dxa" w:w="60"/>
              <w:right w:type="dxa" w:w="100"/>
            </w:tcMar>
          </w:tcPr>
          <w:p>
            <w:pPr>
              <w:spacing w:after="0" w:line="240"/>
            </w:pPr>
            <w:r>
              <w:rPr>
                <w:b w:val="false"/>
                <w:bCs w:val="false"/>
                <w:sz w:val="18"/>
                <w:szCs w:val="18"/>
              </w:rPr>
              <w:t xml:space="preserve">Δt ≤ ε_cell Δ_cell / |U + v b̂|</w:t>
            </w:r>
          </w:p>
        </w:tc>
        <w:tc>
          <w:tcPr>
            <w:tcW w:type="dxa" w:w="2000"/>
            <w:tcMar>
              <w:top w:type="dxa" w:w="60"/>
              <w:left w:type="dxa" w:w="100"/>
              <w:bottom w:type="dxa" w:w="60"/>
              <w:right w:type="dxa" w:w="100"/>
            </w:tcMar>
          </w:tcPr>
          <w:p>
            <w:pPr>
              <w:spacing w:after="0" w:line="240"/>
            </w:pPr>
            <w:r>
              <w:rPr>
                <w:b w:val="false"/>
                <w:bCs w:val="false"/>
                <w:sz w:val="18"/>
                <w:szCs w:val="18"/>
              </w:rPr>
              <w:t xml:space="preserve">ε_cell = 0.3</w:t>
            </w:r>
          </w:p>
        </w:tc>
        <w:tc>
          <w:tcPr>
            <w:tcW w:type="dxa" w:w="2380"/>
            <w:tcMar>
              <w:top w:type="dxa" w:w="60"/>
              <w:left w:type="dxa" w:w="100"/>
              <w:bottom w:type="dxa" w:w="60"/>
              <w:right w:type="dxa" w:w="100"/>
            </w:tcMar>
          </w:tcPr>
          <w:p>
            <w:pPr>
              <w:spacing w:after="0" w:line="240"/>
            </w:pPr>
            <w:r>
              <w:rPr>
                <w:b w:val="false"/>
                <w:bCs w:val="false"/>
                <w:sz w:val="18"/>
                <w:szCs w:val="18"/>
              </w:rPr>
              <w:t xml:space="preserve">both</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diffusion-length</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Δt ≤ ε_diff Δ_cell² / (2 κ_max)</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ε_diff = 0.25</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Parker</w:t>
            </w:r>
          </w:p>
        </w:tc>
      </w:tr>
      <w:tr>
        <w:tc>
          <w:tcPr>
            <w:tcW w:type="dxa" w:w="2700"/>
            <w:tcMar>
              <w:top w:type="dxa" w:w="60"/>
              <w:left w:type="dxa" w:w="100"/>
              <w:bottom w:type="dxa" w:w="60"/>
              <w:right w:type="dxa" w:w="100"/>
            </w:tcMar>
          </w:tcPr>
          <w:p>
            <w:pPr>
              <w:spacing w:after="0" w:line="240"/>
            </w:pPr>
            <w:r>
              <w:rPr>
                <w:b w:val="false"/>
                <w:bCs w:val="false"/>
                <w:sz w:val="18"/>
                <w:szCs w:val="18"/>
              </w:rPr>
              <w:t xml:space="preserve">diffusion-drift</w:t>
            </w:r>
          </w:p>
        </w:tc>
        <w:tc>
          <w:tcPr>
            <w:tcW w:type="dxa" w:w="3000"/>
            <w:tcMar>
              <w:top w:type="dxa" w:w="60"/>
              <w:left w:type="dxa" w:w="100"/>
              <w:bottom w:type="dxa" w:w="60"/>
              <w:right w:type="dxa" w:w="100"/>
            </w:tcMar>
          </w:tcPr>
          <w:p>
            <w:pPr>
              <w:spacing w:after="0" w:line="240"/>
            </w:pPr>
            <w:r>
              <w:rPr>
                <w:b w:val="false"/>
                <w:bCs w:val="false"/>
                <w:sz w:val="18"/>
                <w:szCs w:val="18"/>
              </w:rPr>
              <w:t xml:space="preserve">Δt ≤ ε_cell Δ_cell / |∇·κ|</w:t>
            </w:r>
          </w:p>
        </w:tc>
        <w:tc>
          <w:tcPr>
            <w:tcW w:type="dxa" w:w="2000"/>
            <w:tcMar>
              <w:top w:type="dxa" w:w="60"/>
              <w:left w:type="dxa" w:w="100"/>
              <w:bottom w:type="dxa" w:w="60"/>
              <w:right w:type="dxa" w:w="100"/>
            </w:tcMar>
          </w:tcPr>
          <w:p>
            <w:pPr>
              <w:spacing w:after="0" w:line="240"/>
            </w:pPr>
            <w:r>
              <w:rPr>
                <w:b w:val="false"/>
                <w:bCs w:val="false"/>
                <w:sz w:val="18"/>
                <w:szCs w:val="18"/>
              </w:rPr>
              <w:t xml:space="preserve">ε_cell = 0.3</w:t>
            </w:r>
          </w:p>
        </w:tc>
        <w:tc>
          <w:tcPr>
            <w:tcW w:type="dxa" w:w="2380"/>
            <w:tcMar>
              <w:top w:type="dxa" w:w="60"/>
              <w:left w:type="dxa" w:w="100"/>
              <w:bottom w:type="dxa" w:w="60"/>
              <w:right w:type="dxa" w:w="100"/>
            </w:tcMar>
          </w:tcPr>
          <w:p>
            <w:pPr>
              <w:spacing w:after="0" w:line="240"/>
            </w:pPr>
            <w:r>
              <w:rPr>
                <w:b w:val="false"/>
                <w:bCs w:val="false"/>
                <w:sz w:val="18"/>
                <w:szCs w:val="18"/>
              </w:rPr>
              <w:t xml:space="preserve">Parker</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cooling</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Δt ≤ ε_p / |∇·U|</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ε_p = 0.05 (≈5% in ln p)</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both</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focusing</w:t>
            </w:r>
          </w:p>
        </w:tc>
        <w:tc>
          <w:tcPr>
            <w:tcW w:type="dxa" w:w="3000"/>
            <w:tcMar>
              <w:top w:type="dxa" w:w="60"/>
              <w:left w:type="dxa" w:w="100"/>
              <w:bottom w:type="dxa" w:w="60"/>
              <w:right w:type="dxa" w:w="100"/>
            </w:tcMar>
          </w:tcPr>
          <w:p>
            <w:pPr>
              <w:spacing w:after="0" w:line="240"/>
            </w:pPr>
            <w:r>
              <w:rPr>
                <w:b w:val="false"/>
                <w:bCs w:val="false"/>
                <w:sz w:val="18"/>
                <w:szCs w:val="18"/>
              </w:rPr>
              <w:t xml:space="preserve">Δt ≤ ε_μ · 2L / v</w:t>
            </w:r>
          </w:p>
        </w:tc>
        <w:tc>
          <w:tcPr>
            <w:tcW w:type="dxa" w:w="2000"/>
            <w:tcMar>
              <w:top w:type="dxa" w:w="60"/>
              <w:left w:type="dxa" w:w="100"/>
              <w:bottom w:type="dxa" w:w="60"/>
              <w:right w:type="dxa" w:w="100"/>
            </w:tcMar>
          </w:tcPr>
          <w:p>
            <w:pPr>
              <w:spacing w:after="0" w:line="240"/>
            </w:pPr>
            <w:r>
              <w:rPr>
                <w:b w:val="false"/>
                <w:bCs w:val="false"/>
                <w:sz w:val="18"/>
                <w:szCs w:val="18"/>
              </w:rPr>
              <w:t xml:space="preserve">ε_μ = 0.1</w:t>
            </w:r>
          </w:p>
        </w:tc>
        <w:tc>
          <w:tcPr>
            <w:tcW w:type="dxa" w:w="2380"/>
            <w:tcMar>
              <w:top w:type="dxa" w:w="60"/>
              <w:left w:type="dxa" w:w="100"/>
              <w:bottom w:type="dxa" w:w="60"/>
              <w:right w:type="dxa" w:w="100"/>
            </w:tcMar>
          </w:tcPr>
          <w:p>
            <w:pPr>
              <w:spacing w:after="0" w:line="240"/>
            </w:pPr>
            <w:r>
              <w:rPr>
                <w:b w:val="false"/>
                <w:bCs w:val="false"/>
                <w:sz w:val="18"/>
                <w:szCs w:val="18"/>
              </w:rPr>
              <w:t xml:space="preserve">focused</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pitch-diffusion-amplitude</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Δt ≤ ε_μrms² / (2 D_μμ,max)</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ε_μrms = 0.2</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focused</w:t>
            </w:r>
          </w:p>
        </w:tc>
      </w:tr>
      <w:tr>
        <w:tc>
          <w:tcPr>
            <w:tcW w:type="dxa" w:w="2700"/>
            <w:tcMar>
              <w:top w:type="dxa" w:w="60"/>
              <w:left w:type="dxa" w:w="100"/>
              <w:bottom w:type="dxa" w:w="60"/>
              <w:right w:type="dxa" w:w="100"/>
            </w:tcMar>
          </w:tcPr>
          <w:p>
            <w:pPr>
              <w:spacing w:after="0" w:line="240"/>
            </w:pPr>
            <w:r>
              <w:rPr>
                <w:b w:val="false"/>
                <w:bCs w:val="false"/>
                <w:sz w:val="18"/>
                <w:szCs w:val="18"/>
              </w:rPr>
              <w:t xml:space="preserve">pitch-diffusion-drift</w:t>
            </w:r>
          </w:p>
        </w:tc>
        <w:tc>
          <w:tcPr>
            <w:tcW w:type="dxa" w:w="3000"/>
            <w:tcMar>
              <w:top w:type="dxa" w:w="60"/>
              <w:left w:type="dxa" w:w="100"/>
              <w:bottom w:type="dxa" w:w="60"/>
              <w:right w:type="dxa" w:w="100"/>
            </w:tcMar>
          </w:tcPr>
          <w:p>
            <w:pPr>
              <w:spacing w:after="0" w:line="240"/>
            </w:pPr>
            <w:r>
              <w:rPr>
                <w:b w:val="false"/>
                <w:bCs w:val="false"/>
                <w:sz w:val="18"/>
                <w:szCs w:val="18"/>
              </w:rPr>
              <w:t xml:space="preserve">Δt ≤ ε_μ / |∂D_μμ/∂μ|</w:t>
            </w:r>
          </w:p>
        </w:tc>
        <w:tc>
          <w:tcPr>
            <w:tcW w:type="dxa" w:w="2000"/>
            <w:tcMar>
              <w:top w:type="dxa" w:w="60"/>
              <w:left w:type="dxa" w:w="100"/>
              <w:bottom w:type="dxa" w:w="60"/>
              <w:right w:type="dxa" w:w="100"/>
            </w:tcMar>
          </w:tcPr>
          <w:p>
            <w:pPr>
              <w:spacing w:after="0" w:line="240"/>
            </w:pPr>
            <w:r>
              <w:rPr>
                <w:b w:val="false"/>
                <w:bCs w:val="false"/>
                <w:sz w:val="18"/>
                <w:szCs w:val="18"/>
              </w:rPr>
              <w:t xml:space="preserve">ε_μ = 0.1</w:t>
            </w:r>
          </w:p>
        </w:tc>
        <w:tc>
          <w:tcPr>
            <w:tcW w:type="dxa" w:w="2380"/>
            <w:tcMar>
              <w:top w:type="dxa" w:w="60"/>
              <w:left w:type="dxa" w:w="100"/>
              <w:bottom w:type="dxa" w:w="60"/>
              <w:right w:type="dxa" w:w="100"/>
            </w:tcMar>
          </w:tcPr>
          <w:p>
            <w:pPr>
              <w:spacing w:after="0" w:line="240"/>
            </w:pPr>
            <w:r>
              <w:rPr>
                <w:b w:val="false"/>
                <w:bCs w:val="false"/>
                <w:sz w:val="18"/>
                <w:szCs w:val="18"/>
              </w:rPr>
              <w:t xml:space="preserve">focused</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field-gradient</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Δt ≤ ε_B L_B / v</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ε_B = 0.2</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both</w:t>
            </w:r>
          </w:p>
        </w:tc>
      </w:tr>
      <w:tr>
        <w:tc>
          <w:tcPr>
            <w:tcW w:type="dxa" w:w="2700"/>
            <w:tcMar>
              <w:top w:type="dxa" w:w="60"/>
              <w:left w:type="dxa" w:w="100"/>
              <w:bottom w:type="dxa" w:w="60"/>
              <w:right w:type="dxa" w:w="100"/>
            </w:tcMar>
          </w:tcPr>
          <w:p>
            <w:pPr>
              <w:spacing w:after="0" w:line="240"/>
            </w:pPr>
            <w:r>
              <w:rPr>
                <w:b w:val="false"/>
                <w:bCs w:val="false"/>
                <w:sz w:val="18"/>
                <w:szCs w:val="18"/>
              </w:rPr>
              <w:t xml:space="preserve">background-validity</w:t>
            </w:r>
          </w:p>
        </w:tc>
        <w:tc>
          <w:tcPr>
            <w:tcW w:type="dxa" w:w="3000"/>
            <w:tcMar>
              <w:top w:type="dxa" w:w="60"/>
              <w:left w:type="dxa" w:w="100"/>
              <w:bottom w:type="dxa" w:w="60"/>
              <w:right w:type="dxa" w:w="100"/>
            </w:tcMar>
          </w:tcPr>
          <w:p>
            <w:pPr>
              <w:spacing w:after="0" w:line="240"/>
            </w:pPr>
            <w:r>
              <w:rPr>
                <w:b w:val="false"/>
                <w:bCs w:val="false"/>
                <w:sz w:val="18"/>
                <w:szCs w:val="18"/>
              </w:rPr>
              <w:t xml:space="preserve">Δt ≤ t_next_snapshot − t</w:t>
            </w:r>
          </w:p>
        </w:tc>
        <w:tc>
          <w:tcPr>
            <w:tcW w:type="dxa" w:w="2000"/>
            <w:tcMar>
              <w:top w:type="dxa" w:w="60"/>
              <w:left w:type="dxa" w:w="100"/>
              <w:bottom w:type="dxa" w:w="60"/>
              <w:right w:type="dxa" w:w="100"/>
            </w:tcMar>
          </w:tcPr>
          <w:p>
            <w:pPr>
              <w:spacing w:after="0" w:line="240"/>
            </w:pPr>
            <w:r>
              <w:rPr>
                <w:b w:val="false"/>
                <w:bCs w:val="false"/>
                <w:sz w:val="18"/>
                <w:szCs w:val="18"/>
              </w:rPr>
              <w:t xml:space="preserve">—</w:t>
            </w:r>
          </w:p>
        </w:tc>
        <w:tc>
          <w:tcPr>
            <w:tcW w:type="dxa" w:w="2380"/>
            <w:tcMar>
              <w:top w:type="dxa" w:w="60"/>
              <w:left w:type="dxa" w:w="100"/>
              <w:bottom w:type="dxa" w:w="60"/>
              <w:right w:type="dxa" w:w="100"/>
            </w:tcMar>
          </w:tcPr>
          <w:p>
            <w:pPr>
              <w:spacing w:after="0" w:line="240"/>
            </w:pPr>
            <w:r>
              <w:rPr>
                <w:b w:val="false"/>
                <w:bCs w:val="false"/>
                <w:sz w:val="18"/>
                <w:szCs w:val="18"/>
              </w:rPr>
              <w:t xml:space="preserve">both</w:t>
            </w:r>
          </w:p>
        </w:tc>
      </w:tr>
      <w:tr>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shock-crossing</w:t>
            </w:r>
          </w:p>
        </w:tc>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Δt ≤ ε_sh d_shock / |v_rel|</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ε_sh = 0.2</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both (SWCME)</w:t>
            </w:r>
          </w:p>
        </w:tc>
      </w:tr>
    </w:tbl>
    <w:p>
      <w:pPr>
        <w:spacing w:after="140"/>
      </w:pPr>
    </w:p>
    <w:p>
      <w:pPr>
        <w:spacing w:after="120" w:line="264"/>
        <w:jc w:val="left"/>
      </w:pPr>
      <w:r>
        <w:rPr>
          <w:b w:val="false"/>
          <w:bCs w:val="false"/>
          <w:i w:val="false"/>
          <w:iCs w:val="false"/>
        </w:rPr>
        <w:t xml:space="preserve">Because AMPS assigns a per-block time step through </w:t>
      </w:r>
      <w:r>
        <w:rPr>
          <w:rFonts w:ascii="Consolas" w:cs="Consolas" w:eastAsia="Consolas" w:hAnsi="Consolas"/>
          <w:b w:val="false"/>
          <w:bCs w:val="false"/>
          <w:i w:val="false"/>
          <w:iCs w:val="false"/>
          <w:sz w:val="19"/>
          <w:szCs w:val="19"/>
        </w:rPr>
        <w:t xml:space="preserve">PIC::ParticleWeightTimeStep::LocalTimeStep</w:t>
      </w:r>
      <w:r>
        <w:rPr>
          <w:b w:val="false"/>
          <w:bCs w:val="false"/>
          <w:i w:val="false"/>
          <w:iCs w:val="false"/>
        </w:rPr>
        <w:t xml:space="preserve">, the block-level value is set from the cell-crossing and field-gradient limits (which depend only on position and species), while the remaining limits are applied as substeps inside the mover. This keeps the global iteration structure unchanged and confines the adaptive work to the mover.</w:t>
      </w:r>
    </w:p>
    <w:p>
      <w:pPr>
        <w:pStyle w:val="Heading2"/>
        <w:spacing w:after="120" w:before="280"/>
      </w:pPr>
      <w:r>
        <w:t xml:space="preserve">4.8 Deterministic random streams</w:t>
      </w:r>
    </w:p>
    <w:p>
      <w:pPr>
        <w:spacing w:after="120" w:line="264"/>
        <w:jc w:val="left"/>
      </w:pPr>
      <w:r>
        <w:rPr>
          <w:b w:val="false"/>
          <w:bCs w:val="false"/>
          <w:i w:val="false"/>
          <w:iCs w:val="false"/>
        </w:rPr>
        <w:t xml:space="preserve">srcSEP’s </w:t>
      </w:r>
      <w:r>
        <w:rPr>
          <w:rFonts w:ascii="Consolas" w:cs="Consolas" w:eastAsia="Consolas" w:hAnsi="Consolas"/>
          <w:b w:val="false"/>
          <w:bCs w:val="false"/>
          <w:i w:val="false"/>
          <w:iCs w:val="false"/>
          <w:sz w:val="19"/>
          <w:szCs w:val="19"/>
        </w:rPr>
        <w:t xml:space="preserve">KeyedRandomStream</w:t>
      </w:r>
      <w:r>
        <w:rPr>
          <w:b w:val="false"/>
          <w:bCs w:val="false"/>
          <w:i w:val="false"/>
          <w:iCs w:val="false"/>
        </w:rPr>
        <w:t xml:space="preserve"> is reused without modification. The key tuple is (campaign seed, event index, species, macroparticle identity, operator purpose, substep index). MPI rank, thread number, and particle-buffer address are </w:t>
      </w:r>
      <w:r>
        <w:rPr>
          <w:b/>
          <w:bCs/>
          <w:i w:val="false"/>
          <w:iCs w:val="false"/>
        </w:rPr>
        <w:t xml:space="preserve">not</w:t>
      </w:r>
      <w:r>
        <w:rPr>
          <w:b w:val="false"/>
          <w:bCs w:val="false"/>
          <w:i w:val="false"/>
          <w:iCs w:val="false"/>
        </w:rPr>
        <w:t xml:space="preserve"> keys. In three dimensions the purpose tags are extended to: </w:t>
      </w:r>
      <w:r>
        <w:rPr>
          <w:rFonts w:ascii="Consolas" w:cs="Consolas" w:eastAsia="Consolas" w:hAnsi="Consolas"/>
          <w:b w:val="false"/>
          <w:bCs w:val="false"/>
          <w:i w:val="false"/>
          <w:iCs w:val="false"/>
          <w:sz w:val="19"/>
          <w:szCs w:val="19"/>
        </w:rPr>
        <w:t xml:space="preserve">parallel-noise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perp-noise-1</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perp-noise-2</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gyrophase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pitch-kick</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injection-position</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injection-momentum</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injection-pitch</w:t>
      </w:r>
      <w:r>
        <w:rPr>
          <w:b w:val="false"/>
          <w:bCs w:val="false"/>
          <w:i w:val="false"/>
          <w:iCs w:val="false"/>
        </w:rPr>
        <w:t xml:space="preserve">. Distinct purposes guarantee that turning on perpendicular diffusion later cannot perturb the parallel stream of an existing validated run.</w:t>
      </w:r>
    </w:p>
    <w:p>
      <w:pPr>
        <w:pStyle w:val="Heading2"/>
        <w:spacing w:after="120" w:before="280"/>
      </w:pPr>
      <w:r>
        <w:t xml:space="preserve">4.9 Electrons</w:t>
      </w:r>
    </w:p>
    <w:p>
      <w:pPr>
        <w:spacing w:after="120" w:line="264"/>
        <w:jc w:val="left"/>
      </w:pPr>
      <w:r>
        <w:t xml:space="preserve">The requirement to model energetic electrons as well as ions has three concrete consequences that must be designed in rather than discovered later.</w:t>
      </w:r>
    </w:p>
    <w:p>
      <w:pPr>
        <w:pStyle w:val="ListParagraph"/>
        <w:numPr>
          <w:ilvl w:val="0"/>
          <w:numId w:val="4"/>
        </w:numPr>
        <w:spacing w:after="60" w:line="264"/>
      </w:pPr>
      <w:r>
        <w:rPr>
          <w:b/>
          <w:bCs/>
          <w:i w:val="false"/>
          <w:iCs w:val="false"/>
        </w:rPr>
        <w:t xml:space="preserve">Resonance range. </w:t>
      </w:r>
      <w:r>
        <w:rPr>
          <w:b w:val="false"/>
          <w:bCs w:val="false"/>
          <w:i w:val="false"/>
          <w:iCs w:val="false"/>
        </w:rPr>
        <w:t xml:space="preserve">At a given rigidity an electron and a proton have the same Larmor radius, so quasi-linear resonance k_res = Ω/(v|μ|) reaches much larger k for electrons at the energies of interest (tens of keV to a few MeV). A prescribed inertial-range spectrum truncated at k_max ≈ 10⁻⁷ m⁻¹ at 1 AU does not cover electron resonance. The coefficient registry therefore exposes k_min and k_max with independent radial exponents, and srcSEP3D adds a per-species spectrum-extension policy: </w:t>
      </w:r>
      <w:r>
        <w:rPr>
          <w:rFonts w:ascii="Consolas" w:cs="Consolas" w:eastAsia="Consolas" w:hAnsi="Consolas"/>
          <w:b w:val="false"/>
          <w:bCs w:val="false"/>
          <w:i w:val="false"/>
          <w:iCs w:val="false"/>
          <w:sz w:val="19"/>
          <w:szCs w:val="19"/>
        </w:rPr>
        <w:t xml:space="preserve">reject</w:t>
      </w:r>
      <w:r>
        <w:rPr>
          <w:b w:val="false"/>
          <w:bCs w:val="false"/>
          <w:i w:val="false"/>
          <w:iCs w:val="false"/>
        </w:rPr>
        <w:t xml:space="preserve"> (default, fail if a species resonates outside the configured band), </w:t>
      </w:r>
      <w:r>
        <w:rPr>
          <w:rFonts w:ascii="Consolas" w:cs="Consolas" w:eastAsia="Consolas" w:hAnsi="Consolas"/>
          <w:b w:val="false"/>
          <w:bCs w:val="false"/>
          <w:i w:val="false"/>
          <w:iCs w:val="false"/>
          <w:sz w:val="19"/>
          <w:szCs w:val="19"/>
        </w:rPr>
        <w:t xml:space="preserve">extend-power-law</w:t>
      </w:r>
      <w:r>
        <w:rPr>
          <w:b w:val="false"/>
          <w:bCs w:val="false"/>
          <w:i w:val="false"/>
          <w:iCs w:val="false"/>
        </w:rPr>
        <w:t xml:space="preserve">, or </w:t>
      </w:r>
      <w:r>
        <w:rPr>
          <w:rFonts w:ascii="Consolas" w:cs="Consolas" w:eastAsia="Consolas" w:hAnsi="Consolas"/>
          <w:b w:val="false"/>
          <w:bCs w:val="false"/>
          <w:i w:val="false"/>
          <w:iCs w:val="false"/>
          <w:sz w:val="19"/>
          <w:szCs w:val="19"/>
        </w:rPr>
        <w:t xml:space="preserve">dissipation-range</w:t>
      </w:r>
      <w:r>
        <w:rPr>
          <w:b w:val="false"/>
          <w:bCs w:val="false"/>
          <w:i w:val="false"/>
          <w:iCs w:val="false"/>
        </w:rPr>
        <w:t xml:space="preserve"> (steeper index beyond a configured break). Which is used is recorded in the manifest.</w:t>
      </w:r>
    </w:p>
    <w:p>
      <w:pPr>
        <w:pStyle w:val="ListParagraph"/>
        <w:numPr>
          <w:ilvl w:val="0"/>
          <w:numId w:val="4"/>
        </w:numPr>
        <w:spacing w:after="60" w:line="264"/>
      </w:pPr>
      <w:r>
        <w:rPr>
          <w:b/>
          <w:bCs/>
          <w:i w:val="false"/>
          <w:iCs w:val="false"/>
        </w:rPr>
        <w:t xml:space="preserve">Time-step separation. </w:t>
      </w:r>
      <w:r>
        <w:rPr>
          <w:b w:val="false"/>
          <w:bCs w:val="false"/>
          <w:i w:val="false"/>
          <w:iCs w:val="false"/>
        </w:rPr>
        <w:t xml:space="preserve">Relativistic electrons stream at nearly c, so the cell-crossing limit is roughly 400× tighter than for 1 MeV protons. Species-dependent block time steps already exist in AMPS (</w:t>
      </w:r>
      <w:r>
        <w:rPr>
          <w:rFonts w:ascii="Consolas" w:cs="Consolas" w:eastAsia="Consolas" w:hAnsi="Consolas"/>
          <w:b w:val="false"/>
          <w:bCs w:val="false"/>
          <w:i w:val="false"/>
          <w:iCs w:val="false"/>
          <w:sz w:val="19"/>
          <w:szCs w:val="19"/>
        </w:rPr>
        <w:t xml:space="preserve">LocalTimeStep(spec, node)</w:t>
      </w:r>
      <w:r>
        <w:rPr>
          <w:b w:val="false"/>
          <w:bCs w:val="false"/>
          <w:i w:val="false"/>
          <w:iCs w:val="false"/>
        </w:rPr>
        <w:t xml:space="preserve">); srcSEP3D uses them, and the per-species particle weights are set independently so an electron run does not force proton statistics to collapse.</w:t>
      </w:r>
    </w:p>
    <w:p>
      <w:pPr>
        <w:pStyle w:val="ListParagraph"/>
        <w:numPr>
          <w:ilvl w:val="0"/>
          <w:numId w:val="4"/>
        </w:numPr>
        <w:spacing w:after="60" w:line="264"/>
      </w:pPr>
      <w:r>
        <w:rPr>
          <w:b/>
          <w:bCs/>
          <w:i w:val="false"/>
          <w:iCs w:val="false"/>
        </w:rPr>
        <w:t xml:space="preserve">Validity of the guiding-centre assumption. </w:t>
      </w:r>
      <w:r>
        <w:rPr>
          <w:b w:val="false"/>
          <w:bCs w:val="false"/>
          <w:i w:val="false"/>
          <w:iCs w:val="false"/>
        </w:rPr>
        <w:t xml:space="preserve">Both movers assume the gyroradius is small relative to the field-gradient scale. A diagnostic counter reports the maximum r_L/L_B encountered per species per output interval, and a configurable threshold turns a violation into a run-time warning or a hard error.</w:t>
      </w:r>
    </w:p>
    <w:p>
      <w:r>
        <w:br w:type="page"/>
      </w:r>
    </w:p>
    <w:p>
      <w:pPr>
        <w:pStyle w:val="Heading1"/>
        <w:spacing w:after="160" w:before="360"/>
      </w:pPr>
      <w:r>
        <w:t xml:space="preserve">5. Background Magnetic Field and Plasma State</w:t>
      </w:r>
    </w:p>
    <w:p>
      <w:pPr>
        <w:pStyle w:val="Heading2"/>
        <w:spacing w:after="120" w:before="280"/>
      </w:pPr>
      <w:r>
        <w:t xml:space="preserve">5.1 One provider contract</w:t>
      </w:r>
    </w:p>
    <w:p>
      <w:pPr>
        <w:spacing w:after="120" w:line="264"/>
        <w:jc w:val="left"/>
      </w:pPr>
      <w:r>
        <w:t xml:space="preserve">Every background source implements the same interface. This is the single most important abstraction in the model: the movers, the mesh-filling code, the samplers, and the tests all speak only this language.</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struct BackgroundSample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Status status;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bool   valid;                 // false =&gt; this point has no background data</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Vec3   B;                     // [T]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absB;                  // [T]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Vec3   bHat;                  // dimensionless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Tensor3 gradB;                // dB_i/dx_j [T/m]   (optional, see flags)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Vec3   U;                     // plasma bulk velocity [m/s]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Tensor3 gradU;                // dU_i/dx_j [1/s]   (optional)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divU;                  // [1/s]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fieldAlignedStrain;    // b b : grad U [1/s]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numberDensity;         // [m^-3]</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pressure;              // [Pa]</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temperature;           // [K]</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alfvenSpeed;           // [m/s]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focusingLengthM;       // L = -(dln|B|/ds)^-1, +inf for uniform B</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uint64_t generation;          // immutable snapshot identity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uint64_t configurationDigest; // provider configuration fingerprint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class BackgroundProvider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public: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~BackgroundProvider()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const char* CanonicalName() const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Status      Validate() const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Status      Prepare(double timeS) = 0;   // update cadence, once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BackgroundSample Evaluate(const Vec3&amp; xM) const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Status      EvaluateBatch(const double* x, const double* 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const double* z, std::size_t 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BackgroundSampleSoA* out) const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std::string ResolvedManifest() const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virtual ProviderCapabilities Capabilities() const = 0;</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w:t>
      </w:r>
    </w:p>
    <w:p>
      <w:pPr>
        <w:spacing w:after="120" w:line="264"/>
        <w:jc w:val="left"/>
      </w:pPr>
      <w:r>
        <w:rPr>
          <w:b w:val="false"/>
          <w:bCs w:val="false"/>
          <w:i w:val="false"/>
          <w:iCs w:val="false"/>
        </w:rPr>
        <w:t xml:space="preserve">The prepare/evaluate split is taken directly from SWCME’s prepared-state lifecycle, which has already been hardened for ownership, configuration identity, integrity sealing, and concurrent read-only evaluation. Adopting the same shape for the Parker and external providers means the calling code is identical for all three and that a provider swap is a one-line change.</w:t>
      </w:r>
    </w:p>
    <w:p>
      <w:pPr>
        <w:spacing w:after="120" w:line="264"/>
        <w:jc w:val="left"/>
      </w:pPr>
      <w:r>
        <w:rPr>
          <w:b w:val="false"/>
          <w:bCs w:val="false"/>
          <w:i w:val="false"/>
          <w:iCs w:val="false"/>
        </w:rPr>
        <w:t xml:space="preserve">The </w:t>
      </w:r>
      <w:r>
        <w:rPr>
          <w:rFonts w:ascii="Consolas" w:cs="Consolas" w:eastAsia="Consolas" w:hAnsi="Consolas"/>
          <w:b w:val="false"/>
          <w:bCs w:val="false"/>
          <w:i w:val="false"/>
          <w:iCs w:val="false"/>
          <w:sz w:val="19"/>
          <w:szCs w:val="19"/>
        </w:rPr>
        <w:t xml:space="preserve">valid</w:t>
      </w:r>
      <w:r>
        <w:rPr>
          <w:b w:val="false"/>
          <w:bCs w:val="false"/>
          <w:i w:val="false"/>
          <w:iCs w:val="false"/>
        </w:rPr>
        <w:t xml:space="preserve"> flag exists because of the external-script provider, where a point may legitimately have no field value. It is carried by all providers so that no downstream code has a special case. The Parker provider returns </w:t>
      </w:r>
      <w:r>
        <w:rPr>
          <w:rFonts w:ascii="Consolas" w:cs="Consolas" w:eastAsia="Consolas" w:hAnsi="Consolas"/>
          <w:b w:val="false"/>
          <w:bCs w:val="false"/>
          <w:i w:val="false"/>
          <w:iCs w:val="false"/>
          <w:sz w:val="19"/>
          <w:szCs w:val="19"/>
        </w:rPr>
        <w:t xml:space="preserve">valid = false</w:t>
      </w:r>
      <w:r>
        <w:rPr>
          <w:b w:val="false"/>
          <w:bCs w:val="false"/>
          <w:i w:val="false"/>
          <w:iCs w:val="false"/>
        </w:rPr>
        <w:t xml:space="preserve"> below the inner boundary radius; SWCME returns it below 1.05 R☉, matching its declared model domain.</w:t>
      </w:r>
    </w:p>
    <w:p>
      <w:pPr>
        <w:pStyle w:val="Heading2"/>
        <w:spacing w:after="120" w:before="280"/>
      </w:pPr>
      <w:r>
        <w:t xml:space="preserve">5.2 Cell-centred storage and derived quantities</w:t>
      </w:r>
    </w:p>
    <w:p>
      <w:pPr>
        <w:spacing w:after="120" w:line="264"/>
        <w:jc w:val="left"/>
      </w:pPr>
      <w:r>
        <w:rPr>
          <w:b w:val="false"/>
          <w:bCs w:val="false"/>
          <w:i w:val="false"/>
          <w:iCs w:val="false"/>
        </w:rPr>
        <w:t xml:space="preserve">The background is evaluated once per update cadence at every cell centre and stored in the AMPS associated-data buffer through the existing </w:t>
      </w:r>
      <w:r>
        <w:rPr>
          <w:rFonts w:ascii="Consolas" w:cs="Consolas" w:eastAsia="Consolas" w:hAnsi="Consolas"/>
          <w:b w:val="false"/>
          <w:bCs w:val="false"/>
          <w:i w:val="false"/>
          <w:iCs w:val="false"/>
          <w:sz w:val="19"/>
          <w:szCs w:val="19"/>
        </w:rPr>
        <w:t xml:space="preserve">PIC::CPLR::DATAFILE</w:t>
      </w:r>
      <w:r>
        <w:rPr>
          <w:b w:val="false"/>
          <w:bCs w:val="false"/>
          <w:i w:val="false"/>
          <w:iCs w:val="false"/>
        </w:rPr>
        <w:t xml:space="preserve"> offset mechanism. This is the pattern the user pointed to in the AMPS archive and it is the right one: it gives free trilinear interpolation, free Tecplot output, free binary save/load, and free time interpolation between two loaded snapshots.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600"/>
        <w:gridCol w:w="1300"/>
        <w:gridCol w:w="2000"/>
        <w:gridCol w:w="4180"/>
      </w:tblGrid>
      <w:tr>
        <w:trPr>
          <w:tblHeader/>
        </w:trPr>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Offset</w:t>
            </w:r>
          </w:p>
        </w:tc>
        <w:tc>
          <w:tcPr>
            <w:tcW w:type="dxa" w:w="1300"/>
            <w:shd w:fill="1F3864" w:val="clear"/>
            <w:tcMar>
              <w:top w:type="dxa" w:w="60"/>
              <w:left w:type="dxa" w:w="100"/>
              <w:bottom w:type="dxa" w:w="60"/>
              <w:right w:type="dxa" w:w="100"/>
            </w:tcMar>
          </w:tcPr>
          <w:p>
            <w:pPr>
              <w:spacing w:after="0" w:line="240"/>
            </w:pPr>
            <w:r>
              <w:rPr>
                <w:b/>
                <w:bCs/>
                <w:color w:val="FFFFFF"/>
                <w:sz w:val="18"/>
                <w:szCs w:val="18"/>
              </w:rPr>
              <w:t xml:space="preserve">Components</w:t>
            </w:r>
          </w:p>
        </w:tc>
        <w:tc>
          <w:tcPr>
            <w:tcW w:type="dxa" w:w="2000"/>
            <w:shd w:fill="1F3864" w:val="clear"/>
            <w:tcMar>
              <w:top w:type="dxa" w:w="60"/>
              <w:left w:type="dxa" w:w="100"/>
              <w:bottom w:type="dxa" w:w="60"/>
              <w:right w:type="dxa" w:w="100"/>
            </w:tcMar>
          </w:tcPr>
          <w:p>
            <w:pPr>
              <w:spacing w:after="0" w:line="240"/>
            </w:pPr>
            <w:r>
              <w:rPr>
                <w:b/>
                <w:bCs/>
                <w:color w:val="FFFFFF"/>
                <w:sz w:val="18"/>
                <w:szCs w:val="18"/>
              </w:rPr>
              <w:t xml:space="preserve">Source</w:t>
            </w:r>
          </w:p>
        </w:tc>
        <w:tc>
          <w:tcPr>
            <w:tcW w:type="dxa" w:w="4180"/>
            <w:shd w:fill="1F3864" w:val="clear"/>
            <w:tcMar>
              <w:top w:type="dxa" w:w="60"/>
              <w:left w:type="dxa" w:w="100"/>
              <w:bottom w:type="dxa" w:w="60"/>
              <w:right w:type="dxa" w:w="100"/>
            </w:tcMar>
          </w:tcPr>
          <w:p>
            <w:pPr>
              <w:spacing w:after="0" w:line="240"/>
            </w:pPr>
            <w:r>
              <w:rPr>
                <w:b/>
                <w:bCs/>
                <w:color w:val="FFFFFF"/>
                <w:sz w:val="18"/>
                <w:szCs w:val="18"/>
              </w:rPr>
              <w:t xml:space="preserve">Notes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MagneticField</w:t>
            </w:r>
          </w:p>
        </w:tc>
        <w:tc>
          <w:tcPr>
            <w:tcW w:type="dxa" w:w="1300"/>
            <w:tcMar>
              <w:top w:type="dxa" w:w="60"/>
              <w:left w:type="dxa" w:w="100"/>
              <w:bottom w:type="dxa" w:w="60"/>
              <w:right w:type="dxa" w:w="100"/>
            </w:tcMar>
          </w:tcPr>
          <w:p>
            <w:pPr>
              <w:spacing w:after="0" w:line="240"/>
            </w:pPr>
            <w:r>
              <w:rPr>
                <w:b w:val="false"/>
                <w:bCs w:val="false"/>
                <w:sz w:val="18"/>
                <w:szCs w:val="18"/>
              </w:rPr>
              <w:t xml:space="preserve">3</w:t>
            </w:r>
          </w:p>
        </w:tc>
        <w:tc>
          <w:tcPr>
            <w:tcW w:type="dxa" w:w="2000"/>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tcMar>
              <w:top w:type="dxa" w:w="60"/>
              <w:left w:type="dxa" w:w="100"/>
              <w:bottom w:type="dxa" w:w="60"/>
              <w:right w:type="dxa" w:w="100"/>
            </w:tcMar>
          </w:tcPr>
          <w:p>
            <w:pPr>
              <w:spacing w:after="0" w:line="240"/>
            </w:pPr>
            <w:r>
              <w:rPr>
                <w:b w:val="false"/>
                <w:bCs w:val="false"/>
                <w:sz w:val="18"/>
                <w:szCs w:val="18"/>
              </w:rPr>
              <w:t xml:space="preserve">Always active</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MagneticFieldGradient</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9</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provider or generated</w:t>
            </w:r>
          </w:p>
        </w:tc>
        <w:tc>
          <w:tcPr>
            <w:tcW w:type="dxa" w:w="4180"/>
            <w:shd w:fill="EEF1F6" w:val="clear"/>
            <w:tcMar>
              <w:top w:type="dxa" w:w="60"/>
              <w:left w:type="dxa" w:w="100"/>
              <w:bottom w:type="dxa" w:w="60"/>
              <w:right w:type="dxa" w:w="100"/>
            </w:tcMar>
          </w:tcPr>
          <w:p>
            <w:pPr>
              <w:spacing w:after="0" w:line="240"/>
            </w:pPr>
            <w:r>
              <w:rPr>
                <w:b w:val="false"/>
                <w:bCs w:val="false"/>
                <w:sz w:val="18"/>
                <w:szCs w:val="18"/>
              </w:rPr>
              <w:t xml:space="preserve">Analytic when Parker; otherwise second-order central differences via GenerateMagneticFieldGradient</w:t>
            </w:r>
          </w:p>
        </w:tc>
      </w:tr>
      <w:tr>
        <w:tc>
          <w:tcPr>
            <w:tcW w:type="dxa" w:w="2600"/>
            <w:tcMar>
              <w:top w:type="dxa" w:w="60"/>
              <w:left w:type="dxa" w:w="100"/>
              <w:bottom w:type="dxa" w:w="60"/>
              <w:right w:type="dxa" w:w="100"/>
            </w:tcMar>
          </w:tcPr>
          <w:p>
            <w:pPr>
              <w:spacing w:after="0" w:line="240"/>
            </w:pPr>
            <w:r>
              <w:rPr>
                <w:b w:val="false"/>
                <w:bCs w:val="false"/>
                <w:sz w:val="18"/>
                <w:szCs w:val="18"/>
              </w:rPr>
              <w:t xml:space="preserve">PlasmaBulkVelocity</w:t>
            </w:r>
          </w:p>
        </w:tc>
        <w:tc>
          <w:tcPr>
            <w:tcW w:type="dxa" w:w="1300"/>
            <w:tcMar>
              <w:top w:type="dxa" w:w="60"/>
              <w:left w:type="dxa" w:w="100"/>
              <w:bottom w:type="dxa" w:w="60"/>
              <w:right w:type="dxa" w:w="100"/>
            </w:tcMar>
          </w:tcPr>
          <w:p>
            <w:pPr>
              <w:spacing w:after="0" w:line="240"/>
            </w:pPr>
            <w:r>
              <w:rPr>
                <w:b w:val="false"/>
                <w:bCs w:val="false"/>
                <w:sz w:val="18"/>
                <w:szCs w:val="18"/>
              </w:rPr>
              <w:t xml:space="preserve">3</w:t>
            </w:r>
          </w:p>
        </w:tc>
        <w:tc>
          <w:tcPr>
            <w:tcW w:type="dxa" w:w="2000"/>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tcMar>
              <w:top w:type="dxa" w:w="60"/>
              <w:left w:type="dxa" w:w="100"/>
              <w:bottom w:type="dxa" w:w="60"/>
              <w:right w:type="dxa" w:w="100"/>
            </w:tcMar>
          </w:tcPr>
          <w:p>
            <w:pPr>
              <w:spacing w:after="0" w:line="240"/>
            </w:pPr>
            <w:r>
              <w:rPr>
                <w:b w:val="false"/>
                <w:bCs w:val="false"/>
                <w:sz w:val="18"/>
                <w:szCs w:val="18"/>
              </w:rPr>
              <w:t xml:space="preserve">Always active</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PlasmaVelocityGradient</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9</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generated</w:t>
            </w:r>
          </w:p>
        </w:tc>
        <w:tc>
          <w:tcPr>
            <w:tcW w:type="dxa" w:w="4180"/>
            <w:shd w:fill="EEF1F6" w:val="clear"/>
            <w:tcMar>
              <w:top w:type="dxa" w:w="60"/>
              <w:left w:type="dxa" w:w="100"/>
              <w:bottom w:type="dxa" w:w="60"/>
              <w:right w:type="dxa" w:w="100"/>
            </w:tcMar>
          </w:tcPr>
          <w:p>
            <w:pPr>
              <w:spacing w:after="0" w:line="240"/>
            </w:pPr>
            <w:r>
              <w:rPr>
                <w:b w:val="false"/>
                <w:bCs w:val="false"/>
                <w:sz w:val="18"/>
                <w:szCs w:val="18"/>
              </w:rPr>
              <w:t xml:space="preserve">NEW offset. Mirrors the ∇B generator; supplies ∇·U and b̂b̂:∇U</w:t>
            </w:r>
          </w:p>
        </w:tc>
      </w:tr>
      <w:tr>
        <w:tc>
          <w:tcPr>
            <w:tcW w:type="dxa" w:w="2600"/>
            <w:tcMar>
              <w:top w:type="dxa" w:w="60"/>
              <w:left w:type="dxa" w:w="100"/>
              <w:bottom w:type="dxa" w:w="60"/>
              <w:right w:type="dxa" w:w="100"/>
            </w:tcMar>
          </w:tcPr>
          <w:p>
            <w:pPr>
              <w:spacing w:after="0" w:line="240"/>
            </w:pPr>
            <w:r>
              <w:rPr>
                <w:b w:val="false"/>
                <w:bCs w:val="false"/>
                <w:sz w:val="18"/>
                <w:szCs w:val="18"/>
              </w:rPr>
              <w:t xml:space="preserve">PlasmaNumberDensity</w:t>
            </w:r>
          </w:p>
        </w:tc>
        <w:tc>
          <w:tcPr>
            <w:tcW w:type="dxa" w:w="1300"/>
            <w:tcMar>
              <w:top w:type="dxa" w:w="60"/>
              <w:left w:type="dxa" w:w="100"/>
              <w:bottom w:type="dxa" w:w="60"/>
              <w:right w:type="dxa" w:w="100"/>
            </w:tcMar>
          </w:tcPr>
          <w:p>
            <w:pPr>
              <w:spacing w:after="0" w:line="240"/>
            </w:pPr>
            <w:r>
              <w:rPr>
                <w:b w:val="false"/>
                <w:bCs w:val="false"/>
                <w:sz w:val="18"/>
                <w:szCs w:val="18"/>
              </w:rPr>
              <w:t xml:space="preserve">1</w:t>
            </w:r>
          </w:p>
        </w:tc>
        <w:tc>
          <w:tcPr>
            <w:tcW w:type="dxa" w:w="2000"/>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tcMar>
              <w:top w:type="dxa" w:w="60"/>
              <w:left w:type="dxa" w:w="100"/>
              <w:bottom w:type="dxa" w:w="60"/>
              <w:right w:type="dxa" w:w="100"/>
            </w:tcMar>
          </w:tcPr>
          <w:p>
            <w:pPr>
              <w:spacing w:after="0" w:line="240"/>
            </w:pPr>
            <w:r>
              <w:rPr>
                <w:b w:val="false"/>
                <w:bCs w:val="false"/>
                <w:sz w:val="18"/>
                <w:szCs w:val="18"/>
              </w:rPr>
              <w:t xml:space="preserve"/>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PlasmaTemperature</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1</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shd w:fill="EEF1F6" w:val="clear"/>
            <w:tcMar>
              <w:top w:type="dxa" w:w="60"/>
              <w:left w:type="dxa" w:w="100"/>
              <w:bottom w:type="dxa" w:w="60"/>
              <w:right w:type="dxa" w:w="100"/>
            </w:tcMar>
          </w:tcPr>
          <w:p>
            <w:pPr>
              <w:spacing w:after="0" w:line="240"/>
            </w:pPr>
            <w:r>
              <w:rPr>
                <w:b w:val="false"/>
                <w:bCs w:val="false"/>
                <w:sz w:val="18"/>
                <w:szCs w:val="18"/>
              </w:rPr>
              <w:t xml:space="preserve"/>
            </w:r>
          </w:p>
        </w:tc>
      </w:tr>
      <w:tr>
        <w:tc>
          <w:tcPr>
            <w:tcW w:type="dxa" w:w="2600"/>
            <w:tcMar>
              <w:top w:type="dxa" w:w="60"/>
              <w:left w:type="dxa" w:w="100"/>
              <w:bottom w:type="dxa" w:w="60"/>
              <w:right w:type="dxa" w:w="100"/>
            </w:tcMar>
          </w:tcPr>
          <w:p>
            <w:pPr>
              <w:spacing w:after="0" w:line="240"/>
            </w:pPr>
            <w:r>
              <w:rPr>
                <w:b w:val="false"/>
                <w:bCs w:val="false"/>
                <w:sz w:val="18"/>
                <w:szCs w:val="18"/>
              </w:rPr>
              <w:t xml:space="preserve">PlasmaIonPressure</w:t>
            </w:r>
          </w:p>
        </w:tc>
        <w:tc>
          <w:tcPr>
            <w:tcW w:type="dxa" w:w="1300"/>
            <w:tcMar>
              <w:top w:type="dxa" w:w="60"/>
              <w:left w:type="dxa" w:w="100"/>
              <w:bottom w:type="dxa" w:w="60"/>
              <w:right w:type="dxa" w:w="100"/>
            </w:tcMar>
          </w:tcPr>
          <w:p>
            <w:pPr>
              <w:spacing w:after="0" w:line="240"/>
            </w:pPr>
            <w:r>
              <w:rPr>
                <w:b w:val="false"/>
                <w:bCs w:val="false"/>
                <w:sz w:val="18"/>
                <w:szCs w:val="18"/>
              </w:rPr>
              <w:t xml:space="preserve">1</w:t>
            </w:r>
          </w:p>
        </w:tc>
        <w:tc>
          <w:tcPr>
            <w:tcW w:type="dxa" w:w="2000"/>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tcMar>
              <w:top w:type="dxa" w:w="60"/>
              <w:left w:type="dxa" w:w="100"/>
              <w:bottom w:type="dxa" w:w="60"/>
              <w:right w:type="dxa" w:w="100"/>
            </w:tcMar>
          </w:tcPr>
          <w:p>
            <w:pPr>
              <w:spacing w:after="0" w:line="240"/>
            </w:pPr>
            <w:r>
              <w:rPr>
                <w:b w:val="false"/>
                <w:bCs w:val="false"/>
                <w:sz w:val="18"/>
                <w:szCs w:val="18"/>
              </w:rPr>
              <w:t xml:space="preserve"/>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PlasmaDivU</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1</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provider or derived</w:t>
            </w:r>
          </w:p>
        </w:tc>
        <w:tc>
          <w:tcPr>
            <w:tcW w:type="dxa" w:w="4180"/>
            <w:shd w:fill="EEF1F6" w:val="clear"/>
            <w:tcMar>
              <w:top w:type="dxa" w:w="60"/>
              <w:left w:type="dxa" w:w="100"/>
              <w:bottom w:type="dxa" w:w="60"/>
              <w:right w:type="dxa" w:w="100"/>
            </w:tcMar>
          </w:tcPr>
          <w:p>
            <w:pPr>
              <w:spacing w:after="0" w:line="240"/>
            </w:pPr>
            <w:r>
              <w:rPr>
                <w:b w:val="false"/>
                <w:bCs w:val="false"/>
                <w:sz w:val="18"/>
                <w:szCs w:val="18"/>
              </w:rPr>
              <w:t xml:space="preserve">Preferred analytic value when the provider supplies one (SWCME ShockOnly gives exactly 2U/r)</w:t>
            </w:r>
          </w:p>
        </w:tc>
      </w:tr>
      <w:tr>
        <w:tc>
          <w:tcPr>
            <w:tcW w:type="dxa" w:w="2600"/>
            <w:tcMar>
              <w:top w:type="dxa" w:w="60"/>
              <w:left w:type="dxa" w:w="100"/>
              <w:bottom w:type="dxa" w:w="60"/>
              <w:right w:type="dxa" w:w="100"/>
            </w:tcMar>
          </w:tcPr>
          <w:p>
            <w:pPr>
              <w:spacing w:after="0" w:line="240"/>
            </w:pPr>
            <w:r>
              <w:rPr>
                <w:b w:val="false"/>
                <w:bCs w:val="false"/>
                <w:sz w:val="18"/>
                <w:szCs w:val="18"/>
              </w:rPr>
              <w:t xml:space="preserve">ElectricField</w:t>
            </w:r>
          </w:p>
        </w:tc>
        <w:tc>
          <w:tcPr>
            <w:tcW w:type="dxa" w:w="1300"/>
            <w:tcMar>
              <w:top w:type="dxa" w:w="60"/>
              <w:left w:type="dxa" w:w="100"/>
              <w:bottom w:type="dxa" w:w="60"/>
              <w:right w:type="dxa" w:w="100"/>
            </w:tcMar>
          </w:tcPr>
          <w:p>
            <w:pPr>
              <w:spacing w:after="0" w:line="240"/>
            </w:pPr>
            <w:r>
              <w:rPr>
                <w:b w:val="false"/>
                <w:bCs w:val="false"/>
                <w:sz w:val="18"/>
                <w:szCs w:val="18"/>
              </w:rPr>
              <w:t xml:space="preserve">3</w:t>
            </w:r>
          </w:p>
        </w:tc>
        <w:tc>
          <w:tcPr>
            <w:tcW w:type="dxa" w:w="2000"/>
            <w:tcMar>
              <w:top w:type="dxa" w:w="60"/>
              <w:left w:type="dxa" w:w="100"/>
              <w:bottom w:type="dxa" w:w="60"/>
              <w:right w:type="dxa" w:w="100"/>
            </w:tcMar>
          </w:tcPr>
          <w:p>
            <w:pPr>
              <w:spacing w:after="0" w:line="240"/>
            </w:pPr>
            <w:r>
              <w:rPr>
                <w:b w:val="false"/>
                <w:bCs w:val="false"/>
                <w:sz w:val="18"/>
                <w:szCs w:val="18"/>
              </w:rPr>
              <w:t xml:space="preserve">derived</w:t>
            </w:r>
          </w:p>
        </w:tc>
        <w:tc>
          <w:tcPr>
            <w:tcW w:type="dxa" w:w="4180"/>
            <w:tcMar>
              <w:top w:type="dxa" w:w="60"/>
              <w:left w:type="dxa" w:w="100"/>
              <w:bottom w:type="dxa" w:w="60"/>
              <w:right w:type="dxa" w:w="100"/>
            </w:tcMar>
          </w:tcPr>
          <w:p>
            <w:pPr>
              <w:spacing w:after="0" w:line="240"/>
            </w:pPr>
            <w:r>
              <w:rPr>
                <w:b w:val="false"/>
                <w:bCs w:val="false"/>
                <w:sz w:val="18"/>
                <w:szCs w:val="18"/>
              </w:rPr>
              <w:t xml:space="preserve">E = −U × B; stored only if a diagnostic needs it</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BackgroundValidity</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1 (int)</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provider</w:t>
            </w:r>
          </w:p>
        </w:tc>
        <w:tc>
          <w:tcPr>
            <w:tcW w:type="dxa" w:w="4180"/>
            <w:shd w:fill="EEF1F6" w:val="clear"/>
            <w:tcMar>
              <w:top w:type="dxa" w:w="60"/>
              <w:left w:type="dxa" w:w="100"/>
              <w:bottom w:type="dxa" w:w="60"/>
              <w:right w:type="dxa" w:w="100"/>
            </w:tcMar>
          </w:tcPr>
          <w:p>
            <w:pPr>
              <w:spacing w:after="0" w:line="240"/>
            </w:pPr>
            <w:r>
              <w:rPr>
                <w:b w:val="false"/>
                <w:bCs w:val="false"/>
                <w:sz w:val="18"/>
                <w:szCs w:val="18"/>
              </w:rPr>
              <w:t xml:space="preserve">NEW. Per-cell validity flag; required by the external-script provider</w:t>
            </w:r>
          </w:p>
        </w:tc>
      </w:tr>
    </w:tbl>
    <w:p>
      <w:pPr>
        <w:spacing w:after="140"/>
      </w:pPr>
    </w:p>
    <w:p>
      <w:pPr>
        <w:pStyle w:val="Heading3"/>
        <w:spacing w:after="100" w:before="220"/>
      </w:pPr>
      <w:r>
        <w:t xml:space="preserve">5.2.1 Gradient generation and the refinement-boundary problem</w:t>
      </w:r>
    </w:p>
    <w:p>
      <w:pPr>
        <w:spacing w:after="120" w:line="264"/>
        <w:jc w:val="left"/>
      </w:pPr>
      <w:r>
        <w:rPr>
          <w:b w:val="false"/>
          <w:bCs w:val="false"/>
          <w:i w:val="false"/>
          <w:iCs w:val="false"/>
        </w:rPr>
        <w:t xml:space="preserve">Second-order central differences across a 2:1 refinement boundary are only first-order accurate unless the ghost-cell values are interpolated consistently. Because ∇·b̂ enters the focusing term directly, a first-order error there produces a spurious systematic force on every particle crossing a refinement jump. Three mitigations are specified:</w:t>
      </w:r>
    </w:p>
    <w:p>
      <w:pPr>
        <w:pStyle w:val="ListParagraph"/>
        <w:numPr>
          <w:ilvl w:val="0"/>
          <w:numId w:val="5"/>
        </w:numPr>
        <w:spacing w:after="60" w:line="264"/>
      </w:pPr>
      <w:r>
        <w:t xml:space="preserve">Prefer analytic gradients. When the Parker provider is selected, ∂B_i/∂x_j is evaluated in closed form at each cell centre instead of being differenced. This removes the problem entirely for the most common configuration and gives an exact reference for testing the differenced path.</w:t>
      </w:r>
    </w:p>
    <w:p>
      <w:pPr>
        <w:pStyle w:val="ListParagraph"/>
        <w:numPr>
          <w:ilvl w:val="0"/>
          <w:numId w:val="5"/>
        </w:numPr>
        <w:spacing w:after="60" w:line="264"/>
      </w:pPr>
      <w:r>
        <w:t xml:space="preserve">Consistent ghost filling. The differenced path uses the AMPS multi-block trilinear stencil (GetTriliniarInterpolationMutiBlockStencil) rather than raw ghost cells, so the stencil is well defined across a level jump.</w:t>
      </w:r>
    </w:p>
    <w:p>
      <w:pPr>
        <w:pStyle w:val="ListParagraph"/>
        <w:numPr>
          <w:ilvl w:val="0"/>
          <w:numId w:val="5"/>
        </w:numPr>
        <w:spacing w:after="60" w:line="264"/>
      </w:pPr>
      <w:r>
        <w:t xml:space="preserve">An explicit diagnostic. A Stage-2 test measures the jump in ∇·b̂ across every refinement boundary in a reference mesh and reports the maximum relative discontinuity as a metric with a declared acceptance threshold. The resolution law in Section 6 is then tuned so that refinement boundaries do not sit inside the region of strongest field curvature.</w:t>
      </w:r>
    </w:p>
    <w:p>
      <w:pPr>
        <w:pStyle w:val="Heading2"/>
        <w:spacing w:after="120" w:before="280"/>
      </w:pPr>
      <w:r>
        <w:t xml:space="preserve">5.3 Provider 1 — analytic Parker spiral</w:t>
      </w:r>
    </w:p>
    <w:p>
      <w:pPr>
        <w:spacing w:after="120" w:line="264"/>
        <w:jc w:val="left"/>
      </w:pPr>
      <w:r>
        <w:t xml:space="preserve">The analytic provider is the default and is the reference against which everything else is checked. Its formulation follows SWCME exactly so that the two agree to round-off, which is itself a test.</w:t>
      </w:r>
    </w:p>
    <w:p>
      <w:pPr>
        <w:spacing w:after="40" w:before="80"/>
        <w:ind w:left="400"/>
      </w:pPr>
      <w:r>
        <w:rPr>
          <w:rFonts w:ascii="Cambria" w:cs="Cambria" w:eastAsia="Cambria" w:hAnsi="Cambria"/>
          <w:i/>
          <w:iCs/>
          <w:sz w:val="21"/>
          <w:szCs w:val="21"/>
        </w:rPr>
        <w:t xml:space="preserve">B_r(1 AU)  = P · B₁AU / √( 1 + [ Ω (1AU − r_b) sinθ_ref / V_sw ]² )</w:t>
      </w:r>
    </w:p>
    <w:p>
      <w:pPr>
        <w:spacing w:after="40" w:before="0"/>
        <w:ind w:left="400"/>
      </w:pPr>
      <w:r>
        <w:rPr>
          <w:rFonts w:ascii="Cambria" w:cs="Cambria" w:eastAsia="Cambria" w:hAnsi="Cambria"/>
          <w:i/>
          <w:iCs/>
          <w:sz w:val="21"/>
          <w:szCs w:val="21"/>
        </w:rPr>
        <w:t xml:space="preserve">B_r(r)     = B_r(1 AU) · (1 AU / r)²</w:t>
      </w:r>
    </w:p>
    <w:p>
      <w:pPr>
        <w:spacing w:after="40" w:before="0"/>
        <w:ind w:left="400"/>
      </w:pPr>
      <w:r>
        <w:rPr>
          <w:rFonts w:ascii="Cambria" w:cs="Cambria" w:eastAsia="Cambria" w:hAnsi="Cambria"/>
          <w:i/>
          <w:iCs/>
          <w:sz w:val="21"/>
          <w:szCs w:val="21"/>
        </w:rPr>
        <w:t xml:space="preserve">B_φ(r,θ)   = − B_r(r) · Ω (r − r_b) sinθ / V_sw</w:t>
      </w:r>
    </w:p>
    <w:p>
      <w:pPr>
        <w:spacing w:after="40" w:before="0"/>
        <w:ind w:left="400"/>
      </w:pPr>
      <w:r>
        <w:rPr>
          <w:rFonts w:ascii="Cambria" w:cs="Cambria" w:eastAsia="Cambria" w:hAnsi="Cambria"/>
          <w:i/>
          <w:iCs/>
          <w:sz w:val="21"/>
          <w:szCs w:val="21"/>
        </w:rPr>
        <w:t xml:space="preserve">B_θ        = 0</w:t>
      </w:r>
    </w:p>
    <w:p>
      <w:pPr>
        <w:spacing w:after="140" w:before="0"/>
        <w:ind w:left="400"/>
      </w:pPr>
      <w:r>
        <w:rPr>
          <w:rFonts w:ascii="Cambria" w:cs="Cambria" w:eastAsia="Cambria" w:hAnsi="Cambria"/>
          <w:i/>
          <w:iCs/>
          <w:sz w:val="21"/>
          <w:szCs w:val="21"/>
        </w:rPr>
        <w:t xml:space="preserve">|B|        = √( B_r² + B_φ² )</w:t>
      </w:r>
    </w:p>
    <w:p>
      <w:pPr>
        <w:spacing w:after="120" w:line="264"/>
        <w:jc w:val="left"/>
      </w:pPr>
      <w:r>
        <w:rPr>
          <w:b w:val="false"/>
          <w:bCs w:val="false"/>
          <w:i w:val="false"/>
          <w:iCs w:val="false"/>
        </w:rPr>
        <w:t xml:space="preserve">with P = ±1 the radial polarity, r_b the source-surface (corotation) radius, and θ the local colatitude measured from the configured rotation axis, sinθ = |Ω̂ × r̂|. The azimuthal unit vector is ê_φ ∥ Ω̂ × r̂, which vanishes continuously at the poles so that the field becomes purely radial there without a singular normalisation. This is precisely SWCME’s corrected convention and it is the reason to copy it rather than re-derive it.</w:t>
      </w:r>
    </w:p>
    <w:p>
      <w:pPr>
        <w:spacing w:after="120" w:line="264"/>
        <w:jc w:val="left"/>
      </w:pPr>
      <w:r>
        <w:t xml:space="preserve">The provider also supplies, in closed form:</w:t>
      </w:r>
    </w:p>
    <w:p>
      <w:pPr>
        <w:pStyle w:val="ListParagraph"/>
        <w:numPr>
          <w:ilvl w:val="0"/>
          <w:numId w:val="3"/>
        </w:numPr>
        <w:spacing w:after="60" w:line="264"/>
      </w:pPr>
      <w:r>
        <w:t xml:space="preserve">The full gradient tensor ∂B_i/∂x_j, obtained by differentiating the expression above symbolically.</w:t>
      </w:r>
    </w:p>
    <w:p>
      <w:pPr>
        <w:pStyle w:val="ListParagraph"/>
        <w:numPr>
          <w:ilvl w:val="0"/>
          <w:numId w:val="3"/>
        </w:numPr>
        <w:spacing w:after="60" w:line="264"/>
      </w:pPr>
      <w:r>
        <w:rPr>
          <w:b w:val="false"/>
          <w:bCs w:val="false"/>
          <w:i w:val="false"/>
          <w:iCs w:val="false"/>
        </w:rPr>
        <w:t xml:space="preserve">The focusing length, with k = Ω sinθ / V_sw and x = r − r_b:</w:t>
      </w:r>
    </w:p>
    <w:p>
      <w:pPr>
        <w:spacing w:after="140" w:before="80"/>
        <w:ind w:left="400"/>
      </w:pPr>
      <w:r>
        <w:rPr>
          <w:rFonts w:ascii="Cambria" w:cs="Cambria" w:eastAsia="Cambria" w:hAnsi="Cambria"/>
          <w:i/>
          <w:iCs/>
          <w:sz w:val="21"/>
          <w:szCs w:val="21"/>
        </w:rPr>
        <w:t xml:space="preserve">L_B = −1 / (d ln|B| / ds) = r [1 + (kx)²]^{3/2} / { 2[1 + (kx)²] − k² r x }</w:t>
      </w:r>
    </w:p>
    <w:p>
      <w:pPr>
        <w:pStyle w:val="ListParagraph"/>
        <w:numPr>
          <w:ilvl w:val="0"/>
          <w:numId w:val="3"/>
        </w:numPr>
        <w:spacing w:after="60" w:line="264"/>
      </w:pPr>
      <w:r>
        <w:t xml:space="preserve">The arc length along a field line between two radii, ds/dr = √(1 + k²x²), integrated analytically.</w:t>
      </w:r>
    </w:p>
    <w:p>
      <w:pPr>
        <w:pStyle w:val="ListParagraph"/>
        <w:numPr>
          <w:ilvl w:val="0"/>
          <w:numId w:val="3"/>
        </w:numPr>
        <w:spacing w:after="60" w:line="264"/>
      </w:pPr>
      <w:r>
        <w:t xml:space="preserve">The field-line map Δφ = −(Ω/V_sw)[ (r − r_obs) − r_b ln(r/r_obs) ], which is what Section 6 uses to define the refined flux tube.</w:t>
      </w:r>
    </w:p>
    <w:p>
      <w:pPr>
        <w:pStyle w:val="ListParagraph"/>
        <w:numPr>
          <w:ilvl w:val="0"/>
          <w:numId w:val="3"/>
        </w:numPr>
        <w:spacing w:after="60" w:line="264"/>
      </w:pPr>
      <w:r>
        <w:t xml:space="preserve">A radial solar-wind velocity U = V_sw r̂ with ∇·U = 2V_sw/r exactly, a Leblanc-normalised density profile, and an isothermal or power-law temperature — all optional and individually overridable.</w:t>
      </w:r>
    </w:p>
    <w:p>
      <w:pPr>
        <w:pStyle w:val="Heading2"/>
        <w:spacing w:after="120" w:before="280"/>
      </w:pPr>
      <w:r>
        <w:t xml:space="preserve">5.4 Provider 2 — SWCME, and how to share it between srcSEP and srcSEP3D</w:t>
      </w:r>
    </w:p>
    <w:p>
      <w:pPr>
        <w:spacing w:after="120" w:line="264"/>
        <w:jc w:val="left"/>
      </w:pPr>
      <w:r>
        <w:rPr>
          <w:b w:val="false"/>
          <w:bCs w:val="false"/>
          <w:i w:val="false"/>
          <w:iCs w:val="false"/>
        </w:rPr>
        <w:t xml:space="preserve">SWCME currently lives at </w:t>
      </w:r>
      <w:r>
        <w:rPr>
          <w:rFonts w:ascii="Consolas" w:cs="Consolas" w:eastAsia="Consolas" w:hAnsi="Consolas"/>
          <w:b w:val="false"/>
          <w:bCs w:val="false"/>
          <w:i w:val="false"/>
          <w:iCs w:val="false"/>
          <w:sz w:val="19"/>
          <w:szCs w:val="19"/>
        </w:rPr>
        <w:t xml:space="preserve">srcSEP/swcme/</w:t>
      </w:r>
      <w:r>
        <w:rPr>
          <w:b w:val="false"/>
          <w:bCs w:val="false"/>
          <w:i w:val="false"/>
          <w:iCs w:val="false"/>
        </w:rPr>
        <w:t xml:space="preserve">. It is a self-contained C++17 library with its own test suite, its own validation campaign (VP01–VP16), its own documentation set, and an explicitly AMPS-facing adapter (</w:t>
      </w:r>
      <w:r>
        <w:rPr>
          <w:rFonts w:ascii="Consolas" w:cs="Consolas" w:eastAsia="Consolas" w:hAnsi="Consolas"/>
          <w:b w:val="false"/>
          <w:bCs w:val="false"/>
          <w:i w:val="false"/>
          <w:iCs w:val="false"/>
          <w:sz w:val="19"/>
          <w:szCs w:val="19"/>
        </w:rPr>
        <w:t xml:space="preserve">swcme_sep_interface.hpp</w:t>
      </w:r>
      <w:r>
        <w:rPr>
          <w:b w:val="false"/>
          <w:bCs w:val="false"/>
          <w:i w:val="false"/>
          <w:iCs w:val="false"/>
        </w:rPr>
        <w:t xml:space="preserve">, with </w:t>
      </w:r>
      <w:r>
        <w:rPr>
          <w:rFonts w:ascii="Consolas" w:cs="Consolas" w:eastAsia="Consolas" w:hAnsi="Consolas"/>
          <w:b w:val="false"/>
          <w:bCs w:val="false"/>
          <w:i w:val="false"/>
          <w:iCs w:val="false"/>
          <w:sz w:val="19"/>
          <w:szCs w:val="19"/>
        </w:rPr>
        <w:t xml:space="preserve">Interface1D</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Interface3D</w:t>
      </w:r>
      <w:r>
        <w:rPr>
          <w:b w:val="false"/>
          <w:bCs w:val="false"/>
          <w:i w:val="false"/>
          <w:iCs w:val="false"/>
        </w:rPr>
        <w:t xml:space="preserve">). It has no dependency on srcSEP. Its location under srcSEP is therefore an accident of history, and leaving it there while a second consumer appears would create a genuine maintenance hazard.</w:t>
      </w:r>
    </w:p>
    <w:p>
      <w:pPr>
        <w:pStyle w:val="Heading3"/>
        <w:spacing w:after="100" w:before="220"/>
      </w:pPr>
      <w:r>
        <w:t xml:space="preserve">5.4.1 Options considered</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2800"/>
        <w:gridCol w:w="48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Option</w:t>
            </w:r>
          </w:p>
        </w:tc>
        <w:tc>
          <w:tcPr>
            <w:tcW w:type="dxa" w:w="2800"/>
            <w:shd w:fill="1F3864" w:val="clear"/>
            <w:tcMar>
              <w:top w:type="dxa" w:w="60"/>
              <w:left w:type="dxa" w:w="100"/>
              <w:bottom w:type="dxa" w:w="60"/>
              <w:right w:type="dxa" w:w="100"/>
            </w:tcMar>
          </w:tcPr>
          <w:p>
            <w:pPr>
              <w:spacing w:after="0" w:line="240"/>
            </w:pPr>
            <w:r>
              <w:rPr>
                <w:b/>
                <w:bCs/>
                <w:color w:val="FFFFFF"/>
                <w:sz w:val="18"/>
                <w:szCs w:val="18"/>
              </w:rPr>
              <w:t xml:space="preserve">Description</w:t>
            </w:r>
          </w:p>
        </w:tc>
        <w:tc>
          <w:tcPr>
            <w:tcW w:type="dxa" w:w="4880"/>
            <w:shd w:fill="1F3864" w:val="clear"/>
            <w:tcMar>
              <w:top w:type="dxa" w:w="60"/>
              <w:left w:type="dxa" w:w="100"/>
              <w:bottom w:type="dxa" w:w="60"/>
              <w:right w:type="dxa" w:w="100"/>
            </w:tcMar>
          </w:tcPr>
          <w:p>
            <w:pPr>
              <w:spacing w:after="0" w:line="240"/>
            </w:pPr>
            <w:r>
              <w:rPr>
                <w:b/>
                <w:bCs/>
                <w:color w:val="FFFFFF"/>
                <w:sz w:val="18"/>
                <w:szCs w:val="18"/>
              </w:rPr>
              <w:t xml:space="preserve">Assessment</w:t>
            </w:r>
          </w:p>
        </w:tc>
      </w:tr>
      <w:tr>
        <w:tc>
          <w:tcPr>
            <w:tcW w:type="dxa" w:w="2400"/>
            <w:tcMar>
              <w:top w:type="dxa" w:w="60"/>
              <w:left w:type="dxa" w:w="100"/>
              <w:bottom w:type="dxa" w:w="60"/>
              <w:right w:type="dxa" w:w="100"/>
            </w:tcMar>
          </w:tcPr>
          <w:p>
            <w:pPr>
              <w:spacing w:after="0" w:line="240"/>
            </w:pPr>
            <w:r>
              <w:rPr>
                <w:b w:val="false"/>
                <w:bCs w:val="false"/>
                <w:sz w:val="18"/>
                <w:szCs w:val="18"/>
              </w:rPr>
              <w:t xml:space="preserve">A. Leave in place; srcSEP3D includes ../srcSEP/swcme</w:t>
            </w:r>
          </w:p>
        </w:tc>
        <w:tc>
          <w:tcPr>
            <w:tcW w:type="dxa" w:w="2800"/>
            <w:tcMar>
              <w:top w:type="dxa" w:w="60"/>
              <w:left w:type="dxa" w:w="100"/>
              <w:bottom w:type="dxa" w:w="60"/>
              <w:right w:type="dxa" w:w="100"/>
            </w:tcMar>
          </w:tcPr>
          <w:p>
            <w:pPr>
              <w:spacing w:after="0" w:line="240"/>
            </w:pPr>
            <w:r>
              <w:rPr>
                <w:b w:val="false"/>
                <w:bCs w:val="false"/>
                <w:sz w:val="18"/>
                <w:szCs w:val="18"/>
              </w:rPr>
              <w:t xml:space="preserve">No move. Include paths reach across application directories.</w:t>
            </w:r>
          </w:p>
        </w:tc>
        <w:tc>
          <w:tcPr>
            <w:tcW w:type="dxa" w:w="4880"/>
            <w:tcMar>
              <w:top w:type="dxa" w:w="60"/>
              <w:left w:type="dxa" w:w="100"/>
              <w:bottom w:type="dxa" w:w="60"/>
              <w:right w:type="dxa" w:w="100"/>
            </w:tcMar>
          </w:tcPr>
          <w:p>
            <w:pPr>
              <w:spacing w:after="0" w:line="240"/>
            </w:pPr>
            <w:r>
              <w:rPr>
                <w:b w:val="false"/>
                <w:bCs w:val="false"/>
                <w:sz w:val="18"/>
                <w:szCs w:val="18"/>
              </w:rPr>
              <w:t xml:space="preserve">Rejected. Creates a build dependency from srcSEP3D on srcSEP, duplicates compilation of swcme3d.cpp into two archives, and makes srcSEP’s directory the de-facto owner of a shared asset. A change made for srcSEP3D would appear as an unrelated diff in srcSEP.</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B. Copy into srcSEP3D</w:t>
            </w:r>
          </w:p>
        </w:tc>
        <w:tc>
          <w:tcPr>
            <w:tcW w:type="dxa" w:w="2800"/>
            <w:shd w:fill="EEF1F6" w:val="clear"/>
            <w:tcMar>
              <w:top w:type="dxa" w:w="60"/>
              <w:left w:type="dxa" w:w="100"/>
              <w:bottom w:type="dxa" w:w="60"/>
              <w:right w:type="dxa" w:w="100"/>
            </w:tcMar>
          </w:tcPr>
          <w:p>
            <w:pPr>
              <w:spacing w:after="0" w:line="240"/>
            </w:pPr>
            <w:r>
              <w:rPr>
                <w:b w:val="false"/>
                <w:bCs w:val="false"/>
                <w:sz w:val="18"/>
                <w:szCs w:val="18"/>
              </w:rPr>
              <w:t xml:space="preserve">Two independent copies.</w:t>
            </w:r>
          </w:p>
        </w:tc>
        <w:tc>
          <w:tcPr>
            <w:tcW w:type="dxa" w:w="4880"/>
            <w:shd w:fill="EEF1F6" w:val="clear"/>
            <w:tcMar>
              <w:top w:type="dxa" w:w="60"/>
              <w:left w:type="dxa" w:w="100"/>
              <w:bottom w:type="dxa" w:w="60"/>
              <w:right w:type="dxa" w:w="100"/>
            </w:tcMar>
          </w:tcPr>
          <w:p>
            <w:pPr>
              <w:spacing w:after="0" w:line="240"/>
            </w:pPr>
            <w:r>
              <w:rPr>
                <w:b w:val="false"/>
                <w:bCs w:val="false"/>
                <w:sz w:val="18"/>
                <w:szCs w:val="18"/>
              </w:rPr>
              <w:t xml:space="preserve">Rejected. Guarantees divergence. SWCME’s own validation campaign would have to be duplicated or would silently apply to only one copy.</w:t>
            </w:r>
          </w:p>
        </w:tc>
      </w:tr>
      <w:tr>
        <w:tc>
          <w:tcPr>
            <w:tcW w:type="dxa" w:w="2400"/>
            <w:tcMar>
              <w:top w:type="dxa" w:w="60"/>
              <w:left w:type="dxa" w:w="100"/>
              <w:bottom w:type="dxa" w:w="60"/>
              <w:right w:type="dxa" w:w="100"/>
            </w:tcMar>
          </w:tcPr>
          <w:p>
            <w:pPr>
              <w:spacing w:after="0" w:line="240"/>
            </w:pPr>
            <w:r>
              <w:rPr>
                <w:b w:val="false"/>
                <w:bCs w:val="false"/>
                <w:sz w:val="18"/>
                <w:szCs w:val="18"/>
              </w:rPr>
              <w:t xml:space="preserve">C. Promote to src/models/swcme</w:t>
            </w:r>
          </w:p>
        </w:tc>
        <w:tc>
          <w:tcPr>
            <w:tcW w:type="dxa" w:w="2800"/>
            <w:tcMar>
              <w:top w:type="dxa" w:w="60"/>
              <w:left w:type="dxa" w:w="100"/>
              <w:bottom w:type="dxa" w:w="60"/>
              <w:right w:type="dxa" w:w="100"/>
            </w:tcMar>
          </w:tcPr>
          <w:p>
            <w:pPr>
              <w:spacing w:after="0" w:line="240"/>
            </w:pPr>
            <w:r>
              <w:rPr>
                <w:b w:val="false"/>
                <w:bCs w:val="false"/>
                <w:sz w:val="18"/>
                <w:szCs w:val="18"/>
              </w:rPr>
              <w:t xml:space="preserve">Move once; build a single swcme.a; both applications link it.</w:t>
            </w:r>
          </w:p>
        </w:tc>
        <w:tc>
          <w:tcPr>
            <w:tcW w:type="dxa" w:w="4880"/>
            <w:tcMar>
              <w:top w:type="dxa" w:w="60"/>
              <w:left w:type="dxa" w:w="100"/>
              <w:bottom w:type="dxa" w:w="60"/>
              <w:right w:type="dxa" w:w="100"/>
            </w:tcMar>
          </w:tcPr>
          <w:p>
            <w:pPr>
              <w:spacing w:after="0" w:line="240"/>
            </w:pPr>
            <w:r>
              <w:rPr>
                <w:b w:val="false"/>
                <w:bCs w:val="false"/>
                <w:sz w:val="18"/>
                <w:szCs w:val="18"/>
              </w:rPr>
              <w:t xml:space="preserve">RECOMMENDED. AMPS already has src/models/{exosphere,dust,charge_exchange,…} for exactly this purpose. One source of truth, one test suite, one manifest, one binary.</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D. External repository + git submodule</w:t>
            </w:r>
          </w:p>
        </w:tc>
        <w:tc>
          <w:tcPr>
            <w:tcW w:type="dxa" w:w="2800"/>
            <w:shd w:fill="EEF1F6" w:val="clear"/>
            <w:tcMar>
              <w:top w:type="dxa" w:w="60"/>
              <w:left w:type="dxa" w:w="100"/>
              <w:bottom w:type="dxa" w:w="60"/>
              <w:right w:type="dxa" w:w="100"/>
            </w:tcMar>
          </w:tcPr>
          <w:p>
            <w:pPr>
              <w:spacing w:after="0" w:line="240"/>
            </w:pPr>
            <w:r>
              <w:rPr>
                <w:b w:val="false"/>
                <w:bCs w:val="false"/>
                <w:sz w:val="18"/>
                <w:szCs w:val="18"/>
              </w:rPr>
              <w:t xml:space="preserve">SWCME versioned independently.</w:t>
            </w:r>
          </w:p>
        </w:tc>
        <w:tc>
          <w:tcPr>
            <w:tcW w:type="dxa" w:w="4880"/>
            <w:shd w:fill="EEF1F6" w:val="clear"/>
            <w:tcMar>
              <w:top w:type="dxa" w:w="60"/>
              <w:left w:type="dxa" w:w="100"/>
              <w:bottom w:type="dxa" w:w="60"/>
              <w:right w:type="dxa" w:w="100"/>
            </w:tcMar>
          </w:tcPr>
          <w:p>
            <w:pPr>
              <w:spacing w:after="0" w:line="240"/>
            </w:pPr>
            <w:r>
              <w:rPr>
                <w:b w:val="false"/>
                <w:bCs w:val="false"/>
                <w:sz w:val="18"/>
                <w:szCs w:val="18"/>
              </w:rPr>
              <w:t xml:space="preserve">Correct long term, premature now. Adopt after option C has settled and SWCME’s API has been stable for a release.</w:t>
            </w:r>
          </w:p>
        </w:tc>
      </w:tr>
    </w:tbl>
    <w:p>
      <w:pPr>
        <w:spacing w:after="140"/>
      </w:pPr>
    </w:p>
    <w:p>
      <w:pPr>
        <w:pStyle w:val="Heading3"/>
        <w:spacing w:after="100" w:before="220"/>
      </w:pPr>
      <w:r>
        <w:t xml:space="preserve">5.4.2 The recommended migration, in order</w:t>
      </w:r>
    </w:p>
    <w:p>
      <w:pPr>
        <w:pStyle w:val="ListParagraph"/>
        <w:numPr>
          <w:ilvl w:val="0"/>
          <w:numId w:val="6"/>
        </w:numPr>
        <w:spacing w:after="60" w:line="264"/>
      </w:pPr>
      <w:r>
        <w:rPr>
          <w:b/>
          <w:bCs/>
          <w:i w:val="false"/>
          <w:iCs w:val="false"/>
        </w:rPr>
        <w:t xml:space="preserve">Move the directory. </w:t>
      </w:r>
      <w:r>
        <w:rPr>
          <w:rFonts w:ascii="Consolas" w:cs="Consolas" w:eastAsia="Consolas" w:hAnsi="Consolas"/>
          <w:b w:val="false"/>
          <w:bCs w:val="false"/>
          <w:i w:val="false"/>
          <w:iCs w:val="false"/>
          <w:sz w:val="19"/>
          <w:szCs w:val="19"/>
        </w:rPr>
        <w:t xml:space="preserve">git mv srcSEP/swcme src/models/swcme</w:t>
      </w:r>
      <w:r>
        <w:rPr>
          <w:b w:val="false"/>
          <w:bCs w:val="false"/>
          <w:i w:val="false"/>
          <w:iCs w:val="false"/>
        </w:rPr>
        <w:t xml:space="preserve">. The move is a pure relocation — no file content changes in this step, so the diff is reviewable.</w:t>
      </w:r>
    </w:p>
    <w:p>
      <w:pPr>
        <w:pStyle w:val="ListParagraph"/>
        <w:numPr>
          <w:ilvl w:val="0"/>
          <w:numId w:val="6"/>
        </w:numPr>
        <w:spacing w:after="60" w:line="264"/>
      </w:pPr>
      <w:r>
        <w:rPr>
          <w:b/>
          <w:bCs/>
          <w:i w:val="false"/>
          <w:iCs w:val="false"/>
        </w:rPr>
        <w:t xml:space="preserve">Add a makefile. </w:t>
      </w:r>
      <w:r>
        <w:rPr>
          <w:rFonts w:ascii="Consolas" w:cs="Consolas" w:eastAsia="Consolas" w:hAnsi="Consolas"/>
          <w:b w:val="false"/>
          <w:bCs w:val="false"/>
          <w:i w:val="false"/>
          <w:iCs w:val="false"/>
          <w:sz w:val="19"/>
          <w:szCs w:val="19"/>
        </w:rPr>
        <w:t xml:space="preserve">src/models/swcme/makefile</w:t>
      </w:r>
      <w:r>
        <w:rPr>
          <w:b w:val="false"/>
          <w:bCs w:val="false"/>
          <w:i w:val="false"/>
          <w:iCs w:val="false"/>
        </w:rPr>
        <w:t xml:space="preserve"> compiles </w:t>
      </w:r>
      <w:r>
        <w:rPr>
          <w:rFonts w:ascii="Consolas" w:cs="Consolas" w:eastAsia="Consolas" w:hAnsi="Consolas"/>
          <w:b w:val="false"/>
          <w:bCs w:val="false"/>
          <w:i w:val="false"/>
          <w:iCs w:val="false"/>
          <w:sz w:val="19"/>
          <w:szCs w:val="19"/>
        </w:rPr>
        <w:t xml:space="preserve">swcme3d.cpp</w:t>
      </w:r>
      <w:r>
        <w:rPr>
          <w:b w:val="false"/>
          <w:bCs w:val="false"/>
          <w:i w:val="false"/>
          <w:iCs w:val="false"/>
        </w:rPr>
        <w:t xml:space="preserve"> into </w:t>
      </w:r>
      <w:r>
        <w:rPr>
          <w:rFonts w:ascii="Consolas" w:cs="Consolas" w:eastAsia="Consolas" w:hAnsi="Consolas"/>
          <w:b w:val="false"/>
          <w:bCs w:val="false"/>
          <w:i w:val="false"/>
          <w:iCs w:val="false"/>
          <w:sz w:val="19"/>
          <w:szCs w:val="19"/>
        </w:rPr>
        <w:t xml:space="preserve">swcme.a</w:t>
      </w:r>
      <w:r>
        <w:rPr>
          <w:b w:val="false"/>
          <w:bCs w:val="false"/>
          <w:i w:val="false"/>
          <w:iCs w:val="false"/>
        </w:rPr>
        <w:t xml:space="preserve"> with the project’s standard flags, and is registered in the top-level AMPS makefile next to the other model libraries. The header-only 1-D model needs no object.</w:t>
      </w:r>
    </w:p>
    <w:p>
      <w:pPr>
        <w:pStyle w:val="ListParagraph"/>
        <w:numPr>
          <w:ilvl w:val="0"/>
          <w:numId w:val="6"/>
        </w:numPr>
        <w:spacing w:after="60" w:line="264"/>
      </w:pPr>
      <w:r>
        <w:rPr>
          <w:b/>
          <w:bCs/>
          <w:i w:val="false"/>
          <w:iCs w:val="false"/>
        </w:rPr>
        <w:t xml:space="preserve">Leave forwarding headers for one release. </w:t>
      </w:r>
      <w:r>
        <w:rPr>
          <w:rFonts w:ascii="Consolas" w:cs="Consolas" w:eastAsia="Consolas" w:hAnsi="Consolas"/>
          <w:b w:val="false"/>
          <w:bCs w:val="false"/>
          <w:i w:val="false"/>
          <w:iCs w:val="false"/>
          <w:sz w:val="19"/>
          <w:szCs w:val="19"/>
        </w:rPr>
        <w:t xml:space="preserve">srcSEP/swcme/swcme3d.hpp</w:t>
      </w:r>
      <w:r>
        <w:rPr>
          <w:b w:val="false"/>
          <w:bCs w:val="false"/>
          <w:i w:val="false"/>
          <w:iCs w:val="false"/>
        </w:rPr>
        <w:t xml:space="preserve"> becomes a two-line file that includes the new path and emits a </w:t>
      </w:r>
      <w:r>
        <w:rPr>
          <w:rFonts w:ascii="Consolas" w:cs="Consolas" w:eastAsia="Consolas" w:hAnsi="Consolas"/>
          <w:b w:val="false"/>
          <w:bCs w:val="false"/>
          <w:i w:val="false"/>
          <w:iCs w:val="false"/>
          <w:sz w:val="19"/>
          <w:szCs w:val="19"/>
        </w:rPr>
        <w:t xml:space="preserve">#pragma message</w:t>
      </w:r>
      <w:r>
        <w:rPr>
          <w:b w:val="false"/>
          <w:bCs w:val="false"/>
          <w:i w:val="false"/>
          <w:iCs w:val="false"/>
        </w:rPr>
        <w:t xml:space="preserve"> deprecation note. Record the mapping in </w:t>
      </w:r>
      <w:r>
        <w:rPr>
          <w:rFonts w:ascii="Consolas" w:cs="Consolas" w:eastAsia="Consolas" w:hAnsi="Consolas"/>
          <w:b w:val="false"/>
          <w:bCs w:val="false"/>
          <w:i w:val="false"/>
          <w:iCs w:val="false"/>
          <w:sz w:val="19"/>
          <w:szCs w:val="19"/>
        </w:rPr>
        <w:t xml:space="preserve">srcSEP/MIGRATION_MANIFEST.md</w:t>
      </w:r>
      <w:r>
        <w:rPr>
          <w:b w:val="false"/>
          <w:bCs w:val="false"/>
          <w:i w:val="false"/>
          <w:iCs w:val="false"/>
        </w:rPr>
        <w:t xml:space="preserve">, which already exists for precisely this purpose. Remove the shims in the following release.</w:t>
      </w:r>
    </w:p>
    <w:p>
      <w:pPr>
        <w:pStyle w:val="ListParagraph"/>
        <w:numPr>
          <w:ilvl w:val="0"/>
          <w:numId w:val="6"/>
        </w:numPr>
        <w:spacing w:after="60" w:line="264"/>
      </w:pPr>
      <w:r>
        <w:rPr>
          <w:b/>
          <w:bCs/>
          <w:i w:val="false"/>
          <w:iCs w:val="false"/>
        </w:rPr>
        <w:t xml:space="preserve">Relocate the SWCME test suite with it. </w:t>
      </w:r>
      <w:r>
        <w:rPr>
          <w:rFonts w:ascii="Consolas" w:cs="Consolas" w:eastAsia="Consolas" w:hAnsi="Consolas"/>
          <w:b w:val="false"/>
          <w:bCs w:val="false"/>
          <w:i w:val="false"/>
          <w:iCs w:val="false"/>
          <w:sz w:val="19"/>
          <w:szCs w:val="19"/>
        </w:rPr>
        <w:t xml:space="preserve">src/models/swcme/test/</w:t>
      </w:r>
      <w:r>
        <w:rPr>
          <w:b w:val="false"/>
          <w:bCs w:val="false"/>
          <w:i w:val="false"/>
          <w:iCs w:val="false"/>
        </w:rPr>
        <w:t xml:space="preserve"> keeps its own </w:t>
      </w:r>
      <w:r>
        <w:rPr>
          <w:rFonts w:ascii="Consolas" w:cs="Consolas" w:eastAsia="Consolas" w:hAnsi="Consolas"/>
          <w:b w:val="false"/>
          <w:bCs w:val="false"/>
          <w:i w:val="false"/>
          <w:iCs w:val="false"/>
          <w:sz w:val="19"/>
          <w:szCs w:val="19"/>
        </w:rPr>
        <w:t xml:space="preserve">make -j test</w:t>
      </w:r>
      <w:r>
        <w:rPr>
          <w:b w:val="false"/>
          <w:bCs w:val="false"/>
          <w:i w:val="false"/>
          <w:iCs w:val="false"/>
        </w:rPr>
        <w:t xml:space="preserve"> entry point and its VP01–VP16 campaign. Both applications’ CI jobs invoke it; neither owns it.</w:t>
      </w:r>
    </w:p>
    <w:p>
      <w:pPr>
        <w:pStyle w:val="ListParagraph"/>
        <w:numPr>
          <w:ilvl w:val="0"/>
          <w:numId w:val="6"/>
        </w:numPr>
        <w:spacing w:after="60" w:line="264"/>
      </w:pPr>
      <w:r>
        <w:rPr>
          <w:b/>
          <w:bCs/>
          <w:i w:val="false"/>
          <w:iCs w:val="false"/>
        </w:rPr>
        <w:t xml:space="preserve">Keep the SEP-facing adapter in the shared library. </w:t>
      </w:r>
      <w:r>
        <w:rPr>
          <w:rFonts w:ascii="Consolas" w:cs="Consolas" w:eastAsia="Consolas" w:hAnsi="Consolas"/>
          <w:b w:val="false"/>
          <w:bCs w:val="false"/>
          <w:i w:val="false"/>
          <w:iCs w:val="false"/>
          <w:sz w:val="19"/>
          <w:szCs w:val="19"/>
        </w:rPr>
        <w:t xml:space="preserve">swcme_sep_interface.hpp</w:t>
      </w:r>
      <w:r>
        <w:rPr>
          <w:b w:val="false"/>
          <w:bCs w:val="false"/>
          <w:i w:val="false"/>
          <w:iCs w:val="false"/>
        </w:rPr>
        <w:t xml:space="preserve"> is already dimension-agnostic and already returns SI quantities. It does not move into either application.</w:t>
      </w:r>
    </w:p>
    <w:p>
      <w:pPr>
        <w:pStyle w:val="ListParagraph"/>
        <w:numPr>
          <w:ilvl w:val="0"/>
          <w:numId w:val="6"/>
        </w:numPr>
        <w:spacing w:after="60" w:line="264"/>
      </w:pPr>
      <w:r>
        <w:rPr>
          <w:b/>
          <w:bCs/>
          <w:i w:val="false"/>
          <w:iCs w:val="false"/>
        </w:rPr>
        <w:t xml:space="preserve">Add exactly one thin AMPS shim per application. </w:t>
      </w:r>
      <w:r>
        <w:rPr>
          <w:rFonts w:ascii="Consolas" w:cs="Consolas" w:eastAsia="Consolas" w:hAnsi="Consolas"/>
          <w:b w:val="false"/>
          <w:bCs w:val="false"/>
          <w:i w:val="false"/>
          <w:iCs w:val="false"/>
          <w:sz w:val="19"/>
          <w:szCs w:val="19"/>
        </w:rPr>
        <w:t xml:space="preserve">srcSEP3D/background/bg_swcme.cpp</w:t>
      </w:r>
      <w:r>
        <w:rPr>
          <w:b w:val="false"/>
          <w:bCs w:val="false"/>
          <w:i w:val="false"/>
          <w:iCs w:val="false"/>
        </w:rPr>
        <w:t xml:space="preserve"> adapts </w:t>
      </w:r>
      <w:r>
        <w:rPr>
          <w:rFonts w:ascii="Consolas" w:cs="Consolas" w:eastAsia="Consolas" w:hAnsi="Consolas"/>
          <w:b w:val="false"/>
          <w:bCs w:val="false"/>
          <w:i w:val="false"/>
          <w:iCs w:val="false"/>
          <w:sz w:val="19"/>
          <w:szCs w:val="19"/>
        </w:rPr>
        <w:t xml:space="preserve">swcme::sep::Interface3D</w:t>
      </w:r>
      <w:r>
        <w:rPr>
          <w:b w:val="false"/>
          <w:bCs w:val="false"/>
          <w:i w:val="false"/>
          <w:iCs w:val="false"/>
        </w:rPr>
        <w:t xml:space="preserve"> to </w:t>
      </w:r>
      <w:r>
        <w:rPr>
          <w:rFonts w:ascii="Consolas" w:cs="Consolas" w:eastAsia="Consolas" w:hAnsi="Consolas"/>
          <w:b w:val="false"/>
          <w:bCs w:val="false"/>
          <w:i w:val="false"/>
          <w:iCs w:val="false"/>
          <w:sz w:val="19"/>
          <w:szCs w:val="19"/>
        </w:rPr>
        <w:t xml:space="preserve">SEP3D::Background::BackgroundProvider</w:t>
      </w:r>
      <w:r>
        <w:rPr>
          <w:b w:val="false"/>
          <w:bCs w:val="false"/>
          <w:i w:val="false"/>
          <w:iCs w:val="false"/>
        </w:rPr>
        <w:t xml:space="preserve">. srcSEP keeps its existing 1-D usage. Neither shim contains physics.</w:t>
      </w:r>
    </w:p>
    <w:p>
      <w:pPr>
        <w:pStyle w:val="ListParagraph"/>
        <w:numPr>
          <w:ilvl w:val="0"/>
          <w:numId w:val="6"/>
        </w:numPr>
        <w:spacing w:after="60" w:line="264"/>
      </w:pPr>
      <w:r>
        <w:rPr>
          <w:b/>
          <w:bCs/>
          <w:i w:val="false"/>
          <w:iCs w:val="false"/>
        </w:rPr>
        <w:t xml:space="preserve">Verify with the existing equivalence gate. </w:t>
      </w:r>
      <w:r>
        <w:rPr>
          <w:b w:val="false"/>
          <w:bCs w:val="false"/>
          <w:i w:val="false"/>
          <w:iCs w:val="false"/>
        </w:rPr>
        <w:t xml:space="preserve">SWCME’s PST07 test already asserts that the adapter boundary is transparent — that adapter output equals direct checked model calls field by field. Running PST07 before and after the move, unchanged, is the acceptance criterion for the whole migration.</w:t>
      </w:r>
    </w:p>
    <w:p>
      <w:pPr>
        <w:pStyle w:val="Heading3"/>
        <w:spacing w:after="100" w:before="220"/>
      </w:pPr>
      <w:r>
        <w:t xml:space="preserve">5.4.3 Operating SWCME inside srcSEP3D</w:t>
      </w:r>
    </w:p>
    <w:p>
      <w:pPr>
        <w:spacing w:after="120" w:line="264"/>
        <w:jc w:val="left"/>
      </w:pPr>
      <w:r>
        <w:t xml:space="preserve">SWCME’s prepared-state model maps onto AMPS naturally, and the mapping should be made explicit in code so that nobody is tempted to call prepare_step() from a particle loop.</w:t>
      </w:r>
    </w:p>
    <w:p>
      <w:pPr>
        <w:pStyle w:val="ListParagraph"/>
        <w:numPr>
          <w:ilvl w:val="0"/>
          <w:numId w:val="3"/>
        </w:numPr>
        <w:spacing w:after="60" w:line="264"/>
      </w:pPr>
      <w:r>
        <w:rPr>
          <w:b w:val="false"/>
          <w:bCs w:val="false"/>
          <w:i w:val="false"/>
          <w:iCs w:val="false"/>
        </w:rPr>
        <w:t xml:space="preserve">A single </w:t>
      </w:r>
      <w:r>
        <w:rPr>
          <w:rFonts w:ascii="Consolas" w:cs="Consolas" w:eastAsia="Consolas" w:hAnsi="Consolas"/>
          <w:b w:val="false"/>
          <w:bCs w:val="false"/>
          <w:i w:val="false"/>
          <w:iCs w:val="false"/>
          <w:sz w:val="19"/>
          <w:szCs w:val="19"/>
        </w:rPr>
        <w:t xml:space="preserve">SwcmeBackgroundService</w:t>
      </w:r>
      <w:r>
        <w:rPr>
          <w:b w:val="false"/>
          <w:bCs w:val="false"/>
          <w:i w:val="false"/>
          <w:iCs w:val="false"/>
        </w:rPr>
        <w:t xml:space="preserve"> object owns the </w:t>
      </w:r>
      <w:r>
        <w:rPr>
          <w:rFonts w:ascii="Consolas" w:cs="Consolas" w:eastAsia="Consolas" w:hAnsi="Consolas"/>
          <w:b w:val="false"/>
          <w:bCs w:val="false"/>
          <w:i w:val="false"/>
          <w:iCs w:val="false"/>
          <w:sz w:val="19"/>
          <w:szCs w:val="19"/>
        </w:rPr>
        <w:t xml:space="preserve">Interface3D</w:t>
      </w:r>
      <w:r>
        <w:rPr>
          <w:b w:val="false"/>
          <w:bCs w:val="false"/>
          <w:i w:val="false"/>
          <w:iCs w:val="false"/>
        </w:rPr>
        <w:t xml:space="preserve"> and the current </w:t>
      </w:r>
      <w:r>
        <w:rPr>
          <w:rFonts w:ascii="Consolas" w:cs="Consolas" w:eastAsia="Consolas" w:hAnsi="Consolas"/>
          <w:b w:val="false"/>
          <w:bCs w:val="false"/>
          <w:i w:val="false"/>
          <w:iCs w:val="false"/>
          <w:sz w:val="19"/>
          <w:szCs w:val="19"/>
        </w:rPr>
        <w:t xml:space="preserve">StepState</w:t>
      </w:r>
      <w:r>
        <w:rPr>
          <w:b w:val="false"/>
          <w:bCs w:val="false"/>
          <w:i w:val="false"/>
          <w:iCs w:val="false"/>
        </w:rPr>
        <w:t xml:space="preserve">. It is the only code that ever calls </w:t>
      </w:r>
      <w:r>
        <w:rPr>
          <w:rFonts w:ascii="Consolas" w:cs="Consolas" w:eastAsia="Consolas" w:hAnsi="Consolas"/>
          <w:b w:val="false"/>
          <w:bCs w:val="false"/>
          <w:i w:val="false"/>
          <w:iCs w:val="false"/>
          <w:sz w:val="19"/>
          <w:szCs w:val="19"/>
        </w:rPr>
        <w:t xml:space="preserve">prepare()</w:t>
      </w:r>
      <w:r>
        <w:rPr>
          <w:b w:val="false"/>
          <w:bCs w:val="false"/>
          <w:i w:val="false"/>
          <w:iCs w:val="false"/>
        </w:rPr>
        <w:t xml:space="preserve">.</w:t>
      </w:r>
    </w:p>
    <w:p>
      <w:pPr>
        <w:pStyle w:val="ListParagraph"/>
        <w:numPr>
          <w:ilvl w:val="0"/>
          <w:numId w:val="3"/>
        </w:numPr>
        <w:spacing w:after="60" w:line="264"/>
      </w:pPr>
      <w:r>
        <w:rPr>
          <w:b w:val="false"/>
          <w:bCs w:val="false"/>
          <w:i w:val="false"/>
          <w:iCs w:val="false"/>
        </w:rPr>
        <w:t xml:space="preserve">Preparation happens once per background-update cadence, on every rank, from the same simulation time — so every rank independently produces an identical state (SWCME is deterministic and allocation-free in its hot path).</w:t>
      </w:r>
    </w:p>
    <w:p>
      <w:pPr>
        <w:pStyle w:val="ListParagraph"/>
        <w:numPr>
          <w:ilvl w:val="0"/>
          <w:numId w:val="3"/>
        </w:numPr>
        <w:spacing w:after="60" w:line="264"/>
      </w:pPr>
      <w:r>
        <w:rPr>
          <w:b w:val="false"/>
          <w:bCs w:val="false"/>
          <w:i w:val="false"/>
          <w:iCs w:val="false"/>
        </w:rPr>
        <w:t xml:space="preserve">Cell-centre filling uses SWCME’s structure-of-arrays batch evaluator </w:t>
      </w:r>
      <w:r>
        <w:rPr>
          <w:rFonts w:ascii="Consolas" w:cs="Consolas" w:eastAsia="Consolas" w:hAnsi="Consolas"/>
          <w:b w:val="false"/>
          <w:bCs w:val="false"/>
          <w:i w:val="false"/>
          <w:iCs w:val="false"/>
          <w:sz w:val="19"/>
          <w:szCs w:val="19"/>
        </w:rPr>
        <w:t xml:space="preserve">evaluate_cartesian_with_B_div_checked(...)</w:t>
      </w:r>
      <w:r>
        <w:rPr>
          <w:b w:val="false"/>
          <w:bCs w:val="false"/>
          <w:i w:val="false"/>
          <w:iCs w:val="false"/>
        </w:rPr>
        <w:t xml:space="preserve"> in blocks of one AMR block at a time (typically 4³ or 8³ points), which is exactly the access pattern the batch API was designed for. The first invalid sample index is reported by </w:t>
      </w:r>
      <w:r>
        <w:rPr>
          <w:rFonts w:ascii="Consolas" w:cs="Consolas" w:eastAsia="Consolas" w:hAnsi="Consolas"/>
          <w:b w:val="false"/>
          <w:bCs w:val="false"/>
          <w:i w:val="false"/>
          <w:iCs w:val="false"/>
          <w:sz w:val="19"/>
          <w:szCs w:val="19"/>
        </w:rPr>
        <w:t xml:space="preserve">ModelStatus::sample_index</w:t>
      </w:r>
      <w:r>
        <w:rPr>
          <w:b w:val="false"/>
          <w:bCs w:val="false"/>
          <w:i w:val="false"/>
          <w:iCs w:val="false"/>
        </w:rPr>
        <w:t xml:space="preserve"> and is translated into a cell address for the error message.</w:t>
      </w:r>
    </w:p>
    <w:p>
      <w:pPr>
        <w:pStyle w:val="ListParagraph"/>
        <w:numPr>
          <w:ilvl w:val="0"/>
          <w:numId w:val="3"/>
        </w:numPr>
        <w:spacing w:after="60" w:line="264"/>
      </w:pPr>
      <w:r>
        <w:rPr>
          <w:b w:val="false"/>
          <w:bCs w:val="false"/>
          <w:i w:val="false"/>
          <w:iCs w:val="false"/>
        </w:rPr>
        <w:t xml:space="preserve">After filling, the prepared state remains alive and read-only so that any code needing an off-mesh query (shock geometry, cobpoint connectivity, source surface) can use it directly without re-preparing. SWCME explicitly supports concurrent read-only sharing of one model and one prepared state, verified by its PST04 test.</w:t>
      </w:r>
    </w:p>
    <w:p>
      <w:pPr>
        <w:pStyle w:val="ListParagraph"/>
        <w:numPr>
          <w:ilvl w:val="0"/>
          <w:numId w:val="3"/>
        </w:numPr>
        <w:spacing w:after="60" w:line="264"/>
      </w:pPr>
      <w:r>
        <w:rPr>
          <w:b w:val="false"/>
          <w:bCs w:val="false"/>
          <w:i w:val="false"/>
          <w:iCs w:val="false"/>
        </w:rPr>
        <w:t xml:space="preserve">The resolved SWCME configuration manifest and its 64-bit configuration digest are copied into the srcSEP3D run manifest. A restart whose digest differs is rejected, matching srcSEP’s WP30 immutable run-configuration policy.</w:t>
      </w:r>
    </w:p>
    <w:p>
      <w:pPr>
        <w:pStyle w:val="ListParagraph"/>
        <w:numPr>
          <w:ilvl w:val="0"/>
          <w:numId w:val="3"/>
        </w:numPr>
        <w:spacing w:after="60" w:line="264"/>
      </w:pPr>
      <w:r>
        <w:rPr>
          <w:b w:val="false"/>
          <w:bCs w:val="false"/>
          <w:i w:val="false"/>
          <w:iCs w:val="false"/>
        </w:rPr>
        <w:t xml:space="preserve">Shock sources use </w:t>
      </w:r>
      <w:r>
        <w:rPr>
          <w:rFonts w:ascii="Consolas" w:cs="Consolas" w:eastAsia="Consolas" w:hAnsi="Consolas"/>
          <w:b w:val="false"/>
          <w:bCs w:val="false"/>
          <w:i w:val="false"/>
          <w:iCs w:val="false"/>
          <w:sz w:val="19"/>
          <w:szCs w:val="19"/>
        </w:rPr>
        <w:t xml:space="preserve">Interface3D::build_shock_surface_source()</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sample_triangle_by_area()</w:t>
      </w:r>
      <w:r>
        <w:rPr>
          <w:b w:val="false"/>
          <w:bCs w:val="false"/>
          <w:i w:val="false"/>
          <w:iCs w:val="false"/>
        </w:rPr>
        <w:t xml:space="preserve">. SWCME deliberately owns no random-number generator, so srcSEP3D supplies the variate from a keyed stream — which is what makes shock injection reproducible.</w:t>
      </w:r>
    </w:p>
    <w:p>
      <w:pPr>
        <w:pBdr>
          <w:left w:val="single" w:color="DD6B20" w:sz="14" w:space="8"/>
        </w:pBdr>
        <w:shd w:fill="FFF7ED" w:val="clear"/>
        <w:spacing w:after="140" w:before="100" w:line="264"/>
        <w:ind w:left="200" w:right="200"/>
      </w:pPr>
      <w:r>
        <w:rPr>
          <w:b/>
          <w:bCs/>
          <w:color w:val="9C4221"/>
        </w:rPr>
        <w:t xml:space="preserve">Update cadence  </w:t>
      </w:r>
      <w:r>
        <w:t xml:space="preserve">SWCME preparation is cheap relative to a full cell-centre refill of a Sun-to-1-AU mesh. The cost driver is the refill, not prepare_step(). The plan therefore exposes --background-update-interval in both seconds of simulation time and in iterations, defaults to a time-based cadence, and uses the DATAFILE Curr/Next double-buffer so that particles see a linearly time-interpolated field between refills rather than a staircase.</w:t>
      </w:r>
    </w:p>
    <w:p>
      <w:pPr>
        <w:pStyle w:val="Heading2"/>
        <w:spacing w:after="120" w:before="280"/>
      </w:pPr>
      <w:r>
        <w:t xml:space="preserve">5.5 Provider 3 — external script (RESERVED: specification only)</w:t>
      </w:r>
    </w:p>
    <w:p>
      <w:pPr>
        <w:spacing w:after="120" w:line="264"/>
        <w:jc w:val="left"/>
      </w:pPr>
      <w:r>
        <w:rPr>
          <w:b w:val="false"/>
          <w:bCs w:val="false"/>
          <w:i w:val="false"/>
          <w:iCs w:val="false"/>
        </w:rPr>
        <w:t xml:space="preserve">This section specifies the external-field feature in enough detail that it can be implemented later without re-opening any design question, and so that its file formats can be unit-tested now against a stub script. </w:t>
      </w:r>
      <w:r>
        <w:rPr>
          <w:b/>
          <w:bCs/>
          <w:i w:val="false"/>
          <w:iCs w:val="false"/>
        </w:rPr>
        <w:t xml:space="preserve">It is not implemented in release 1.</w:t>
      </w:r>
      <w:r>
        <w:rPr>
          <w:b w:val="false"/>
          <w:bCs w:val="false"/>
          <w:i w:val="false"/>
          <w:iCs w:val="false"/>
        </w:rPr>
        <w:t xml:space="preserve"> The provider is registered, its CLI options are parsed and validated, and selecting it produces a clear "reserved, not implemented in this release" error.</w:t>
      </w:r>
    </w:p>
    <w:p>
      <w:pPr>
        <w:pStyle w:val="Heading3"/>
        <w:spacing w:after="100" w:before="220"/>
      </w:pPr>
      <w:r>
        <w:t xml:space="preserve">5.5.1 Concept of operation</w:t>
      </w:r>
    </w:p>
    <w:p>
      <w:pPr>
        <w:pStyle w:val="ListParagraph"/>
        <w:numPr>
          <w:ilvl w:val="0"/>
          <w:numId w:val="7"/>
        </w:numPr>
        <w:spacing w:after="60" w:line="264"/>
      </w:pPr>
      <w:r>
        <w:t xml:space="preserve">AMPS builds the mesh and enumerates every cell centre in a deterministic, rank-independent order.</w:t>
      </w:r>
    </w:p>
    <w:p>
      <w:pPr>
        <w:pStyle w:val="ListParagraph"/>
        <w:numPr>
          <w:ilvl w:val="0"/>
          <w:numId w:val="7"/>
        </w:numPr>
        <w:spacing w:after="60" w:line="264"/>
      </w:pPr>
      <w:r>
        <w:t xml:space="preserve">AMPS writes a cell-centre coordinate file.</w:t>
      </w:r>
    </w:p>
    <w:p>
      <w:pPr>
        <w:pStyle w:val="ListParagraph"/>
        <w:numPr>
          <w:ilvl w:val="0"/>
          <w:numId w:val="7"/>
        </w:numPr>
        <w:spacing w:after="60" w:line="264"/>
      </w:pPr>
      <w:r>
        <w:t xml:space="preserve">AMPS launches the user-supplied script with an explicit argument vector.</w:t>
      </w:r>
    </w:p>
    <w:p>
      <w:pPr>
        <w:pStyle w:val="ListParagraph"/>
        <w:numPr>
          <w:ilvl w:val="0"/>
          <w:numId w:val="7"/>
        </w:numPr>
        <w:spacing w:after="60" w:line="264"/>
      </w:pPr>
      <w:r>
        <w:t xml:space="preserve">The script writes a field file containing, for each input point in the same order, a "point found" flag and three magnetic-field components.</w:t>
      </w:r>
    </w:p>
    <w:p>
      <w:pPr>
        <w:pStyle w:val="ListParagraph"/>
        <w:numPr>
          <w:ilvl w:val="0"/>
          <w:numId w:val="7"/>
        </w:numPr>
        <w:spacing w:after="60" w:line="264"/>
      </w:pPr>
      <w:r>
        <w:t xml:space="preserve">AMPS reads the field file, stores B and the validity flag at the cell centres, and derives the remaining quantities.</w:t>
      </w:r>
    </w:p>
    <w:p>
      <w:pPr>
        <w:pStyle w:val="Heading3"/>
        <w:spacing w:after="100" w:before="220"/>
      </w:pPr>
      <w:r>
        <w:t xml:space="preserve">5.5.2 Deterministic point ordering</w:t>
      </w:r>
    </w:p>
    <w:p>
      <w:pPr>
        <w:spacing w:after="120" w:line="264"/>
        <w:jc w:val="left"/>
      </w:pPr>
      <w:r>
        <w:rPr>
          <w:b w:val="false"/>
          <w:bCs w:val="false"/>
          <w:i w:val="false"/>
          <w:iCs w:val="false"/>
        </w:rPr>
        <w:t xml:space="preserve">Ordering uses the </w:t>
      </w:r>
      <w:r>
        <w:rPr>
          <w:rFonts w:ascii="Consolas" w:cs="Consolas" w:eastAsia="Consolas" w:hAnsi="Consolas"/>
          <w:b w:val="false"/>
          <w:bCs w:val="false"/>
          <w:i w:val="false"/>
          <w:iCs w:val="false"/>
          <w:sz w:val="19"/>
          <w:szCs w:val="19"/>
        </w:rPr>
        <w:t xml:space="preserve">srcEarth/3d/GlobalMagneticField</w:t>
      </w:r>
      <w:r>
        <w:rPr>
          <w:b w:val="false"/>
          <w:bCs w:val="false"/>
          <w:i w:val="false"/>
          <w:iCs w:val="false"/>
        </w:rPr>
        <w:t xml:space="preserve"> scheme, because it is already proven to be rank-independent: the globally replicated AMR tree is traversed in fixed child order, every used leaf receives a dense </w:t>
      </w:r>
      <w:r>
        <w:rPr>
          <w:rFonts w:ascii="Consolas" w:cs="Consolas" w:eastAsia="Consolas" w:hAnsi="Consolas"/>
          <w:b w:val="false"/>
          <w:bCs w:val="false"/>
          <w:i w:val="false"/>
          <w:iCs w:val="false"/>
          <w:sz w:val="19"/>
          <w:szCs w:val="19"/>
        </w:rPr>
        <w:t xml:space="preserve">Temp_ID</w:t>
      </w:r>
      <w:r>
        <w:rPr>
          <w:b w:val="false"/>
          <w:bCs w:val="false"/>
          <w:i w:val="false"/>
          <w:iCs w:val="false"/>
        </w:rPr>
        <w:t xml:space="preserve">, and a cell’s global index is</w:t>
      </w:r>
    </w:p>
    <w:p>
      <w:pPr>
        <w:pBdr>
          <w:left w:val="single" w:color="C6CBD4" w:sz="12" w:space="6"/>
        </w:pBdr>
        <w:shd w:fill="F2F4F7" w:val="clear"/>
        <w:spacing w:after="140" w:before="60" w:line="240"/>
        <w:ind w:left="180" w:right="180"/>
      </w:pPr>
      <w:r>
        <w:rPr>
          <w:rFonts w:ascii="Consolas" w:cs="Consolas" w:eastAsia="Consolas" w:hAnsi="Consolas"/>
          <w:sz w:val="18"/>
          <w:szCs w:val="18"/>
        </w:rPr>
        <w:t xml:space="preserve">globalIndex = Temp_ID * (NX*NY*NZ) + i + NX*(j + NY*k)</w:t>
      </w:r>
    </w:p>
    <w:p>
      <w:pPr>
        <w:spacing w:after="120" w:line="264"/>
        <w:jc w:val="left"/>
      </w:pPr>
      <w:r>
        <w:rPr>
          <w:b w:val="false"/>
          <w:bCs w:val="false"/>
          <w:i w:val="false"/>
          <w:iCs w:val="false"/>
        </w:rPr>
        <w:t xml:space="preserve">The index is written as an explicit column in both files, so a script that reorders rows is detected rather than silently accepted. A mesh signature (the AMPS mesh </w:t>
      </w:r>
      <w:r>
        <w:rPr>
          <w:rFonts w:ascii="Consolas" w:cs="Consolas" w:eastAsia="Consolas" w:hAnsi="Consolas"/>
          <w:b w:val="false"/>
          <w:bCs w:val="false"/>
          <w:i w:val="false"/>
          <w:iCs w:val="false"/>
          <w:sz w:val="19"/>
          <w:szCs w:val="19"/>
        </w:rPr>
        <w:t xml:space="preserve">sign</w:t>
      </w:r>
      <w:r>
        <w:rPr>
          <w:b w:val="false"/>
          <w:bCs w:val="false"/>
          <w:i w:val="false"/>
          <w:iCs w:val="false"/>
        </w:rPr>
        <w:t xml:space="preserve"> string plus a hash of the domain limits and resolution parameters) is written into both headers; a mismatch on read is a hard error.</w:t>
      </w:r>
    </w:p>
    <w:p>
      <w:pPr>
        <w:pStyle w:val="Heading3"/>
        <w:spacing w:after="100" w:before="220"/>
      </w:pPr>
      <w:r>
        <w:t xml:space="preserve">5.5.3 Cell-centre file format</w:t>
      </w:r>
    </w:p>
    <w:p>
      <w:pPr>
        <w:spacing w:after="120" w:line="264"/>
        <w:jc w:val="left"/>
      </w:pPr>
      <w:r>
        <w:t xml:space="preserve">Two encodings are defined. Binary is the default for performance; ASCII exists so the contract can be inspected and so a small test case can be hand-written.</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 ---- Binary form: &lt;stem&gt;.cellcenters.bin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All little-endian. Header is fixed-size, 256 bytes, zero-padded.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char[8]   magic          = "AMPSCC01"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uint32    headerBytes    = 256</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uint32    formatVersion  =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nPoints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simulationTime          // [s]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char[32]  frameName                // e.g. "HCI_like_inertial"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char[16]  lengthUnits              // "m"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char[64]  meshSignature            // AMPS mesh sign + parameter hash</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payloadChecksum          // FNV-1a over the record block</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Record block: nPoints records, each 32 bytes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globalIndex</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x, y, z                  // [m], heliocentric, frameName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ASCII form: &lt;stem&gt;.cellcenters.csv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Comment lines begin with "#". Header keys mirror the binary fields.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MAGIC=AMPSCC01  VERSION=1  NPOINTS=...  TIME_S=...  FRAME=...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UNITS=m  MESH_SIGNATURE=...  CHECKSUM=...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global_index,x_m,y_m,z_m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0,8.7600000000000000e+08,0.0,0.0</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1,...</w:t>
      </w:r>
    </w:p>
    <w:p>
      <w:pPr>
        <w:pStyle w:val="Heading3"/>
        <w:spacing w:after="100" w:before="220"/>
      </w:pPr>
      <w:r>
        <w:t xml:space="preserve">5.5.4 Script invocation</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argv[0] = &lt;interpreter&gt;            # from --external-field-python, default python3</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argv[1] = &lt;script path&gt;            # from --external-field-script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argv[2] = "--input"    argv[3] = &lt;abs path to cellcenters file&gt;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argv[4] = "--output"   argv[5] = &lt;abs path the script must create&gt;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argv[6] = "--time"     argv[7] = &lt;simulation time in seconds&gt;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argv[8] = "--format"   argv[9] = "binary" | "csv"</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Any --external-field-arg KEY=VALUE options are appended as</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   "--KEY" "VALUE" pairs, in the order given.</w:t>
      </w:r>
    </w:p>
    <w:p>
      <w:pPr>
        <w:pStyle w:val="ListParagraph"/>
        <w:numPr>
          <w:ilvl w:val="0"/>
          <w:numId w:val="3"/>
        </w:numPr>
        <w:spacing w:after="60" w:line="264"/>
      </w:pPr>
      <w:r>
        <w:rPr>
          <w:b w:val="false"/>
          <w:bCs w:val="false"/>
          <w:i w:val="false"/>
          <w:iCs w:val="false"/>
        </w:rPr>
        <w:t xml:space="preserve">The process is launched with </w:t>
      </w:r>
      <w:r>
        <w:rPr>
          <w:rFonts w:ascii="Consolas" w:cs="Consolas" w:eastAsia="Consolas" w:hAnsi="Consolas"/>
          <w:b w:val="false"/>
          <w:bCs w:val="false"/>
          <w:i w:val="false"/>
          <w:iCs w:val="false"/>
          <w:sz w:val="19"/>
          <w:szCs w:val="19"/>
        </w:rPr>
        <w:t xml:space="preserve">posix_spawn</w:t>
      </w:r>
      <w:r>
        <w:rPr>
          <w:b w:val="false"/>
          <w:bCs w:val="false"/>
          <w:i w:val="false"/>
          <w:iCs w:val="false"/>
        </w:rPr>
        <w:t xml:space="preserve">/</w:t>
      </w:r>
      <w:r>
        <w:rPr>
          <w:rFonts w:ascii="Consolas" w:cs="Consolas" w:eastAsia="Consolas" w:hAnsi="Consolas"/>
          <w:b w:val="false"/>
          <w:bCs w:val="false"/>
          <w:i w:val="false"/>
          <w:iCs w:val="false"/>
          <w:sz w:val="19"/>
          <w:szCs w:val="19"/>
        </w:rPr>
        <w:t xml:space="preserve">execve</w:t>
      </w:r>
      <w:r>
        <w:rPr>
          <w:b w:val="false"/>
          <w:bCs w:val="false"/>
          <w:i w:val="false"/>
          <w:iCs w:val="false"/>
        </w:rPr>
        <w:t xml:space="preserve"> semantics and an explicit argument vector. </w:t>
      </w:r>
      <w:r>
        <w:rPr>
          <w:rFonts w:ascii="Consolas" w:cs="Consolas" w:eastAsia="Consolas" w:hAnsi="Consolas"/>
          <w:b w:val="false"/>
          <w:bCs w:val="false"/>
          <w:i w:val="false"/>
          <w:iCs w:val="false"/>
          <w:sz w:val="19"/>
          <w:szCs w:val="19"/>
        </w:rPr>
        <w:t xml:space="preserve">system()</w:t>
      </w:r>
      <w:r>
        <w:rPr>
          <w:b w:val="false"/>
          <w:bCs w:val="false"/>
          <w:i w:val="false"/>
          <w:iCs w:val="false"/>
        </w:rPr>
        <w:t xml:space="preserve"> and shell interpolation are forbidden, and paths containing shell metacharacters are not special-cased — they simply work, because no shell is involved.</w:t>
      </w:r>
    </w:p>
    <w:p>
      <w:pPr>
        <w:pStyle w:val="ListParagraph"/>
        <w:numPr>
          <w:ilvl w:val="0"/>
          <w:numId w:val="3"/>
        </w:numPr>
        <w:spacing w:after="60" w:line="264"/>
      </w:pPr>
      <w:r>
        <w:rPr>
          <w:b w:val="false"/>
          <w:bCs w:val="false"/>
          <w:i w:val="false"/>
          <w:iCs w:val="false"/>
        </w:rPr>
        <w:t xml:space="preserve">stdout and stderr are captured to </w:t>
      </w:r>
      <w:r>
        <w:rPr>
          <w:rFonts w:ascii="Consolas" w:cs="Consolas" w:eastAsia="Consolas" w:hAnsi="Consolas"/>
          <w:b w:val="false"/>
          <w:bCs w:val="false"/>
          <w:i w:val="false"/>
          <w:iCs w:val="false"/>
          <w:sz w:val="19"/>
          <w:szCs w:val="19"/>
        </w:rPr>
        <w:t xml:space="preserve">&lt;workdir&gt;/external_field_&lt;time&gt;.log</w:t>
      </w:r>
      <w:r>
        <w:rPr>
          <w:b w:val="false"/>
          <w:bCs w:val="false"/>
          <w:i w:val="false"/>
          <w:iCs w:val="false"/>
        </w:rPr>
        <w:t xml:space="preserve"> and retained on failure.</w:t>
      </w:r>
    </w:p>
    <w:p>
      <w:pPr>
        <w:pStyle w:val="ListParagraph"/>
        <w:numPr>
          <w:ilvl w:val="0"/>
          <w:numId w:val="3"/>
        </w:numPr>
        <w:spacing w:after="60" w:line="264"/>
      </w:pPr>
      <w:r>
        <w:rPr>
          <w:b w:val="false"/>
          <w:bCs w:val="false"/>
          <w:i w:val="false"/>
          <w:iCs w:val="false"/>
        </w:rPr>
        <w:t xml:space="preserve">A non-zero exit code, a missing output file, or a wall-clock overrun of </w:t>
      </w:r>
      <w:r>
        <w:rPr>
          <w:rFonts w:ascii="Consolas" w:cs="Consolas" w:eastAsia="Consolas" w:hAnsi="Consolas"/>
          <w:b w:val="false"/>
          <w:bCs w:val="false"/>
          <w:i w:val="false"/>
          <w:iCs w:val="false"/>
          <w:sz w:val="19"/>
          <w:szCs w:val="19"/>
        </w:rPr>
        <w:t xml:space="preserve">--external-field-timeout</w:t>
      </w:r>
      <w:r>
        <w:rPr>
          <w:b w:val="false"/>
          <w:bCs w:val="false"/>
          <w:i w:val="false"/>
          <w:iCs w:val="false"/>
        </w:rPr>
        <w:t xml:space="preserve"> (default 900 s) is a hard error that names the log path.</w:t>
      </w:r>
    </w:p>
    <w:p>
      <w:pPr>
        <w:pStyle w:val="ListParagraph"/>
        <w:numPr>
          <w:ilvl w:val="0"/>
          <w:numId w:val="3"/>
        </w:numPr>
        <w:spacing w:after="60" w:line="264"/>
      </w:pPr>
      <w:r>
        <w:rPr>
          <w:b w:val="false"/>
          <w:bCs w:val="false"/>
          <w:i w:val="false"/>
          <w:iCs w:val="false"/>
        </w:rPr>
        <w:t xml:space="preserve">By default only rank 0 launches the script and then broadcasts the result; </w:t>
      </w:r>
      <w:r>
        <w:rPr>
          <w:rFonts w:ascii="Consolas" w:cs="Consolas" w:eastAsia="Consolas" w:hAnsi="Consolas"/>
          <w:b w:val="false"/>
          <w:bCs w:val="false"/>
          <w:i w:val="false"/>
          <w:iCs w:val="false"/>
          <w:sz w:val="19"/>
          <w:szCs w:val="19"/>
        </w:rPr>
        <w:t xml:space="preserve">--external-field-launch per-rank</w:t>
      </w:r>
      <w:r>
        <w:rPr>
          <w:b w:val="false"/>
          <w:bCs w:val="false"/>
          <w:i w:val="false"/>
          <w:iCs w:val="false"/>
        </w:rPr>
        <w:t xml:space="preserve"> is available for scripts that are cheap and embarrassingly parallel, in which case each rank writes and reads only its own cells.</w:t>
      </w:r>
    </w:p>
    <w:p>
      <w:pPr>
        <w:pStyle w:val="Heading3"/>
        <w:spacing w:after="100" w:before="220"/>
      </w:pPr>
      <w:r>
        <w:t xml:space="preserve">5.5.5 Field file format</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 ---- Binary form: &lt;stem&gt;.bfield.bin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char[8]   magic          = "AMPSBF01"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uint32    headerBytes    = 256</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uint32    formatVersion  =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nPoints                  // must equal the input nPoints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simulationTime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char[32]  frameName                // must equal the input frameName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char[16]  fieldUnits               // "T" | "nT" | "G"</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char[64]  meshSignature            // must equal the input meshSignature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uint32    nExtraColumns            // 0 in version 1; reserved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payloadChecksum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Record block: nPoints records, each 40 bytes (+ 8*nExtraColumns)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uint64    globalIndex              // must match the input, in order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int32     found                    // 1 = field available, 0 = not found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int32     reserved                 // 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Bx, By, Bz               // in fieldUnits, frameName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Reserved extra columns (version &gt;= 2): n [m^-3], Ux, Uy, Uz [m/s],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T [K], divU [1/s]. Declared by nExtraColumns and a name table.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ASCII form: &lt;stem&gt;.bfield.csv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MAGIC=AMPSBF01  VERSION=1  NPOINTS=...  TIME_S=...  FRAME=...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FIELD_UNITS=T  MESH_SIGNATURE=...  CHECKSUM=...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global_index,found,Bx,By,Bz</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0,1,3.21e-06,-1.02e-06,0.0</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1,0,0.0,0.0,0.0</w:t>
      </w:r>
    </w:p>
    <w:p>
      <w:pPr>
        <w:pStyle w:val="Heading3"/>
        <w:spacing w:after="100" w:before="220"/>
      </w:pPr>
      <w:r>
        <w:t xml:space="preserve">5.5.6 Policy for points that were not found</w:t>
      </w:r>
    </w:p>
    <w:p>
      <w:pPr>
        <w:spacing w:after="120" w:line="264"/>
        <w:jc w:val="left"/>
      </w:pPr>
      <w:r>
        <w:rPr>
          <w:b w:val="false"/>
          <w:bCs w:val="false"/>
          <w:i w:val="false"/>
          <w:iCs w:val="false"/>
        </w:rPr>
        <w:t xml:space="preserve">The "found" flag is a first-class result, not an error. </w:t>
      </w:r>
      <w:r>
        <w:rPr>
          <w:rFonts w:ascii="Consolas" w:cs="Consolas" w:eastAsia="Consolas" w:hAnsi="Consolas"/>
          <w:b w:val="false"/>
          <w:bCs w:val="false"/>
          <w:i w:val="false"/>
          <w:iCs w:val="false"/>
          <w:sz w:val="19"/>
          <w:szCs w:val="19"/>
        </w:rPr>
        <w:t xml:space="preserve">--external-field-missing-policy</w:t>
      </w:r>
      <w:r>
        <w:rPr>
          <w:b w:val="false"/>
          <w:bCs w:val="false"/>
          <w:i w:val="false"/>
          <w:iCs w:val="false"/>
        </w:rPr>
        <w:t xml:space="preserve"> selects the behaviour:</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76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Value</w:t>
            </w:r>
          </w:p>
        </w:tc>
        <w:tc>
          <w:tcPr>
            <w:tcW w:type="dxa" w:w="7680"/>
            <w:shd w:fill="1F3864" w:val="clear"/>
            <w:tcMar>
              <w:top w:type="dxa" w:w="60"/>
              <w:left w:type="dxa" w:w="100"/>
              <w:bottom w:type="dxa" w:w="60"/>
              <w:right w:type="dxa" w:w="100"/>
            </w:tcMar>
          </w:tcPr>
          <w:p>
            <w:pPr>
              <w:spacing w:after="0" w:line="240"/>
            </w:pPr>
            <w:r>
              <w:rPr>
                <w:b/>
                <w:bCs/>
                <w:color w:val="FFFFFF"/>
                <w:sz w:val="18"/>
                <w:szCs w:val="18"/>
              </w:rPr>
              <w:t xml:space="preserve">Behaviour</w:t>
            </w:r>
          </w:p>
        </w:tc>
      </w:tr>
      <w:tr>
        <w:tc>
          <w:tcPr>
            <w:tcW w:type="dxa" w:w="2400"/>
            <w:tcMar>
              <w:top w:type="dxa" w:w="60"/>
              <w:left w:type="dxa" w:w="100"/>
              <w:bottom w:type="dxa" w:w="60"/>
              <w:right w:type="dxa" w:w="100"/>
            </w:tcMar>
          </w:tcPr>
          <w:p>
            <w:pPr>
              <w:spacing w:after="0" w:line="240"/>
            </w:pPr>
            <w:r>
              <w:rPr>
                <w:b w:val="false"/>
                <w:bCs w:val="false"/>
                <w:sz w:val="18"/>
                <w:szCs w:val="18"/>
              </w:rPr>
              <w:t xml:space="preserve">mark-invalid (default)</w:t>
            </w:r>
          </w:p>
        </w:tc>
        <w:tc>
          <w:tcPr>
            <w:tcW w:type="dxa" w:w="7680"/>
            <w:tcMar>
              <w:top w:type="dxa" w:w="60"/>
              <w:left w:type="dxa" w:w="100"/>
              <w:bottom w:type="dxa" w:w="60"/>
              <w:right w:type="dxa" w:w="100"/>
            </w:tcMar>
          </w:tcPr>
          <w:p>
            <w:pPr>
              <w:spacing w:after="0" w:line="240"/>
            </w:pPr>
            <w:r>
              <w:rPr>
                <w:b w:val="false"/>
                <w:bCs w:val="false"/>
                <w:sz w:val="18"/>
                <w:szCs w:val="18"/>
              </w:rPr>
              <w:t xml:space="preserve">The cell’s BackgroundValidity flag is cleared. Any interpolation stencil that touches an invalid cell returns valid = false; a mover that receives an invalid sample deletes the particle with a distinct return code and increments a named counter. No physics is invented.</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parker-fallback</w:t>
            </w:r>
          </w:p>
        </w:tc>
        <w:tc>
          <w:tcPr>
            <w:tcW w:type="dxa" w:w="7680"/>
            <w:shd w:fill="EEF1F6" w:val="clear"/>
            <w:tcMar>
              <w:top w:type="dxa" w:w="60"/>
              <w:left w:type="dxa" w:w="100"/>
              <w:bottom w:type="dxa" w:w="60"/>
              <w:right w:type="dxa" w:w="100"/>
            </w:tcMar>
          </w:tcPr>
          <w:p>
            <w:pPr>
              <w:spacing w:after="0" w:line="240"/>
            </w:pPr>
            <w:r>
              <w:rPr>
                <w:b w:val="false"/>
                <w:bCs w:val="false"/>
                <w:sz w:val="18"/>
                <w:szCs w:val="18"/>
              </w:rPr>
              <w:t xml:space="preserve">The configured analytic Parker provider fills the cell. The fallback fraction is reported per output interval and written into the manifest.</w:t>
            </w:r>
          </w:p>
        </w:tc>
      </w:tr>
      <w:tr>
        <w:tc>
          <w:tcPr>
            <w:tcW w:type="dxa" w:w="2400"/>
            <w:tcMar>
              <w:top w:type="dxa" w:w="60"/>
              <w:left w:type="dxa" w:w="100"/>
              <w:bottom w:type="dxa" w:w="60"/>
              <w:right w:type="dxa" w:w="100"/>
            </w:tcMar>
          </w:tcPr>
          <w:p>
            <w:pPr>
              <w:spacing w:after="0" w:line="240"/>
            </w:pPr>
            <w:r>
              <w:rPr>
                <w:b w:val="false"/>
                <w:bCs w:val="false"/>
                <w:sz w:val="18"/>
                <w:szCs w:val="18"/>
              </w:rPr>
              <w:t xml:space="preserve">fail</w:t>
            </w:r>
          </w:p>
        </w:tc>
        <w:tc>
          <w:tcPr>
            <w:tcW w:type="dxa" w:w="7680"/>
            <w:tcMar>
              <w:top w:type="dxa" w:w="60"/>
              <w:left w:type="dxa" w:w="100"/>
              <w:bottom w:type="dxa" w:w="60"/>
              <w:right w:type="dxa" w:w="100"/>
            </w:tcMar>
          </w:tcPr>
          <w:p>
            <w:pPr>
              <w:spacing w:after="0" w:line="240"/>
            </w:pPr>
            <w:r>
              <w:rPr>
                <w:b w:val="false"/>
                <w:bCs w:val="false"/>
                <w:sz w:val="18"/>
                <w:szCs w:val="18"/>
              </w:rPr>
              <w:t xml:space="preserve">A single not-found point aborts the run, naming the cell index and position.</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zero</w:t>
            </w:r>
          </w:p>
        </w:tc>
        <w:tc>
          <w:tcPr>
            <w:tcW w:type="dxa" w:w="7680"/>
            <w:shd w:fill="EEF1F6" w:val="clear"/>
            <w:tcMar>
              <w:top w:type="dxa" w:w="60"/>
              <w:left w:type="dxa" w:w="100"/>
              <w:bottom w:type="dxa" w:w="60"/>
              <w:right w:type="dxa" w:w="100"/>
            </w:tcMar>
          </w:tcPr>
          <w:p>
            <w:pPr>
              <w:spacing w:after="0" w:line="240"/>
            </w:pPr>
            <w:r>
              <w:rPr>
                <w:b w:val="false"/>
                <w:bCs w:val="false"/>
                <w:sz w:val="18"/>
                <w:szCs w:val="18"/>
              </w:rPr>
              <w:t xml:space="preserve">B = 0 is stored and the cell is marked valid. Provided only for controlled tests; it is refused unless --allow-unphysical-background is also given.</w:t>
            </w:r>
          </w:p>
        </w:tc>
      </w:tr>
    </w:tbl>
    <w:p>
      <w:pPr>
        <w:spacing w:after="140"/>
      </w:pPr>
    </w:p>
    <w:p>
      <w:pPr>
        <w:pStyle w:val="Heading3"/>
        <w:spacing w:after="100" w:before="220"/>
      </w:pPr>
      <w:r>
        <w:t xml:space="preserve">5.5.7 Caching, restart, and time dependence</w:t>
      </w:r>
    </w:p>
    <w:p>
      <w:pPr>
        <w:pStyle w:val="ListParagraph"/>
        <w:numPr>
          <w:ilvl w:val="0"/>
          <w:numId w:val="3"/>
        </w:numPr>
        <w:spacing w:after="60" w:line="264"/>
      </w:pPr>
      <w:r>
        <w:rPr>
          <w:b w:val="false"/>
          <w:bCs w:val="false"/>
          <w:i w:val="false"/>
          <w:iCs w:val="false"/>
        </w:rPr>
        <w:t xml:space="preserve">A cache key is formed from SHA-256(script bytes) ⊕ hash(argument vector) ⊕ mesh signature ⊕ quantised simulation time. If </w:t>
      </w:r>
      <w:r>
        <w:rPr>
          <w:rFonts w:ascii="Consolas" w:cs="Consolas" w:eastAsia="Consolas" w:hAnsi="Consolas"/>
          <w:b w:val="false"/>
          <w:bCs w:val="false"/>
          <w:i w:val="false"/>
          <w:iCs w:val="false"/>
          <w:sz w:val="19"/>
          <w:szCs w:val="19"/>
        </w:rPr>
        <w:t xml:space="preserve">&lt;workdir&gt;/cache/&lt;key&gt;.bfield.bin</w:t>
      </w:r>
      <w:r>
        <w:rPr>
          <w:b w:val="false"/>
          <w:bCs w:val="false"/>
          <w:i w:val="false"/>
          <w:iCs w:val="false"/>
        </w:rPr>
        <w:t xml:space="preserve"> exists and validates, the script is not re-run. This makes restarts free and makes repeated validation runs fast.</w:t>
      </w:r>
    </w:p>
    <w:p>
      <w:pPr>
        <w:pStyle w:val="ListParagraph"/>
        <w:numPr>
          <w:ilvl w:val="0"/>
          <w:numId w:val="3"/>
        </w:numPr>
        <w:spacing w:after="60" w:line="264"/>
      </w:pPr>
      <w:r>
        <w:rPr>
          <w:b w:val="false"/>
          <w:bCs w:val="false"/>
          <w:i w:val="false"/>
          <w:iCs w:val="false"/>
        </w:rPr>
        <w:t xml:space="preserve">Time dependence reuses the existing </w:t>
      </w:r>
      <w:r>
        <w:rPr>
          <w:rFonts w:ascii="Consolas" w:cs="Consolas" w:eastAsia="Consolas" w:hAnsi="Consolas"/>
          <w:b w:val="false"/>
          <w:bCs w:val="false"/>
          <w:i w:val="false"/>
          <w:iCs w:val="false"/>
          <w:sz w:val="19"/>
          <w:szCs w:val="19"/>
        </w:rPr>
        <w:t xml:space="preserve">MULTIFILE</w:t>
      </w:r>
      <w:r>
        <w:rPr>
          <w:b w:val="false"/>
          <w:bCs w:val="false"/>
          <w:i w:val="false"/>
          <w:iCs w:val="false"/>
        </w:rPr>
        <w:t xml:space="preserve"> concept: the provider is asked for a schedule of times, two snapshots are held (Curr/Next), and </w:t>
      </w:r>
      <w:r>
        <w:rPr>
          <w:rFonts w:ascii="Consolas" w:cs="Consolas" w:eastAsia="Consolas" w:hAnsi="Consolas"/>
          <w:b w:val="false"/>
          <w:bCs w:val="false"/>
          <w:i w:val="false"/>
          <w:iCs w:val="false"/>
          <w:sz w:val="19"/>
          <w:szCs w:val="19"/>
        </w:rPr>
        <w:t xml:space="preserve">GetBackgroundValue</w:t>
      </w:r>
      <w:r>
        <w:rPr>
          <w:b w:val="false"/>
          <w:bCs w:val="false"/>
          <w:i w:val="false"/>
          <w:iCs w:val="false"/>
        </w:rPr>
        <w:t xml:space="preserve"> linearly interpolates between them. No new machinery is required.</w:t>
      </w:r>
    </w:p>
    <w:p>
      <w:pPr>
        <w:pStyle w:val="ListParagraph"/>
        <w:numPr>
          <w:ilvl w:val="0"/>
          <w:numId w:val="3"/>
        </w:numPr>
        <w:spacing w:after="60" w:line="264"/>
      </w:pPr>
      <w:r>
        <w:t xml:space="preserve">The script itself, its SHA-256, the full argument vector, the cache key, the found/not-found counts, and the log path are all recorded in the run manifest.</w:t>
      </w:r>
    </w:p>
    <w:p>
      <w:pPr>
        <w:pStyle w:val="Heading3"/>
        <w:spacing w:after="100" w:before="220"/>
      </w:pPr>
      <w:r>
        <w:t xml:space="preserve">5.5.8 Tests that can be written now</w:t>
      </w:r>
    </w:p>
    <w:p>
      <w:pPr>
        <w:spacing w:after="120" w:line="264"/>
        <w:jc w:val="left"/>
      </w:pPr>
      <w:r>
        <w:t xml:space="preserve">The following Stage-1 tests are written against the specification and a stub script, and they are marked SKIP until the feature lands. Writing them now is what makes the specification real.</w:t>
      </w:r>
    </w:p>
    <w:p>
      <w:pPr>
        <w:pStyle w:val="ListParagraph"/>
        <w:numPr>
          <w:ilvl w:val="0"/>
          <w:numId w:val="3"/>
        </w:numPr>
        <w:spacing w:after="60" w:line="264"/>
      </w:pPr>
      <w:r>
        <w:rPr>
          <w:b w:val="false"/>
          <w:bCs w:val="false"/>
          <w:i w:val="false"/>
          <w:iCs w:val="false"/>
        </w:rPr>
        <w:t xml:space="preserve">BGX01 — round-trip. Writer produces a cell-centre file; a bundled stub script (</w:t>
      </w:r>
      <w:r>
        <w:rPr>
          <w:rFonts w:ascii="Consolas" w:cs="Consolas" w:eastAsia="Consolas" w:hAnsi="Consolas"/>
          <w:b w:val="false"/>
          <w:bCs w:val="false"/>
          <w:i w:val="false"/>
          <w:iCs w:val="false"/>
          <w:sz w:val="19"/>
          <w:szCs w:val="19"/>
        </w:rPr>
        <w:t xml:space="preserve">test/stubs/parker_field_stub.py</w:t>
      </w:r>
      <w:r>
        <w:rPr>
          <w:b w:val="false"/>
          <w:bCs w:val="false"/>
          <w:i w:val="false"/>
          <w:iCs w:val="false"/>
        </w:rPr>
        <w:t xml:space="preserve">) returns the analytic Parker field; the reader loads it; the result matches the internal Parker provider to 10⁻¹² relative.</w:t>
      </w:r>
    </w:p>
    <w:p>
      <w:pPr>
        <w:pStyle w:val="ListParagraph"/>
        <w:numPr>
          <w:ilvl w:val="0"/>
          <w:numId w:val="3"/>
        </w:numPr>
        <w:spacing w:after="60" w:line="264"/>
      </w:pPr>
      <w:r>
        <w:t xml:space="preserve">BGX02 — ordering. A stub that shuffles rows is detected and rejected.</w:t>
      </w:r>
    </w:p>
    <w:p>
      <w:pPr>
        <w:pStyle w:val="ListParagraph"/>
        <w:numPr>
          <w:ilvl w:val="0"/>
          <w:numId w:val="3"/>
        </w:numPr>
        <w:spacing w:after="60" w:line="264"/>
      </w:pPr>
      <w:r>
        <w:t xml:space="preserve">BGX03 — mesh signature mismatch, checksum mismatch, truncated file, wrong nPoints, and wrong magic are each rejected with distinct diagnostics.</w:t>
      </w:r>
    </w:p>
    <w:p>
      <w:pPr>
        <w:pStyle w:val="ListParagraph"/>
        <w:numPr>
          <w:ilvl w:val="0"/>
          <w:numId w:val="3"/>
        </w:numPr>
        <w:spacing w:after="60" w:line="264"/>
      </w:pPr>
      <w:r>
        <w:t xml:space="preserve">BGX04 — each missing-policy value produces its documented behaviour, including the counter values.</w:t>
      </w:r>
    </w:p>
    <w:p>
      <w:pPr>
        <w:pStyle w:val="ListParagraph"/>
        <w:numPr>
          <w:ilvl w:val="0"/>
          <w:numId w:val="3"/>
        </w:numPr>
        <w:spacing w:after="60" w:line="264"/>
      </w:pPr>
      <w:r>
        <w:t xml:space="preserve">BGX05 — unit conversion: a stub returning nT and one returning T give identical stored fields.</w:t>
      </w:r>
    </w:p>
    <w:p>
      <w:pPr>
        <w:pStyle w:val="ListParagraph"/>
        <w:numPr>
          <w:ilvl w:val="0"/>
          <w:numId w:val="3"/>
        </w:numPr>
        <w:spacing w:after="60" w:line="264"/>
      </w:pPr>
      <w:r>
        <w:t xml:space="preserve">BGX06 — timeout and non-zero exit are reported as errors that name the log path.</w:t>
      </w:r>
    </w:p>
    <w:p>
      <w:pPr>
        <w:pStyle w:val="ListParagraph"/>
        <w:numPr>
          <w:ilvl w:val="0"/>
          <w:numId w:val="3"/>
        </w:numPr>
        <w:spacing w:after="60" w:line="264"/>
      </w:pPr>
      <w:r>
        <w:t xml:space="preserve">BGX07 — cache hit avoids a second launch, verified by a stub that appends to a marker file on each invocation.</w:t>
      </w:r>
    </w:p>
    <w:p>
      <w:pPr>
        <w:pStyle w:val="Heading2"/>
        <w:spacing w:after="120" w:before="280"/>
      </w:pPr>
      <w:r>
        <w:t xml:space="preserve">5.6 Provider selection and precedence</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--background-field parker            # default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--background-field swcme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--background-field external-script   # RESERVED in release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--background-field amps-datafile     # existing PIC::CPLR::DATAFILE path</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--background-field swmf              # existing PIC::CPLR::SWMF path</w:t>
      </w:r>
    </w:p>
    <w:p>
      <w:pPr>
        <w:spacing w:after="120" w:line="264"/>
        <w:jc w:val="left"/>
      </w:pPr>
      <w:r>
        <w:rPr>
          <w:b w:val="false"/>
          <w:bCs w:val="false"/>
          <w:i w:val="false"/>
          <w:iCs w:val="false"/>
        </w:rPr>
        <w:t xml:space="preserve">Exactly one provider is authoritative for B. A second provider may be attached in a read-only role for diagnostics (for example, running the analytic Parker provider alongside SWCME so that a test can report the difference), selected by </w:t>
      </w:r>
      <w:r>
        <w:rPr>
          <w:rFonts w:ascii="Consolas" w:cs="Consolas" w:eastAsia="Consolas" w:hAnsi="Consolas"/>
          <w:b w:val="false"/>
          <w:bCs w:val="false"/>
          <w:i w:val="false"/>
          <w:iCs w:val="false"/>
          <w:sz w:val="19"/>
          <w:szCs w:val="19"/>
        </w:rPr>
        <w:t xml:space="preserve">--background-reference-field</w:t>
      </w:r>
      <w:r>
        <w:rPr>
          <w:b w:val="false"/>
          <w:bCs w:val="false"/>
          <w:i w:val="false"/>
          <w:iCs w:val="false"/>
        </w:rPr>
        <w:t xml:space="preserve">. Mixing two providers to produce one field is not supported and is rejected at parse time; that kind of blending belongs in a provider, not in the selection layer.</w:t>
      </w:r>
    </w:p>
    <w:p>
      <w:r>
        <w:br w:type="page"/>
      </w:r>
    </w:p>
    <w:p>
      <w:pPr>
        <w:pStyle w:val="Heading1"/>
        <w:spacing w:after="160" w:before="360"/>
      </w:pPr>
      <w:r>
        <w:t xml:space="preserve">6. Computational Domain and Mesh Resolution</w:t>
      </w:r>
    </w:p>
    <w:p>
      <w:pPr>
        <w:spacing w:after="120" w:line="264"/>
        <w:jc w:val="left"/>
      </w:pPr>
      <w:r>
        <w:t xml:space="preserve">This section answers the specific design questions posed: what resolution to use at the solar surface, how quickly it should grow to the uniform background value, what resolution to use along the selected Parker-spiral flux tube, and how quickly that should relax back to the ambient mesh. The approach is to define a single closed-form resolution law with a small number of knobs, each of which has an exact analytic meaning, so that the resulting mesh can be predicted, budgeted, and tested before AMPS is ever built.</w:t>
      </w:r>
    </w:p>
    <w:p>
      <w:pPr>
        <w:pStyle w:val="Heading2"/>
        <w:spacing w:after="120" w:before="280"/>
      </w:pPr>
      <w:r>
        <w:t xml:space="preserve">6.1 How AMPS turns a resolution law into a mesh</w:t>
      </w:r>
    </w:p>
    <w:p>
      <w:pPr>
        <w:spacing w:after="120" w:line="264"/>
        <w:jc w:val="left"/>
      </w:pPr>
      <w:r>
        <w:rPr>
          <w:b w:val="false"/>
          <w:bCs w:val="false"/>
          <w:i w:val="false"/>
          <w:iCs w:val="false"/>
        </w:rPr>
        <w:t xml:space="preserve">Understanding the refinement mechanism is a prerequisite for choosing the knobs. In </w:t>
      </w:r>
      <w:r>
        <w:rPr>
          <w:rFonts w:ascii="Consolas" w:cs="Consolas" w:eastAsia="Consolas" w:hAnsi="Consolas"/>
          <w:b w:val="false"/>
          <w:bCs w:val="false"/>
          <w:i w:val="false"/>
          <w:iCs w:val="false"/>
          <w:sz w:val="19"/>
          <w:szCs w:val="19"/>
        </w:rPr>
        <w:t xml:space="preserve">cMeshAMRgeneric::buildMesh_OneLevelRefinment</w:t>
      </w:r>
      <w:r>
        <w:rPr>
          <w:b w:val="false"/>
          <w:bCs w:val="false"/>
          <w:i w:val="false"/>
          <w:iCs w:val="false"/>
        </w:rPr>
        <w:t xml:space="preserve">, a block at refinement level L is subdivided when its characteristic cell size exceeds the requested resolution, where the request is the </w:t>
      </w:r>
      <w:r>
        <w:rPr>
          <w:b/>
          <w:bCs/>
          <w:i w:val="false"/>
          <w:iCs w:val="false"/>
        </w:rPr>
        <w:t xml:space="preserve">minimum</w:t>
      </w:r>
      <w:r>
        <w:rPr>
          <w:b w:val="false"/>
          <w:bCs w:val="false"/>
          <w:i w:val="false"/>
          <w:iCs w:val="false"/>
        </w:rPr>
        <w:t xml:space="preserve"> of </w:t>
      </w:r>
      <w:r>
        <w:rPr>
          <w:rFonts w:ascii="Consolas" w:cs="Consolas" w:eastAsia="Consolas" w:hAnsi="Consolas"/>
          <w:b w:val="false"/>
          <w:bCs w:val="false"/>
          <w:i w:val="false"/>
          <w:iCs w:val="false"/>
          <w:sz w:val="19"/>
          <w:szCs w:val="19"/>
        </w:rPr>
        <w:t xml:space="preserve">localResolution(x)</w:t>
      </w:r>
      <w:r>
        <w:rPr>
          <w:b w:val="false"/>
          <w:bCs w:val="false"/>
          <w:i w:val="false"/>
          <w:iCs w:val="false"/>
        </w:rPr>
        <w:t xml:space="preserve"> evaluated at the block mid-point and at every corner node including the ghost layer. Three consequences follow directly:</w:t>
      </w:r>
    </w:p>
    <w:p>
      <w:pPr>
        <w:pStyle w:val="ListParagraph"/>
        <w:numPr>
          <w:ilvl w:val="0"/>
          <w:numId w:val="8"/>
        </w:numPr>
        <w:spacing w:after="60" w:line="264"/>
      </w:pPr>
      <w:r>
        <w:rPr>
          <w:b/>
          <w:bCs/>
          <w:i w:val="false"/>
          <w:iCs w:val="false"/>
        </w:rPr>
        <w:t xml:space="preserve">Resolution is quantised in powers of two. </w:t>
      </w:r>
      <w:r>
        <w:rPr>
          <w:b w:val="false"/>
          <w:bCs w:val="false"/>
          <w:i w:val="false"/>
          <w:iCs w:val="false"/>
        </w:rPr>
        <w:t xml:space="preserve">The achievable cell sizes are Δ_L = Δ_root / 2^L, where Δ_root is the root-block cell size. Requesting 0.6 Δ_L yields Δ_{L+1} = 0.5 Δ_L, not 0.6 Δ_L. Every number in this section is therefore quoted both as a request and as the quantised value that results.</w:t>
      </w:r>
    </w:p>
    <w:p>
      <w:pPr>
        <w:pStyle w:val="ListParagraph"/>
        <w:numPr>
          <w:ilvl w:val="0"/>
          <w:numId w:val="8"/>
        </w:numPr>
        <w:spacing w:after="60" w:line="264"/>
      </w:pPr>
      <w:r>
        <w:rPr>
          <w:b/>
          <w:bCs/>
          <w:i w:val="false"/>
          <w:iCs w:val="false"/>
        </w:rPr>
        <w:t xml:space="preserve">The law is sampled, not integrated. </w:t>
      </w:r>
      <w:r>
        <w:rPr>
          <w:b w:val="false"/>
          <w:bCs w:val="false"/>
          <w:i w:val="false"/>
          <w:iCs w:val="false"/>
        </w:rPr>
        <w:t xml:space="preserve">A feature narrower than one block can be missed. Because the sampling includes the ghost corners, the effective probe footprint is one block plus one ghost layer in each direction, which sets a lower bound on any feature the law is expected to capture.</w:t>
      </w:r>
    </w:p>
    <w:p>
      <w:pPr>
        <w:pStyle w:val="ListParagraph"/>
        <w:numPr>
          <w:ilvl w:val="0"/>
          <w:numId w:val="8"/>
        </w:numPr>
        <w:spacing w:after="60" w:line="264"/>
      </w:pPr>
      <w:r>
        <w:rPr>
          <w:b/>
          <w:bCs/>
          <w:i w:val="false"/>
          <w:iCs w:val="false"/>
        </w:rPr>
        <w:t xml:space="preserve">The mesh is 2:1 balanced. </w:t>
      </w:r>
      <w:r>
        <w:rPr>
          <w:b w:val="false"/>
          <w:bCs w:val="false"/>
          <w:i w:val="false"/>
          <w:iCs w:val="false"/>
        </w:rPr>
        <w:t xml:space="preserve">Neighbouring blocks differ by at most one level. A law that demands a jump of ΔL levels over a short distance will have that jump spread out by the balancing pass, widening the refined footprint beyond what was requested. Section 6.5 turns this into an explicit design constraint rather than a surprise.</w:t>
      </w:r>
    </w:p>
    <w:p>
      <w:pPr>
        <w:pStyle w:val="Heading2"/>
        <w:spacing w:after="120" w:before="280"/>
      </w:pPr>
      <w:r>
        <w:t xml:space="preserve">6.2 Domain</w:t>
      </w:r>
    </w:p>
    <w:p>
      <w:pPr>
        <w:spacing w:after="120" w:line="264"/>
        <w:jc w:val="left"/>
      </w:pPr>
      <w:r>
        <w:t xml:space="preserve">The domain is a Sun-centred Cartesian cube in an inertial heliocentric frame (declared as HCI-like, matching SWCME’s convention; srcSEP3D performs no SPICE frame transformations). Three presets are provided.</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600"/>
        <w:gridCol w:w="2200"/>
        <w:gridCol w:w="1300"/>
        <w:gridCol w:w="2400"/>
        <w:gridCol w:w="2580"/>
      </w:tblGrid>
      <w:tr>
        <w:trPr>
          <w:tblHeader/>
        </w:trPr>
        <w:tc>
          <w:tcPr>
            <w:tcW w:type="dxa" w:w="1600"/>
            <w:shd w:fill="1F3864" w:val="clear"/>
            <w:tcMar>
              <w:top w:type="dxa" w:w="60"/>
              <w:left w:type="dxa" w:w="100"/>
              <w:bottom w:type="dxa" w:w="60"/>
              <w:right w:type="dxa" w:w="100"/>
            </w:tcMar>
          </w:tcPr>
          <w:p>
            <w:pPr>
              <w:spacing w:after="0" w:line="240"/>
            </w:pPr>
            <w:r>
              <w:rPr>
                <w:b/>
                <w:bCs/>
                <w:color w:val="FFFFFF"/>
                <w:sz w:val="18"/>
                <w:szCs w:val="18"/>
              </w:rPr>
              <w:t xml:space="preserve">Preset</w:t>
            </w:r>
          </w:p>
        </w:tc>
        <w:tc>
          <w:tcPr>
            <w:tcW w:type="dxa" w:w="2200"/>
            <w:shd w:fill="1F3864" w:val="clear"/>
            <w:tcMar>
              <w:top w:type="dxa" w:w="60"/>
              <w:left w:type="dxa" w:w="100"/>
              <w:bottom w:type="dxa" w:w="60"/>
              <w:right w:type="dxa" w:w="100"/>
            </w:tcMar>
          </w:tcPr>
          <w:p>
            <w:pPr>
              <w:spacing w:after="0" w:line="240"/>
            </w:pPr>
            <w:r>
              <w:rPr>
                <w:b/>
                <w:bCs/>
                <w:color w:val="FFFFFF"/>
                <w:sz w:val="18"/>
                <w:szCs w:val="18"/>
              </w:rPr>
              <w:t xml:space="preserve">Half-width</w:t>
            </w:r>
          </w:p>
        </w:tc>
        <w:tc>
          <w:tcPr>
            <w:tcW w:type="dxa" w:w="1300"/>
            <w:shd w:fill="1F3864" w:val="clear"/>
            <w:tcMar>
              <w:top w:type="dxa" w:w="60"/>
              <w:left w:type="dxa" w:w="100"/>
              <w:bottom w:type="dxa" w:w="60"/>
              <w:right w:type="dxa" w:w="100"/>
            </w:tcMar>
          </w:tcPr>
          <w:p>
            <w:pPr>
              <w:spacing w:after="0" w:line="240"/>
            </w:pPr>
            <w:r>
              <w:rPr>
                <w:b/>
                <w:bCs/>
                <w:color w:val="FFFFFF"/>
                <w:sz w:val="18"/>
                <w:szCs w:val="18"/>
              </w:rPr>
              <w:t xml:space="preserve">Cube side</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Root cell Δ_root (N_bc = 4)</w:t>
            </w:r>
          </w:p>
        </w:tc>
        <w:tc>
          <w:tcPr>
            <w:tcW w:type="dxa" w:w="2580"/>
            <w:shd w:fill="1F3864" w:val="clear"/>
            <w:tcMar>
              <w:top w:type="dxa" w:w="60"/>
              <w:left w:type="dxa" w:w="100"/>
              <w:bottom w:type="dxa" w:w="60"/>
              <w:right w:type="dxa" w:w="100"/>
            </w:tcMar>
          </w:tcPr>
          <w:p>
            <w:pPr>
              <w:spacing w:after="0" w:line="240"/>
            </w:pPr>
            <w:r>
              <w:rPr>
                <w:b/>
                <w:bCs/>
                <w:color w:val="FFFFFF"/>
                <w:sz w:val="18"/>
                <w:szCs w:val="18"/>
              </w:rPr>
              <w:t xml:space="preserve">Rationale</w:t>
            </w:r>
          </w:p>
        </w:tc>
      </w:tr>
      <w:tr>
        <w:tc>
          <w:tcPr>
            <w:tcW w:type="dxa" w:w="1600"/>
            <w:tcMar>
              <w:top w:type="dxa" w:w="60"/>
              <w:left w:type="dxa" w:w="100"/>
              <w:bottom w:type="dxa" w:w="60"/>
              <w:right w:type="dxa" w:w="100"/>
            </w:tcMar>
          </w:tcPr>
          <w:p>
            <w:pPr>
              <w:spacing w:after="0" w:line="240"/>
            </w:pPr>
            <w:r>
              <w:rPr>
                <w:b w:val="false"/>
                <w:bCs w:val="false"/>
                <w:sz w:val="18"/>
                <w:szCs w:val="18"/>
              </w:rPr>
              <w:t xml:space="preserve">earth (default)</w:t>
            </w:r>
          </w:p>
        </w:tc>
        <w:tc>
          <w:tcPr>
            <w:tcW w:type="dxa" w:w="2200"/>
            <w:tcMar>
              <w:top w:type="dxa" w:w="60"/>
              <w:left w:type="dxa" w:w="100"/>
              <w:bottom w:type="dxa" w:w="60"/>
              <w:right w:type="dxa" w:w="100"/>
            </w:tcMar>
          </w:tcPr>
          <w:p>
            <w:pPr>
              <w:spacing w:after="0" w:line="240"/>
            </w:pPr>
            <w:r>
              <w:rPr>
                <w:b w:val="false"/>
                <w:bCs w:val="false"/>
                <w:sz w:val="18"/>
                <w:szCs w:val="18"/>
              </w:rPr>
              <w:t xml:space="preserve">1.10 AU = 1.646×10¹¹ m</w:t>
            </w:r>
          </w:p>
        </w:tc>
        <w:tc>
          <w:tcPr>
            <w:tcW w:type="dxa" w:w="1300"/>
            <w:tcMar>
              <w:top w:type="dxa" w:w="60"/>
              <w:left w:type="dxa" w:w="100"/>
              <w:bottom w:type="dxa" w:w="60"/>
              <w:right w:type="dxa" w:w="100"/>
            </w:tcMar>
          </w:tcPr>
          <w:p>
            <w:pPr>
              <w:spacing w:after="0" w:line="240"/>
            </w:pPr>
            <w:r>
              <w:rPr>
                <w:b w:val="false"/>
                <w:bCs w:val="false"/>
                <w:sz w:val="18"/>
                <w:szCs w:val="18"/>
              </w:rPr>
              <w:t xml:space="preserve">2.20 AU</w:t>
            </w:r>
          </w:p>
        </w:tc>
        <w:tc>
          <w:tcPr>
            <w:tcW w:type="dxa" w:w="2400"/>
            <w:tcMar>
              <w:top w:type="dxa" w:w="60"/>
              <w:left w:type="dxa" w:w="100"/>
              <w:bottom w:type="dxa" w:w="60"/>
              <w:right w:type="dxa" w:w="100"/>
            </w:tcMar>
          </w:tcPr>
          <w:p>
            <w:pPr>
              <w:spacing w:after="0" w:line="240"/>
            </w:pPr>
            <w:r>
              <w:rPr>
                <w:b w:val="false"/>
                <w:bCs w:val="false"/>
                <w:sz w:val="18"/>
                <w:szCs w:val="18"/>
              </w:rPr>
              <w:t xml:space="preserve">8.23×10¹⁰ m = 0.550 AU</w:t>
            </w:r>
          </w:p>
        </w:tc>
        <w:tc>
          <w:tcPr>
            <w:tcW w:type="dxa" w:w="2580"/>
            <w:tcMar>
              <w:top w:type="dxa" w:w="60"/>
              <w:left w:type="dxa" w:w="100"/>
              <w:bottom w:type="dxa" w:w="60"/>
              <w:right w:type="dxa" w:w="100"/>
            </w:tcMar>
          </w:tcPr>
          <w:p>
            <w:pPr>
              <w:spacing w:after="0" w:line="240"/>
            </w:pPr>
            <w:r>
              <w:rPr>
                <w:b w:val="false"/>
                <w:bCs w:val="false"/>
                <w:sz w:val="18"/>
                <w:szCs w:val="18"/>
              </w:rPr>
              <w:t xml:space="preserve">Encloses Earth’s orbit with 10% margin for the spiral excursion and for observers slightly beyond 1 AU</w:t>
            </w:r>
          </w:p>
        </w:tc>
      </w:tr>
      <w:tr>
        <w:tc>
          <w:tcPr>
            <w:tcW w:type="dxa" w:w="1600"/>
            <w:shd w:fill="EEF1F6" w:val="clear"/>
            <w:tcMar>
              <w:top w:type="dxa" w:w="60"/>
              <w:left w:type="dxa" w:w="100"/>
              <w:bottom w:type="dxa" w:w="60"/>
              <w:right w:type="dxa" w:w="100"/>
            </w:tcMar>
          </w:tcPr>
          <w:p>
            <w:pPr>
              <w:spacing w:after="0" w:line="240"/>
            </w:pPr>
            <w:r>
              <w:rPr>
                <w:b w:val="false"/>
                <w:bCs w:val="false"/>
                <w:sz w:val="18"/>
                <w:szCs w:val="18"/>
              </w:rPr>
              <w:t xml:space="preserve">mars</w:t>
            </w:r>
          </w:p>
        </w:tc>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1.70 AU = 2.543×10¹¹ m</w:t>
            </w:r>
          </w:p>
        </w:tc>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3.40 AU</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1.27×10¹¹ m = 0.850 AU</w:t>
            </w:r>
          </w:p>
        </w:tc>
        <w:tc>
          <w:tcPr>
            <w:tcW w:type="dxa" w:w="2580"/>
            <w:shd w:fill="EEF1F6" w:val="clear"/>
            <w:tcMar>
              <w:top w:type="dxa" w:w="60"/>
              <w:left w:type="dxa" w:w="100"/>
              <w:bottom w:type="dxa" w:w="60"/>
              <w:right w:type="dxa" w:w="100"/>
            </w:tcMar>
          </w:tcPr>
          <w:p>
            <w:pPr>
              <w:spacing w:after="0" w:line="240"/>
            </w:pPr>
            <w:r>
              <w:rPr>
                <w:b w:val="false"/>
                <w:bCs w:val="false"/>
                <w:sz w:val="18"/>
                <w:szCs w:val="18"/>
              </w:rPr>
              <w:t xml:space="preserve">Encloses Mars at aphelion (1.666 AU) with margin</w:t>
            </w:r>
          </w:p>
        </w:tc>
      </w:tr>
      <w:tr>
        <w:tc>
          <w:tcPr>
            <w:tcW w:type="dxa" w:w="1600"/>
            <w:tcMar>
              <w:top w:type="dxa" w:w="60"/>
              <w:left w:type="dxa" w:w="100"/>
              <w:bottom w:type="dxa" w:w="60"/>
              <w:right w:type="dxa" w:w="100"/>
            </w:tcMar>
          </w:tcPr>
          <w:p>
            <w:pPr>
              <w:spacing w:after="0" w:line="240"/>
            </w:pPr>
            <w:r>
              <w:rPr>
                <w:b w:val="false"/>
                <w:bCs w:val="false"/>
                <w:sz w:val="18"/>
                <w:szCs w:val="18"/>
              </w:rPr>
              <w:t xml:space="preserve">custom</w:t>
            </w:r>
          </w:p>
        </w:tc>
        <w:tc>
          <w:tcPr>
            <w:tcW w:type="dxa" w:w="2200"/>
            <w:tcMar>
              <w:top w:type="dxa" w:w="60"/>
              <w:left w:type="dxa" w:w="100"/>
              <w:bottom w:type="dxa" w:w="60"/>
              <w:right w:type="dxa" w:w="100"/>
            </w:tcMar>
          </w:tcPr>
          <w:p>
            <w:pPr>
              <w:spacing w:after="0" w:line="240"/>
            </w:pPr>
            <w:r>
              <w:rPr>
                <w:b w:val="false"/>
                <w:bCs w:val="false"/>
                <w:sz w:val="18"/>
                <w:szCs w:val="18"/>
              </w:rPr>
              <w:t xml:space="preserve">--domain-half-width-au</w:t>
            </w:r>
          </w:p>
        </w:tc>
        <w:tc>
          <w:tcPr>
            <w:tcW w:type="dxa" w:w="1300"/>
            <w:tcMar>
              <w:top w:type="dxa" w:w="60"/>
              <w:left w:type="dxa" w:w="100"/>
              <w:bottom w:type="dxa" w:w="60"/>
              <w:right w:type="dxa" w:w="100"/>
            </w:tcMar>
          </w:tcPr>
          <w:p>
            <w:pPr>
              <w:spacing w:after="0" w:line="240"/>
            </w:pPr>
            <w:r>
              <w:rPr>
                <w:b w:val="false"/>
                <w:bCs w:val="false"/>
                <w:sz w:val="18"/>
                <w:szCs w:val="18"/>
              </w:rPr>
              <w:t xml:space="preserve">—</w:t>
            </w:r>
          </w:p>
        </w:tc>
        <w:tc>
          <w:tcPr>
            <w:tcW w:type="dxa" w:w="2400"/>
            <w:tcMar>
              <w:top w:type="dxa" w:w="60"/>
              <w:left w:type="dxa" w:w="100"/>
              <w:bottom w:type="dxa" w:w="60"/>
              <w:right w:type="dxa" w:w="100"/>
            </w:tcMar>
          </w:tcPr>
          <w:p>
            <w:pPr>
              <w:spacing w:after="0" w:line="240"/>
            </w:pPr>
            <w:r>
              <w:rPr>
                <w:b w:val="false"/>
                <w:bCs w:val="false"/>
                <w:sz w:val="18"/>
                <w:szCs w:val="18"/>
              </w:rPr>
              <w:t xml:space="preserve">derived</w:t>
            </w:r>
          </w:p>
        </w:tc>
        <w:tc>
          <w:tcPr>
            <w:tcW w:type="dxa" w:w="2580"/>
            <w:tcMar>
              <w:top w:type="dxa" w:w="60"/>
              <w:left w:type="dxa" w:w="100"/>
              <w:bottom w:type="dxa" w:w="60"/>
              <w:right w:type="dxa" w:w="100"/>
            </w:tcMar>
          </w:tcPr>
          <w:p>
            <w:pPr>
              <w:spacing w:after="0" w:line="240"/>
            </w:pPr>
            <w:r>
              <w:rPr>
                <w:b w:val="false"/>
                <w:bCs w:val="false"/>
                <w:sz w:val="18"/>
                <w:szCs w:val="18"/>
              </w:rPr>
              <w:t xml:space="preserve">Any other mission geometry</w:t>
            </w:r>
          </w:p>
        </w:tc>
      </w:tr>
    </w:tbl>
    <w:p>
      <w:pPr>
        <w:spacing w:after="140"/>
      </w:pPr>
    </w:p>
    <w:p>
      <w:pPr>
        <w:spacing w:after="120" w:line="264"/>
        <w:jc w:val="left"/>
      </w:pPr>
      <w:r>
        <w:rPr>
          <w:b w:val="false"/>
          <w:bCs w:val="false"/>
          <w:i w:val="false"/>
          <w:iCs w:val="false"/>
        </w:rPr>
        <w:t xml:space="preserve">The inner boundary is a sphere of radius r_in (default 1.05 R☉, matching SWCME’s declared analytical domain floor; configurable via </w:t>
      </w:r>
      <w:r>
        <w:rPr>
          <w:rFonts w:ascii="Consolas" w:cs="Consolas" w:eastAsia="Consolas" w:hAnsi="Consolas"/>
          <w:b w:val="false"/>
          <w:bCs w:val="false"/>
          <w:i w:val="false"/>
          <w:iCs w:val="false"/>
          <w:sz w:val="19"/>
          <w:szCs w:val="19"/>
        </w:rPr>
        <w:t xml:space="preserve">--inner-boundary-radius-rs</w:t>
      </w:r>
      <w:r>
        <w:rPr>
          <w:b w:val="false"/>
          <w:bCs w:val="false"/>
          <w:i w:val="false"/>
          <w:iCs w:val="false"/>
        </w:rPr>
        <w:t xml:space="preserve">). It is installed as an AMPS internal spherical boundary so that particle absorption, injection, and surface sampling all use existing machinery. Cells entirely inside r_in are excluded from the calculation.</w:t>
      </w:r>
    </w:p>
    <w:p>
      <w:pPr>
        <w:spacing w:after="120" w:line="264"/>
        <w:jc w:val="left"/>
      </w:pPr>
      <w:r>
        <w:rPr>
          <w:b w:val="false"/>
          <w:bCs w:val="false"/>
          <w:i w:val="false"/>
          <w:iCs w:val="false"/>
        </w:rPr>
        <w:t xml:space="preserve">The outer boundary is the cube face; particles leaving it are deleted and counted. A spherical outer boundary at r_out is also available (</w:t>
      </w:r>
      <w:r>
        <w:rPr>
          <w:rFonts w:ascii="Consolas" w:cs="Consolas" w:eastAsia="Consolas" w:hAnsi="Consolas"/>
          <w:b w:val="false"/>
          <w:bCs w:val="false"/>
          <w:i w:val="false"/>
          <w:iCs w:val="false"/>
          <w:sz w:val="19"/>
          <w:szCs w:val="19"/>
        </w:rPr>
        <w:t xml:space="preserve">--outer-boundary spherical</w:t>
      </w:r>
      <w:r>
        <w:rPr>
          <w:b w:val="false"/>
          <w:bCs w:val="false"/>
          <w:i w:val="false"/>
          <w:iCs w:val="false"/>
        </w:rPr>
        <w:t xml:space="preserve">) for runs where the corner regions of the cube are wasted work; in that mode cells with r &gt; r_out are marked unused, which typically removes about 48% of the background cells.</w:t>
      </w:r>
    </w:p>
    <w:p>
      <w:pPr>
        <w:pBdr>
          <w:left w:val="single" w:color="DD6B20" w:sz="14" w:space="8"/>
        </w:pBdr>
        <w:shd w:fill="FFF7ED" w:val="clear"/>
        <w:spacing w:after="140" w:before="100" w:line="264"/>
        <w:ind w:left="200" w:right="200"/>
      </w:pPr>
      <w:r>
        <w:rPr>
          <w:b/>
          <w:bCs/>
          <w:color w:val="9C4221"/>
        </w:rPr>
        <w:t xml:space="preserve">Cost note worth taking seriously  </w:t>
      </w:r>
      <w:r>
        <w:t xml:space="preserve">The cube corners contain no useful physics for a heliospheric SEP run. Switching --outer-boundary to spherical is the single cheapest optimisation available and should be the default for production campaigns; it is left off by default only so that the first mesh a new user builds is the simplest one to reason about.</w:t>
      </w:r>
    </w:p>
    <w:p>
      <w:pPr>
        <w:pStyle w:val="Heading2"/>
        <w:spacing w:after="120" w:before="280"/>
      </w:pPr>
      <w:r>
        <w:t xml:space="preserve">6.3 The resolution law</w:t>
      </w:r>
    </w:p>
    <w:p>
      <w:pPr>
        <w:spacing w:after="120" w:line="264"/>
        <w:jc w:val="left"/>
      </w:pPr>
      <w:r>
        <w:t xml:space="preserve">The requested resolution at a point x is the minimum of three independent laws, clamped to a floor:</w:t>
      </w:r>
    </w:p>
    <w:p>
      <w:pPr>
        <w:spacing w:after="140" w:before="80"/>
        <w:ind w:left="400"/>
      </w:pPr>
      <w:r>
        <w:rPr>
          <w:rFonts w:ascii="Cambria" w:cs="Cambria" w:eastAsia="Cambria" w:hAnsi="Cambria"/>
          <w:i/>
          <w:iCs/>
          <w:sz w:val="21"/>
          <w:szCs w:val="21"/>
        </w:rPr>
        <w:t xml:space="preserve">Δ_req(x) = max[ Δ_floor ,  min( Δ_bg ,  Δ_sun(r) ,  Δ_tube(x) ) ],   r = |x|</w:t>
      </w:r>
    </w:p>
    <w:p>
      <w:pPr>
        <w:spacing w:after="120" w:line="264"/>
        <w:jc w:val="left"/>
      </w:pPr>
      <w:r>
        <w:t xml:space="preserve">Each term is described below. The floor exists only as a guard against a misconfiguration driving the refinement level past the compiled maximum; hitting it is reported as a warning with the offending position.</w:t>
      </w:r>
    </w:p>
    <w:p>
      <w:pPr>
        <w:pStyle w:val="Heading3"/>
        <w:spacing w:after="100" w:before="220"/>
      </w:pPr>
      <w:r>
        <w:t xml:space="preserve">6.3.1 Uniform background — Δ_bg</w:t>
      </w:r>
    </w:p>
    <w:p>
      <w:pPr>
        <w:spacing w:after="120" w:line="264"/>
        <w:jc w:val="left"/>
      </w:pPr>
      <w:r>
        <w:rPr>
          <w:b w:val="false"/>
          <w:bCs w:val="false"/>
          <w:i w:val="false"/>
          <w:iCs w:val="false"/>
        </w:rPr>
        <w:t xml:space="preserve">A single constant, set by </w:t>
      </w:r>
      <w:r>
        <w:rPr>
          <w:rFonts w:ascii="Consolas" w:cs="Consolas" w:eastAsia="Consolas" w:hAnsi="Consolas"/>
          <w:b w:val="false"/>
          <w:bCs w:val="false"/>
          <w:i w:val="false"/>
          <w:iCs w:val="false"/>
          <w:sz w:val="19"/>
          <w:szCs w:val="19"/>
        </w:rPr>
        <w:t xml:space="preserve">--mesh-background-resolution</w:t>
      </w:r>
      <w:r>
        <w:rPr>
          <w:b w:val="false"/>
          <w:bCs w:val="false"/>
          <w:i w:val="false"/>
          <w:iCs w:val="false"/>
        </w:rPr>
        <w:t xml:space="preserve"> (accepted in m, AU, or R☉). This is the "uniform resolution" the requirement calls for, and it is what the mesh reduces to far from both the Sun and the selected tube. Its practical values are set by memory, so the choice should be made from the table below rather than in the abstract.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400"/>
        <w:gridCol w:w="2600"/>
        <w:gridCol w:w="1800"/>
        <w:gridCol w:w="2100"/>
        <w:gridCol w:w="2180"/>
      </w:tblGrid>
      <w:tr>
        <w:trPr>
          <w:tblHeader/>
        </w:trPr>
        <w:tc>
          <w:tcPr>
            <w:tcW w:type="dxa" w:w="1400"/>
            <w:shd w:fill="1F3864" w:val="clear"/>
            <w:tcMar>
              <w:top w:type="dxa" w:w="60"/>
              <w:left w:type="dxa" w:w="100"/>
              <w:bottom w:type="dxa" w:w="60"/>
              <w:right w:type="dxa" w:w="100"/>
            </w:tcMar>
          </w:tcPr>
          <w:p>
            <w:pPr>
              <w:spacing w:after="0" w:line="240"/>
            </w:pPr>
            <w:r>
              <w:rPr>
                <w:b/>
                <w:bCs/>
                <w:color w:val="FFFFFF"/>
                <w:sz w:val="18"/>
                <w:szCs w:val="18"/>
              </w:rPr>
              <w:t xml:space="preserve">Level L_bg</w:t>
            </w:r>
          </w:p>
        </w:tc>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Δ_bg (earth preset)</w:t>
            </w:r>
          </w:p>
        </w:tc>
        <w:tc>
          <w:tcPr>
            <w:tcW w:type="dxa" w:w="1800"/>
            <w:shd w:fill="1F3864" w:val="clear"/>
            <w:tcMar>
              <w:top w:type="dxa" w:w="60"/>
              <w:left w:type="dxa" w:w="100"/>
              <w:bottom w:type="dxa" w:w="60"/>
              <w:right w:type="dxa" w:w="100"/>
            </w:tcMar>
          </w:tcPr>
          <w:p>
            <w:pPr>
              <w:spacing w:after="0" w:line="240"/>
            </w:pPr>
            <w:r>
              <w:rPr>
                <w:b/>
                <w:bCs/>
                <w:color w:val="FFFFFF"/>
                <w:sz w:val="18"/>
                <w:szCs w:val="18"/>
              </w:rPr>
              <w:t xml:space="preserve">Cells across the cube</w:t>
            </w:r>
          </w:p>
        </w:tc>
        <w:tc>
          <w:tcPr>
            <w:tcW w:type="dxa" w:w="2100"/>
            <w:shd w:fill="1F3864" w:val="clear"/>
            <w:tcMar>
              <w:top w:type="dxa" w:w="60"/>
              <w:left w:type="dxa" w:w="100"/>
              <w:bottom w:type="dxa" w:w="60"/>
              <w:right w:type="dxa" w:w="100"/>
            </w:tcMar>
          </w:tcPr>
          <w:p>
            <w:pPr>
              <w:spacing w:after="0" w:line="240"/>
            </w:pPr>
            <w:r>
              <w:rPr>
                <w:b/>
                <w:bCs/>
                <w:color w:val="FFFFFF"/>
                <w:sz w:val="18"/>
                <w:szCs w:val="18"/>
              </w:rPr>
              <w:t xml:space="preserve">Background cells (cube)</w:t>
            </w:r>
          </w:p>
        </w:tc>
        <w:tc>
          <w:tcPr>
            <w:tcW w:type="dxa" w:w="2180"/>
            <w:shd w:fill="1F3864" w:val="clear"/>
            <w:tcMar>
              <w:top w:type="dxa" w:w="60"/>
              <w:left w:type="dxa" w:w="100"/>
              <w:bottom w:type="dxa" w:w="60"/>
              <w:right w:type="dxa" w:w="100"/>
            </w:tcMar>
          </w:tcPr>
          <w:p>
            <w:pPr>
              <w:spacing w:after="0" w:line="240"/>
            </w:pPr>
            <w:r>
              <w:rPr>
                <w:b/>
                <w:bCs/>
                <w:color w:val="FFFFFF"/>
                <w:sz w:val="18"/>
                <w:szCs w:val="18"/>
              </w:rPr>
              <w:t xml:space="preserve">Background cells (sphere r&lt;1.1 AU)</w:t>
            </w:r>
          </w:p>
        </w:tc>
      </w:tr>
      <w:tr>
        <w:tc>
          <w:tcPr>
            <w:tcW w:type="dxa" w:w="1400"/>
            <w:tcMar>
              <w:top w:type="dxa" w:w="60"/>
              <w:left w:type="dxa" w:w="100"/>
              <w:bottom w:type="dxa" w:w="60"/>
              <w:right w:type="dxa" w:w="100"/>
            </w:tcMar>
          </w:tcPr>
          <w:p>
            <w:pPr>
              <w:spacing w:after="0" w:line="240"/>
            </w:pPr>
            <w:r>
              <w:rPr>
                <w:b w:val="false"/>
                <w:bCs w:val="false"/>
                <w:sz w:val="18"/>
                <w:szCs w:val="18"/>
              </w:rPr>
              <w:t xml:space="preserve">4</w:t>
            </w:r>
          </w:p>
        </w:tc>
        <w:tc>
          <w:tcPr>
            <w:tcW w:type="dxa" w:w="2600"/>
            <w:tcMar>
              <w:top w:type="dxa" w:w="60"/>
              <w:left w:type="dxa" w:w="100"/>
              <w:bottom w:type="dxa" w:w="60"/>
              <w:right w:type="dxa" w:w="100"/>
            </w:tcMar>
          </w:tcPr>
          <w:p>
            <w:pPr>
              <w:spacing w:after="0" w:line="240"/>
            </w:pPr>
            <w:r>
              <w:rPr>
                <w:b w:val="false"/>
                <w:bCs w:val="false"/>
                <w:sz w:val="18"/>
                <w:szCs w:val="18"/>
              </w:rPr>
              <w:t xml:space="preserve">5.14×10⁹ m = 0.0344 AU</w:t>
            </w:r>
          </w:p>
        </w:tc>
        <w:tc>
          <w:tcPr>
            <w:tcW w:type="dxa" w:w="1800"/>
            <w:tcMar>
              <w:top w:type="dxa" w:w="60"/>
              <w:left w:type="dxa" w:w="100"/>
              <w:bottom w:type="dxa" w:w="60"/>
              <w:right w:type="dxa" w:w="100"/>
            </w:tcMar>
          </w:tcPr>
          <w:p>
            <w:pPr>
              <w:spacing w:after="0" w:line="240"/>
            </w:pPr>
            <w:r>
              <w:rPr>
                <w:b w:val="false"/>
                <w:bCs w:val="false"/>
                <w:sz w:val="18"/>
                <w:szCs w:val="18"/>
              </w:rPr>
              <w:t xml:space="preserve">64</w:t>
            </w:r>
          </w:p>
        </w:tc>
        <w:tc>
          <w:tcPr>
            <w:tcW w:type="dxa" w:w="2100"/>
            <w:tcMar>
              <w:top w:type="dxa" w:w="60"/>
              <w:left w:type="dxa" w:w="100"/>
              <w:bottom w:type="dxa" w:w="60"/>
              <w:right w:type="dxa" w:w="100"/>
            </w:tcMar>
          </w:tcPr>
          <w:p>
            <w:pPr>
              <w:spacing w:after="0" w:line="240"/>
            </w:pPr>
            <w:r>
              <w:rPr>
                <w:b w:val="false"/>
                <w:bCs w:val="false"/>
                <w:sz w:val="18"/>
                <w:szCs w:val="18"/>
              </w:rPr>
              <w:t xml:space="preserve">2.6×10⁵</w:t>
            </w:r>
          </w:p>
        </w:tc>
        <w:tc>
          <w:tcPr>
            <w:tcW w:type="dxa" w:w="2180"/>
            <w:tcMar>
              <w:top w:type="dxa" w:w="60"/>
              <w:left w:type="dxa" w:w="100"/>
              <w:bottom w:type="dxa" w:w="60"/>
              <w:right w:type="dxa" w:w="100"/>
            </w:tcMar>
          </w:tcPr>
          <w:p>
            <w:pPr>
              <w:spacing w:after="0" w:line="240"/>
            </w:pPr>
            <w:r>
              <w:rPr>
                <w:b w:val="false"/>
                <w:bCs w:val="false"/>
                <w:sz w:val="18"/>
                <w:szCs w:val="18"/>
              </w:rPr>
              <w:t xml:space="preserve">1.4×10⁵</w:t>
            </w:r>
          </w:p>
        </w:tc>
      </w:tr>
      <w:tr>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5 (default)</w:t>
            </w:r>
          </w:p>
        </w:tc>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2.57×10⁹ m = 0.0172 AU</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128</w:t>
            </w:r>
          </w:p>
        </w:tc>
        <w:tc>
          <w:tcPr>
            <w:tcW w:type="dxa" w:w="2100"/>
            <w:shd w:fill="EEF1F6" w:val="clear"/>
            <w:tcMar>
              <w:top w:type="dxa" w:w="60"/>
              <w:left w:type="dxa" w:w="100"/>
              <w:bottom w:type="dxa" w:w="60"/>
              <w:right w:type="dxa" w:w="100"/>
            </w:tcMar>
          </w:tcPr>
          <w:p>
            <w:pPr>
              <w:spacing w:after="0" w:line="240"/>
            </w:pPr>
            <w:r>
              <w:rPr>
                <w:b w:val="false"/>
                <w:bCs w:val="false"/>
                <w:sz w:val="18"/>
                <w:szCs w:val="18"/>
              </w:rPr>
              <w:t xml:space="preserve">2.10×10⁶</w:t>
            </w:r>
          </w:p>
        </w:tc>
        <w:tc>
          <w:tcPr>
            <w:tcW w:type="dxa" w:w="2180"/>
            <w:shd w:fill="EEF1F6" w:val="clear"/>
            <w:tcMar>
              <w:top w:type="dxa" w:w="60"/>
              <w:left w:type="dxa" w:w="100"/>
              <w:bottom w:type="dxa" w:w="60"/>
              <w:right w:type="dxa" w:w="100"/>
            </w:tcMar>
          </w:tcPr>
          <w:p>
            <w:pPr>
              <w:spacing w:after="0" w:line="240"/>
            </w:pPr>
            <w:r>
              <w:rPr>
                <w:b w:val="false"/>
                <w:bCs w:val="false"/>
                <w:sz w:val="18"/>
                <w:szCs w:val="18"/>
              </w:rPr>
              <w:t xml:space="preserve">1.1×10⁶</w:t>
            </w:r>
          </w:p>
        </w:tc>
      </w:tr>
      <w:tr>
        <w:tc>
          <w:tcPr>
            <w:tcW w:type="dxa" w:w="1400"/>
            <w:tcMar>
              <w:top w:type="dxa" w:w="60"/>
              <w:left w:type="dxa" w:w="100"/>
              <w:bottom w:type="dxa" w:w="60"/>
              <w:right w:type="dxa" w:w="100"/>
            </w:tcMar>
          </w:tcPr>
          <w:p>
            <w:pPr>
              <w:spacing w:after="0" w:line="240"/>
            </w:pPr>
            <w:r>
              <w:rPr>
                <w:b w:val="false"/>
                <w:bCs w:val="false"/>
                <w:sz w:val="18"/>
                <w:szCs w:val="18"/>
              </w:rPr>
              <w:t xml:space="preserve">6</w:t>
            </w:r>
          </w:p>
        </w:tc>
        <w:tc>
          <w:tcPr>
            <w:tcW w:type="dxa" w:w="2600"/>
            <w:tcMar>
              <w:top w:type="dxa" w:w="60"/>
              <w:left w:type="dxa" w:w="100"/>
              <w:bottom w:type="dxa" w:w="60"/>
              <w:right w:type="dxa" w:w="100"/>
            </w:tcMar>
          </w:tcPr>
          <w:p>
            <w:pPr>
              <w:spacing w:after="0" w:line="240"/>
            </w:pPr>
            <w:r>
              <w:rPr>
                <w:b w:val="false"/>
                <w:bCs w:val="false"/>
                <w:sz w:val="18"/>
                <w:szCs w:val="18"/>
              </w:rPr>
              <w:t xml:space="preserve">1.29×10⁹ m = 0.0086 AU</w:t>
            </w:r>
          </w:p>
        </w:tc>
        <w:tc>
          <w:tcPr>
            <w:tcW w:type="dxa" w:w="1800"/>
            <w:tcMar>
              <w:top w:type="dxa" w:w="60"/>
              <w:left w:type="dxa" w:w="100"/>
              <w:bottom w:type="dxa" w:w="60"/>
              <w:right w:type="dxa" w:w="100"/>
            </w:tcMar>
          </w:tcPr>
          <w:p>
            <w:pPr>
              <w:spacing w:after="0" w:line="240"/>
            </w:pPr>
            <w:r>
              <w:rPr>
                <w:b w:val="false"/>
                <w:bCs w:val="false"/>
                <w:sz w:val="18"/>
                <w:szCs w:val="18"/>
              </w:rPr>
              <w:t xml:space="preserve">256</w:t>
            </w:r>
          </w:p>
        </w:tc>
        <w:tc>
          <w:tcPr>
            <w:tcW w:type="dxa" w:w="2100"/>
            <w:tcMar>
              <w:top w:type="dxa" w:w="60"/>
              <w:left w:type="dxa" w:w="100"/>
              <w:bottom w:type="dxa" w:w="60"/>
              <w:right w:type="dxa" w:w="100"/>
            </w:tcMar>
          </w:tcPr>
          <w:p>
            <w:pPr>
              <w:spacing w:after="0" w:line="240"/>
            </w:pPr>
            <w:r>
              <w:rPr>
                <w:b w:val="false"/>
                <w:bCs w:val="false"/>
                <w:sz w:val="18"/>
                <w:szCs w:val="18"/>
              </w:rPr>
              <w:t xml:space="preserve">1.68×10⁷</w:t>
            </w:r>
          </w:p>
        </w:tc>
        <w:tc>
          <w:tcPr>
            <w:tcW w:type="dxa" w:w="2180"/>
            <w:tcMar>
              <w:top w:type="dxa" w:w="60"/>
              <w:left w:type="dxa" w:w="100"/>
              <w:bottom w:type="dxa" w:w="60"/>
              <w:right w:type="dxa" w:w="100"/>
            </w:tcMar>
          </w:tcPr>
          <w:p>
            <w:pPr>
              <w:spacing w:after="0" w:line="240"/>
            </w:pPr>
            <w:r>
              <w:rPr>
                <w:b w:val="false"/>
                <w:bCs w:val="false"/>
                <w:sz w:val="18"/>
                <w:szCs w:val="18"/>
              </w:rPr>
              <w:t xml:space="preserve">8.8×10⁶</w:t>
            </w:r>
          </w:p>
        </w:tc>
      </w:tr>
      <w:tr>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7</w:t>
            </w:r>
          </w:p>
        </w:tc>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6.43×10⁸ m = 0.0043 AU</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512</w:t>
            </w:r>
          </w:p>
        </w:tc>
        <w:tc>
          <w:tcPr>
            <w:tcW w:type="dxa" w:w="2100"/>
            <w:shd w:fill="EEF1F6" w:val="clear"/>
            <w:tcMar>
              <w:top w:type="dxa" w:w="60"/>
              <w:left w:type="dxa" w:w="100"/>
              <w:bottom w:type="dxa" w:w="60"/>
              <w:right w:type="dxa" w:w="100"/>
            </w:tcMar>
          </w:tcPr>
          <w:p>
            <w:pPr>
              <w:spacing w:after="0" w:line="240"/>
            </w:pPr>
            <w:r>
              <w:rPr>
                <w:b w:val="false"/>
                <w:bCs w:val="false"/>
                <w:sz w:val="18"/>
                <w:szCs w:val="18"/>
              </w:rPr>
              <w:t xml:space="preserve">1.34×10⁸</w:t>
            </w:r>
          </w:p>
        </w:tc>
        <w:tc>
          <w:tcPr>
            <w:tcW w:type="dxa" w:w="2180"/>
            <w:shd w:fill="EEF1F6" w:val="clear"/>
            <w:tcMar>
              <w:top w:type="dxa" w:w="60"/>
              <w:left w:type="dxa" w:w="100"/>
              <w:bottom w:type="dxa" w:w="60"/>
              <w:right w:type="dxa" w:w="100"/>
            </w:tcMar>
          </w:tcPr>
          <w:p>
            <w:pPr>
              <w:spacing w:after="0" w:line="240"/>
            </w:pPr>
            <w:r>
              <w:rPr>
                <w:b w:val="false"/>
                <w:bCs w:val="false"/>
                <w:sz w:val="18"/>
                <w:szCs w:val="18"/>
              </w:rPr>
              <w:t xml:space="preserve">7.0×10⁷</w:t>
            </w:r>
          </w:p>
        </w:tc>
      </w:tr>
    </w:tbl>
    <w:p>
      <w:pPr>
        <w:spacing w:after="140"/>
      </w:pPr>
    </w:p>
    <w:p>
      <w:pPr>
        <w:spacing w:after="120" w:line="264"/>
        <w:jc w:val="left"/>
      </w:pPr>
      <w:r>
        <w:rPr>
          <w:b w:val="false"/>
          <w:bCs w:val="false"/>
          <w:i w:val="false"/>
          <w:iCs w:val="false"/>
        </w:rPr>
        <w:t xml:space="preserve">At roughly 300 bytes per cell for the double-buffered background state (Section 6.7), level 5 costs about 0.6 GB in total and level 6 about 5 GB. AMPS distributes blocks across ranks, so the per-rank figure is the total divided by the rank count plus a ghost margin: level 6 on 64 ranks is under 100 MB per rank. Level 5 is the recommended default for development and level 6 for production.</w:t>
      </w:r>
    </w:p>
    <w:p>
      <w:pPr>
        <w:pStyle w:val="Heading3"/>
        <w:spacing w:after="100" w:before="220"/>
      </w:pPr>
      <w:r>
        <w:t xml:space="preserve">6.3.2 Near-Sun refinement — Δ_sun(r)</w:t>
      </w:r>
    </w:p>
    <w:p>
      <w:pPr>
        <w:spacing w:after="120" w:line="264"/>
        <w:jc w:val="left"/>
      </w:pPr>
      <w:r>
        <w:t xml:space="preserve">The requirement is higher resolution around the Sun with a controlled growth rate. The recommended law is a pure power law anchored at the solar surface:</w:t>
      </w:r>
    </w:p>
    <w:p>
      <w:pPr>
        <w:spacing w:after="140" w:before="80"/>
        <w:ind w:left="400"/>
      </w:pPr>
      <w:r>
        <w:rPr>
          <w:rFonts w:ascii="Cambria" w:cs="Cambria" w:eastAsia="Cambria" w:hAnsi="Cambria"/>
          <w:i/>
          <w:iCs/>
          <w:sz w:val="21"/>
          <w:szCs w:val="21"/>
        </w:rPr>
        <w:t xml:space="preserve">Δ_sun(r) = Δ₀ · ( r / R☉ )^α</w:t>
      </w:r>
    </w:p>
    <w:p>
      <w:pPr>
        <w:spacing w:after="120" w:line="264"/>
        <w:jc w:val="left"/>
      </w:pPr>
      <w:r>
        <w:t xml:space="preserve">This form is chosen over a piecewise-linear or exponential ramp for four reasons:</w:t>
      </w:r>
    </w:p>
    <w:p>
      <w:pPr>
        <w:pStyle w:val="ListParagraph"/>
        <w:numPr>
          <w:ilvl w:val="0"/>
          <w:numId w:val="3"/>
        </w:numPr>
        <w:spacing w:after="60" w:line="264"/>
      </w:pPr>
      <w:r>
        <w:rPr>
          <w:b w:val="false"/>
          <w:bCs w:val="false"/>
          <w:i w:val="false"/>
          <w:iCs w:val="false"/>
        </w:rPr>
        <w:t xml:space="preserve">It is scale-free, which matches the physics. The dominant gradient scale near the Sun is the field-gradient length L_B, and for a radial field L_B → r/2; requiring Δ ≤ ε_B L_B gives exactly Δ ∝ r, i.e. α = 1 with Δ₀ = (ε_B/2) R☉. The power law is therefore not an arbitrary fit — α = 1 is the physically correct exponent, and Δ₀ directly encodes the gradient-resolution factor ε_B.</w:t>
      </w:r>
    </w:p>
    <w:p>
      <w:pPr>
        <w:pStyle w:val="ListParagraph"/>
        <w:numPr>
          <w:ilvl w:val="0"/>
          <w:numId w:val="3"/>
        </w:numPr>
        <w:spacing w:after="60" w:line="264"/>
      </w:pPr>
      <w:r>
        <w:rPr>
          <w:b w:val="false"/>
          <w:bCs w:val="false"/>
          <w:i w:val="false"/>
          <w:iCs w:val="false"/>
        </w:rPr>
        <w:t xml:space="preserve">Every derived quantity has a closed form (below), so the mesh can be budgeted on paper.</w:t>
      </w:r>
    </w:p>
    <w:p>
      <w:pPr>
        <w:pStyle w:val="ListParagraph"/>
        <w:numPr>
          <w:ilvl w:val="0"/>
          <w:numId w:val="3"/>
        </w:numPr>
        <w:spacing w:after="60" w:line="264"/>
      </w:pPr>
      <w:r>
        <w:rPr>
          <w:b w:val="false"/>
          <w:bCs w:val="false"/>
          <w:i w:val="false"/>
          <w:iCs w:val="false"/>
        </w:rPr>
        <w:t xml:space="preserve">With α = 1 the mesh coarsens by exactly one refinement level per radial octave, which is the cleanest possible statement of "how fast the resolution increases", and it makes the AMR level field a simple function of log₂ r.</w:t>
      </w:r>
    </w:p>
    <w:p>
      <w:pPr>
        <w:pStyle w:val="ListParagraph"/>
        <w:numPr>
          <w:ilvl w:val="0"/>
          <w:numId w:val="3"/>
        </w:numPr>
        <w:spacing w:after="60" w:line="264"/>
      </w:pPr>
      <w:r>
        <w:rPr>
          <w:b w:val="false"/>
          <w:bCs w:val="false"/>
          <w:i w:val="false"/>
          <w:iCs w:val="false"/>
        </w:rPr>
        <w:t xml:space="preserve">It blends into the uniform background automatically through the min() in the master law, with no hand-tuned junction.</w:t>
      </w:r>
    </w:p>
    <w:p>
      <w:pPr>
        <w:pStyle w:val="Heading4"/>
        <w:spacing w:after="80" w:before="180"/>
      </w:pPr>
      <w:r>
        <w:t xml:space="preserve">Closed forms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600"/>
        <w:gridCol w:w="3400"/>
        <w:gridCol w:w="4080"/>
      </w:tblGrid>
      <w:tr>
        <w:trPr>
          <w:tblHeader/>
        </w:trPr>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Quantity</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Expression</w:t>
            </w:r>
          </w:p>
        </w:tc>
        <w:tc>
          <w:tcPr>
            <w:tcW w:type="dxa" w:w="4080"/>
            <w:shd w:fill="1F3864" w:val="clear"/>
            <w:tcMar>
              <w:top w:type="dxa" w:w="60"/>
              <w:left w:type="dxa" w:w="100"/>
              <w:bottom w:type="dxa" w:w="60"/>
              <w:right w:type="dxa" w:w="100"/>
            </w:tcMar>
          </w:tcPr>
          <w:p>
            <w:pPr>
              <w:spacing w:after="0" w:line="240"/>
            </w:pPr>
            <w:r>
              <w:rPr>
                <w:b/>
                <w:bCs/>
                <w:color w:val="FFFFFF"/>
                <w:sz w:val="18"/>
                <w:szCs w:val="18"/>
              </w:rPr>
              <w:t xml:space="preserve">Value at the defaults (Δ₀ = 0.1 R☉, α = 1, Δ_bg = level 5)</w:t>
            </w:r>
          </w:p>
        </w:tc>
      </w:tr>
      <w:tr>
        <w:tc>
          <w:tcPr>
            <w:tcW w:type="dxa" w:w="2600"/>
            <w:tcMar>
              <w:top w:type="dxa" w:w="60"/>
              <w:left w:type="dxa" w:w="100"/>
              <w:bottom w:type="dxa" w:w="60"/>
              <w:right w:type="dxa" w:w="100"/>
            </w:tcMar>
          </w:tcPr>
          <w:p>
            <w:pPr>
              <w:spacing w:after="0" w:line="240"/>
            </w:pPr>
            <w:r>
              <w:rPr>
                <w:b w:val="false"/>
                <w:bCs w:val="false"/>
                <w:sz w:val="18"/>
                <w:szCs w:val="18"/>
              </w:rPr>
              <w:t xml:space="preserve">Extra levels at the surface</w:t>
            </w:r>
          </w:p>
        </w:tc>
        <w:tc>
          <w:tcPr>
            <w:tcW w:type="dxa" w:w="3400"/>
            <w:tcMar>
              <w:top w:type="dxa" w:w="60"/>
              <w:left w:type="dxa" w:w="100"/>
              <w:bottom w:type="dxa" w:w="60"/>
              <w:right w:type="dxa" w:w="100"/>
            </w:tcMar>
          </w:tcPr>
          <w:p>
            <w:pPr>
              <w:spacing w:after="0" w:line="240"/>
            </w:pPr>
            <w:r>
              <w:rPr>
                <w:b w:val="false"/>
                <w:bCs w:val="false"/>
                <w:sz w:val="18"/>
                <w:szCs w:val="18"/>
              </w:rPr>
              <w:t xml:space="preserve">N_lev = log₂(Δ_bg / Δ₀)</w:t>
            </w:r>
          </w:p>
        </w:tc>
        <w:tc>
          <w:tcPr>
            <w:tcW w:type="dxa" w:w="4080"/>
            <w:tcMar>
              <w:top w:type="dxa" w:w="60"/>
              <w:left w:type="dxa" w:w="100"/>
              <w:bottom w:type="dxa" w:w="60"/>
              <w:right w:type="dxa" w:w="100"/>
            </w:tcMar>
          </w:tcPr>
          <w:p>
            <w:pPr>
              <w:spacing w:after="0" w:line="240"/>
            </w:pPr>
            <w:r>
              <w:rPr>
                <w:b w:val="false"/>
                <w:bCs w:val="false"/>
                <w:sz w:val="18"/>
                <w:szCs w:val="18"/>
              </w:rPr>
              <w:t xml:space="preserve">log₂(36.97) = 5.21 → the surface sits 5 levels below the background, at level 11 of 5</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Levels gained per radial octave</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α</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1.0 — one level per factor of two in r</w:t>
            </w:r>
          </w:p>
        </w:tc>
      </w:tr>
      <w:tr>
        <w:tc>
          <w:tcPr>
            <w:tcW w:type="dxa" w:w="2600"/>
            <w:tcMar>
              <w:top w:type="dxa" w:w="60"/>
              <w:left w:type="dxa" w:w="100"/>
              <w:bottom w:type="dxa" w:w="60"/>
              <w:right w:type="dxa" w:w="100"/>
            </w:tcMar>
          </w:tcPr>
          <w:p>
            <w:pPr>
              <w:spacing w:after="0" w:line="240"/>
            </w:pPr>
            <w:r>
              <w:rPr>
                <w:b w:val="false"/>
                <w:bCs w:val="false"/>
                <w:sz w:val="18"/>
                <w:szCs w:val="18"/>
              </w:rPr>
              <w:t xml:space="preserve">Transition radius (where Δ_sun = Δ_bg)</w:t>
            </w:r>
          </w:p>
        </w:tc>
        <w:tc>
          <w:tcPr>
            <w:tcW w:type="dxa" w:w="3400"/>
            <w:tcMar>
              <w:top w:type="dxa" w:w="60"/>
              <w:left w:type="dxa" w:w="100"/>
              <w:bottom w:type="dxa" w:w="60"/>
              <w:right w:type="dxa" w:w="100"/>
            </w:tcMar>
          </w:tcPr>
          <w:p>
            <w:pPr>
              <w:spacing w:after="0" w:line="240"/>
            </w:pPr>
            <w:r>
              <w:rPr>
                <w:b w:val="false"/>
                <w:bCs w:val="false"/>
                <w:sz w:val="18"/>
                <w:szCs w:val="18"/>
              </w:rPr>
              <w:t xml:space="preserve">r_t = R☉ (Δ_bg/Δ₀)^{1/α}</w:t>
            </w:r>
          </w:p>
        </w:tc>
        <w:tc>
          <w:tcPr>
            <w:tcW w:type="dxa" w:w="4080"/>
            <w:tcMar>
              <w:top w:type="dxa" w:w="60"/>
              <w:left w:type="dxa" w:w="100"/>
              <w:bottom w:type="dxa" w:w="60"/>
              <w:right w:type="dxa" w:w="100"/>
            </w:tcMar>
          </w:tcPr>
          <w:p>
            <w:pPr>
              <w:spacing w:after="0" w:line="240"/>
            </w:pPr>
            <w:r>
              <w:rPr>
                <w:b w:val="false"/>
                <w:bCs w:val="false"/>
                <w:sz w:val="18"/>
                <w:szCs w:val="18"/>
              </w:rPr>
              <w:t xml:space="preserve">36.97 R☉ = 2.57×10¹⁰ m = 0.172 AU</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Cell count between r₁ and r₂ (α = 1)</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N = 4π (R☉/Δ₀)³ ln(r₂/r₁)</w:t>
            </w:r>
          </w:p>
        </w:tc>
        <w:tc>
          <w:tcPr>
            <w:tcW w:type="dxa" w:w="4080"/>
            <w:shd w:fill="EEF1F6" w:val="clear"/>
            <w:tcMar>
              <w:top w:type="dxa" w:w="60"/>
              <w:left w:type="dxa" w:w="100"/>
              <w:bottom w:type="dxa" w:w="60"/>
              <w:right w:type="dxa" w:w="100"/>
            </w:tcMar>
          </w:tcPr>
          <w:p>
            <w:pPr>
              <w:spacing w:after="0" w:line="240"/>
            </w:pPr>
            <w:r>
              <w:rPr>
                <w:b w:val="false"/>
                <w:bCs w:val="false"/>
                <w:sz w:val="18"/>
                <w:szCs w:val="18"/>
              </w:rPr>
              <w:t xml:space="preserve">R☉ → r_t: 4π(10)³ × 3.61 = 4.5×10⁴ cells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Cell count, general α ≠ 1</w:t>
            </w:r>
          </w:p>
        </w:tc>
        <w:tc>
          <w:tcPr>
            <w:tcW w:type="dxa" w:w="3400"/>
            <w:tcMar>
              <w:top w:type="dxa" w:w="60"/>
              <w:left w:type="dxa" w:w="100"/>
              <w:bottom w:type="dxa" w:w="60"/>
              <w:right w:type="dxa" w:w="100"/>
            </w:tcMar>
          </w:tcPr>
          <w:p>
            <w:pPr>
              <w:spacing w:after="0" w:line="240"/>
            </w:pPr>
            <w:r>
              <w:rPr>
                <w:b w:val="false"/>
                <w:bCs w:val="false"/>
                <w:sz w:val="18"/>
                <w:szCs w:val="18"/>
              </w:rPr>
              <w:t xml:space="preserve">N = (4π/3)(R☉/Δ₀)³ [ρ₂^{3(1−α)} − ρ₁^{3(1−α)}]/(1−α),  ρ = r/R☉</w:t>
            </w:r>
          </w:p>
        </w:tc>
        <w:tc>
          <w:tcPr>
            <w:tcW w:type="dxa" w:w="4080"/>
            <w:tcMar>
              <w:top w:type="dxa" w:w="60"/>
              <w:left w:type="dxa" w:w="100"/>
              <w:bottom w:type="dxa" w:w="60"/>
              <w:right w:type="dxa" w:w="100"/>
            </w:tcMar>
          </w:tcPr>
          <w:p>
            <w:pPr>
              <w:spacing w:after="0" w:line="240"/>
            </w:pPr>
            <w:r>
              <w:rPr>
                <w:b w:val="false"/>
                <w:bCs w:val="false"/>
                <w:sz w:val="18"/>
                <w:szCs w:val="18"/>
              </w:rPr>
              <w:t xml:space="preserve">—</w:t>
            </w:r>
          </w:p>
        </w:tc>
      </w:tr>
    </w:tbl>
    <w:p>
      <w:pPr>
        <w:spacing w:after="140"/>
      </w:pPr>
    </w:p>
    <w:p>
      <w:pPr>
        <w:spacing w:after="120" w:line="264"/>
        <w:jc w:val="left"/>
      </w:pPr>
      <w:r>
        <w:rPr>
          <w:b w:val="false"/>
          <w:bCs w:val="false"/>
          <w:i w:val="false"/>
          <w:iCs w:val="false"/>
        </w:rPr>
        <w:t xml:space="preserve">The cell-count formula is the decisive one: it scales as (R☉/Δ₀)³, so the choice of Δ₀ is a cubic cost decision. The table below shows the trade-off explicitly and identifies the practical limit.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100"/>
        <w:gridCol w:w="900"/>
        <w:gridCol w:w="1200"/>
        <w:gridCol w:w="1700"/>
        <w:gridCol w:w="1600"/>
        <w:gridCol w:w="2580"/>
      </w:tblGrid>
      <w:tr>
        <w:trPr>
          <w:tblHeader/>
        </w:trPr>
        <w:tc>
          <w:tcPr>
            <w:tcW w:type="dxa" w:w="2100"/>
            <w:shd w:fill="1F3864" w:val="clear"/>
            <w:tcMar>
              <w:top w:type="dxa" w:w="60"/>
              <w:left w:type="dxa" w:w="100"/>
              <w:bottom w:type="dxa" w:w="60"/>
              <w:right w:type="dxa" w:w="100"/>
            </w:tcMar>
          </w:tcPr>
          <w:p>
            <w:pPr>
              <w:spacing w:after="0" w:line="240"/>
            </w:pPr>
            <w:r>
              <w:rPr>
                <w:b/>
                <w:bCs/>
                <w:color w:val="FFFFFF"/>
                <w:sz w:val="18"/>
                <w:szCs w:val="18"/>
              </w:rPr>
              <w:t xml:space="preserve">Δ₀</w:t>
            </w:r>
          </w:p>
        </w:tc>
        <w:tc>
          <w:tcPr>
            <w:tcW w:type="dxa" w:w="900"/>
            <w:shd w:fill="1F3864" w:val="clear"/>
            <w:tcMar>
              <w:top w:type="dxa" w:w="60"/>
              <w:left w:type="dxa" w:w="100"/>
              <w:bottom w:type="dxa" w:w="60"/>
              <w:right w:type="dxa" w:w="100"/>
            </w:tcMar>
          </w:tcPr>
          <w:p>
            <w:pPr>
              <w:spacing w:after="0" w:line="240"/>
            </w:pPr>
            <w:r>
              <w:rPr>
                <w:b/>
                <w:bCs/>
                <w:color w:val="FFFFFF"/>
                <w:sz w:val="18"/>
                <w:szCs w:val="18"/>
              </w:rPr>
              <w:t xml:space="preserve">Δ₀ / R☉</w:t>
            </w:r>
          </w:p>
        </w:tc>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Surface level</w:t>
            </w:r>
          </w:p>
        </w:tc>
        <w:tc>
          <w:tcPr>
            <w:tcW w:type="dxa" w:w="1700"/>
            <w:shd w:fill="1F3864" w:val="clear"/>
            <w:tcMar>
              <w:top w:type="dxa" w:w="60"/>
              <w:left w:type="dxa" w:w="100"/>
              <w:bottom w:type="dxa" w:w="60"/>
              <w:right w:type="dxa" w:w="100"/>
            </w:tcMar>
          </w:tcPr>
          <w:p>
            <w:pPr>
              <w:spacing w:after="0" w:line="240"/>
            </w:pPr>
            <w:r>
              <w:rPr>
                <w:b/>
                <w:bCs/>
                <w:color w:val="FFFFFF"/>
                <w:sz w:val="18"/>
                <w:szCs w:val="18"/>
              </w:rPr>
              <w:t xml:space="preserve">Cells per radial octave</w:t>
            </w:r>
          </w:p>
        </w:tc>
        <w:tc>
          <w:tcPr>
            <w:tcW w:type="dxa" w:w="1600"/>
            <w:shd w:fill="1F3864" w:val="clear"/>
            <w:tcMar>
              <w:top w:type="dxa" w:w="60"/>
              <w:left w:type="dxa" w:w="100"/>
              <w:bottom w:type="dxa" w:w="60"/>
              <w:right w:type="dxa" w:w="100"/>
            </w:tcMar>
          </w:tcPr>
          <w:p>
            <w:pPr>
              <w:spacing w:after="0" w:line="240"/>
            </w:pPr>
            <w:r>
              <w:rPr>
                <w:b/>
                <w:bCs/>
                <w:color w:val="FFFFFF"/>
                <w:sz w:val="18"/>
                <w:szCs w:val="18"/>
              </w:rPr>
              <w:t xml:space="preserve">Cells from R☉ to r_t</w:t>
            </w:r>
          </w:p>
        </w:tc>
        <w:tc>
          <w:tcPr>
            <w:tcW w:type="dxa" w:w="2580"/>
            <w:shd w:fill="1F3864" w:val="clear"/>
            <w:tcMar>
              <w:top w:type="dxa" w:w="60"/>
              <w:left w:type="dxa" w:w="100"/>
              <w:bottom w:type="dxa" w:w="60"/>
              <w:right w:type="dxa" w:w="100"/>
            </w:tcMar>
          </w:tcPr>
          <w:p>
            <w:pPr>
              <w:spacing w:after="0" w:line="240"/>
            </w:pPr>
            <w:r>
              <w:rPr>
                <w:b/>
                <w:bCs/>
                <w:color w:val="FFFFFF"/>
                <w:sz w:val="18"/>
                <w:szCs w:val="18"/>
              </w:rPr>
              <w:t xml:space="preserve">Verdict</w:t>
            </w:r>
          </w:p>
        </w:tc>
      </w:tr>
      <w:tr>
        <w:tc>
          <w:tcPr>
            <w:tcW w:type="dxa" w:w="2100"/>
            <w:tcMar>
              <w:top w:type="dxa" w:w="60"/>
              <w:left w:type="dxa" w:w="100"/>
              <w:bottom w:type="dxa" w:w="60"/>
              <w:right w:type="dxa" w:w="100"/>
            </w:tcMar>
          </w:tcPr>
          <w:p>
            <w:pPr>
              <w:spacing w:after="0" w:line="240"/>
            </w:pPr>
            <w:r>
              <w:rPr>
                <w:b w:val="false"/>
                <w:bCs w:val="false"/>
                <w:sz w:val="18"/>
                <w:szCs w:val="18"/>
              </w:rPr>
              <w:t xml:space="preserve">0.25 R☉ = 1.74×10⁸ m</w:t>
            </w:r>
          </w:p>
        </w:tc>
        <w:tc>
          <w:tcPr>
            <w:tcW w:type="dxa" w:w="900"/>
            <w:tcMar>
              <w:top w:type="dxa" w:w="60"/>
              <w:left w:type="dxa" w:w="100"/>
              <w:bottom w:type="dxa" w:w="60"/>
              <w:right w:type="dxa" w:w="100"/>
            </w:tcMar>
          </w:tcPr>
          <w:p>
            <w:pPr>
              <w:spacing w:after="0" w:line="240"/>
            </w:pPr>
            <w:r>
              <w:rPr>
                <w:b w:val="false"/>
                <w:bCs w:val="false"/>
                <w:sz w:val="18"/>
                <w:szCs w:val="18"/>
              </w:rPr>
              <w:t xml:space="preserve">0.25</w:t>
            </w:r>
          </w:p>
        </w:tc>
        <w:tc>
          <w:tcPr>
            <w:tcW w:type="dxa" w:w="1200"/>
            <w:tcMar>
              <w:top w:type="dxa" w:w="60"/>
              <w:left w:type="dxa" w:w="100"/>
              <w:bottom w:type="dxa" w:w="60"/>
              <w:right w:type="dxa" w:w="100"/>
            </w:tcMar>
          </w:tcPr>
          <w:p>
            <w:pPr>
              <w:spacing w:after="0" w:line="240"/>
            </w:pPr>
            <w:r>
              <w:rPr>
                <w:b w:val="false"/>
                <w:bCs w:val="false"/>
                <w:sz w:val="18"/>
                <w:szCs w:val="18"/>
              </w:rPr>
              <w:t xml:space="preserve">9</w:t>
            </w:r>
          </w:p>
        </w:tc>
        <w:tc>
          <w:tcPr>
            <w:tcW w:type="dxa" w:w="1700"/>
            <w:tcMar>
              <w:top w:type="dxa" w:w="60"/>
              <w:left w:type="dxa" w:w="100"/>
              <w:bottom w:type="dxa" w:w="60"/>
              <w:right w:type="dxa" w:w="100"/>
            </w:tcMar>
          </w:tcPr>
          <w:p>
            <w:pPr>
              <w:spacing w:after="0" w:line="240"/>
            </w:pPr>
            <w:r>
              <w:rPr>
                <w:b w:val="false"/>
                <w:bCs w:val="false"/>
                <w:sz w:val="18"/>
                <w:szCs w:val="18"/>
              </w:rPr>
              <w:t xml:space="preserve">558</w:t>
            </w:r>
          </w:p>
        </w:tc>
        <w:tc>
          <w:tcPr>
            <w:tcW w:type="dxa" w:w="1600"/>
            <w:tcMar>
              <w:top w:type="dxa" w:w="60"/>
              <w:left w:type="dxa" w:w="100"/>
              <w:bottom w:type="dxa" w:w="60"/>
              <w:right w:type="dxa" w:w="100"/>
            </w:tcMar>
          </w:tcPr>
          <w:p>
            <w:pPr>
              <w:spacing w:after="0" w:line="240"/>
            </w:pPr>
            <w:r>
              <w:rPr>
                <w:b w:val="false"/>
                <w:bCs w:val="false"/>
                <w:sz w:val="18"/>
                <w:szCs w:val="18"/>
              </w:rPr>
              <w:t xml:space="preserve">2.4×10³</w:t>
            </w:r>
          </w:p>
        </w:tc>
        <w:tc>
          <w:tcPr>
            <w:tcW w:type="dxa" w:w="2580"/>
            <w:tcMar>
              <w:top w:type="dxa" w:w="60"/>
              <w:left w:type="dxa" w:w="100"/>
              <w:bottom w:type="dxa" w:w="60"/>
              <w:right w:type="dxa" w:w="100"/>
            </w:tcMar>
          </w:tcPr>
          <w:p>
            <w:pPr>
              <w:spacing w:after="0" w:line="240"/>
            </w:pPr>
            <w:r>
              <w:rPr>
                <w:b w:val="false"/>
                <w:bCs w:val="false"/>
                <w:sz w:val="18"/>
                <w:szCs w:val="18"/>
              </w:rPr>
              <w:t xml:space="preserve">Very cheap; adequate only if the inner boundary is placed well above the surface</w:t>
            </w:r>
          </w:p>
        </w:tc>
      </w:tr>
      <w:tr>
        <w:tc>
          <w:tcPr>
            <w:tcW w:type="dxa" w:w="2100"/>
            <w:shd w:fill="EEF1F6" w:val="clear"/>
            <w:tcMar>
              <w:top w:type="dxa" w:w="60"/>
              <w:left w:type="dxa" w:w="100"/>
              <w:bottom w:type="dxa" w:w="60"/>
              <w:right w:type="dxa" w:w="100"/>
            </w:tcMar>
          </w:tcPr>
          <w:p>
            <w:pPr>
              <w:spacing w:after="0" w:line="240"/>
            </w:pPr>
            <w:r>
              <w:rPr>
                <w:b w:val="false"/>
                <w:bCs w:val="false"/>
                <w:sz w:val="18"/>
                <w:szCs w:val="18"/>
              </w:rPr>
              <w:t xml:space="preserve">0.10 R☉ = 6.96×10⁷ m (default)</w:t>
            </w:r>
          </w:p>
        </w:tc>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0.10</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11</w:t>
            </w:r>
          </w:p>
        </w:tc>
        <w:tc>
          <w:tcPr>
            <w:tcW w:type="dxa" w:w="1700"/>
            <w:shd w:fill="EEF1F6" w:val="clear"/>
            <w:tcMar>
              <w:top w:type="dxa" w:w="60"/>
              <w:left w:type="dxa" w:w="100"/>
              <w:bottom w:type="dxa" w:w="60"/>
              <w:right w:type="dxa" w:w="100"/>
            </w:tcMar>
          </w:tcPr>
          <w:p>
            <w:pPr>
              <w:spacing w:after="0" w:line="240"/>
            </w:pPr>
            <w:r>
              <w:rPr>
                <w:b w:val="false"/>
                <w:bCs w:val="false"/>
                <w:sz w:val="18"/>
                <w:szCs w:val="18"/>
              </w:rPr>
              <w:t xml:space="preserve">8.7×10³</w:t>
            </w:r>
          </w:p>
        </w:tc>
        <w:tc>
          <w:tcPr>
            <w:tcW w:type="dxa" w:w="1600"/>
            <w:shd w:fill="EEF1F6" w:val="clear"/>
            <w:tcMar>
              <w:top w:type="dxa" w:w="60"/>
              <w:left w:type="dxa" w:w="100"/>
              <w:bottom w:type="dxa" w:w="60"/>
              <w:right w:type="dxa" w:w="100"/>
            </w:tcMar>
          </w:tcPr>
          <w:p>
            <w:pPr>
              <w:spacing w:after="0" w:line="240"/>
            </w:pPr>
            <w:r>
              <w:rPr>
                <w:b w:val="false"/>
                <w:bCs w:val="false"/>
                <w:sz w:val="18"/>
                <w:szCs w:val="18"/>
              </w:rPr>
              <w:t xml:space="preserve">4.5×10⁴</w:t>
            </w:r>
          </w:p>
        </w:tc>
        <w:tc>
          <w:tcPr>
            <w:tcW w:type="dxa" w:w="2580"/>
            <w:shd w:fill="EEF1F6" w:val="clear"/>
            <w:tcMar>
              <w:top w:type="dxa" w:w="60"/>
              <w:left w:type="dxa" w:w="100"/>
              <w:bottom w:type="dxa" w:w="60"/>
              <w:right w:type="dxa" w:w="100"/>
            </w:tcMar>
          </w:tcPr>
          <w:p>
            <w:pPr>
              <w:spacing w:after="0" w:line="240"/>
            </w:pPr>
            <w:r>
              <w:rPr>
                <w:b w:val="false"/>
                <w:bCs w:val="false"/>
                <w:sz w:val="18"/>
                <w:szCs w:val="18"/>
              </w:rPr>
              <w:t xml:space="preserve">RECOMMENDED. ε_B = 0.2 gradient resolution; negligible cost</w:t>
            </w:r>
          </w:p>
        </w:tc>
      </w:tr>
      <w:tr>
        <w:tc>
          <w:tcPr>
            <w:tcW w:type="dxa" w:w="2100"/>
            <w:tcMar>
              <w:top w:type="dxa" w:w="60"/>
              <w:left w:type="dxa" w:w="100"/>
              <w:bottom w:type="dxa" w:w="60"/>
              <w:right w:type="dxa" w:w="100"/>
            </w:tcMar>
          </w:tcPr>
          <w:p>
            <w:pPr>
              <w:spacing w:after="0" w:line="240"/>
            </w:pPr>
            <w:r>
              <w:rPr>
                <w:b w:val="false"/>
                <w:bCs w:val="false"/>
                <w:sz w:val="18"/>
                <w:szCs w:val="18"/>
              </w:rPr>
              <w:t xml:space="preserve">0.05 R☉ = 3.48×10⁷ m</w:t>
            </w:r>
          </w:p>
        </w:tc>
        <w:tc>
          <w:tcPr>
            <w:tcW w:type="dxa" w:w="900"/>
            <w:tcMar>
              <w:top w:type="dxa" w:w="60"/>
              <w:left w:type="dxa" w:w="100"/>
              <w:bottom w:type="dxa" w:w="60"/>
              <w:right w:type="dxa" w:w="100"/>
            </w:tcMar>
          </w:tcPr>
          <w:p>
            <w:pPr>
              <w:spacing w:after="0" w:line="240"/>
            </w:pPr>
            <w:r>
              <w:rPr>
                <w:b w:val="false"/>
                <w:bCs w:val="false"/>
                <w:sz w:val="18"/>
                <w:szCs w:val="18"/>
              </w:rPr>
              <w:t xml:space="preserve">0.05</w:t>
            </w:r>
          </w:p>
        </w:tc>
        <w:tc>
          <w:tcPr>
            <w:tcW w:type="dxa" w:w="1200"/>
            <w:tcMar>
              <w:top w:type="dxa" w:w="60"/>
              <w:left w:type="dxa" w:w="100"/>
              <w:bottom w:type="dxa" w:w="60"/>
              <w:right w:type="dxa" w:w="100"/>
            </w:tcMar>
          </w:tcPr>
          <w:p>
            <w:pPr>
              <w:spacing w:after="0" w:line="240"/>
            </w:pPr>
            <w:r>
              <w:rPr>
                <w:b w:val="false"/>
                <w:bCs w:val="false"/>
                <w:sz w:val="18"/>
                <w:szCs w:val="18"/>
              </w:rPr>
              <w:t xml:space="preserve">12</w:t>
            </w:r>
          </w:p>
        </w:tc>
        <w:tc>
          <w:tcPr>
            <w:tcW w:type="dxa" w:w="1700"/>
            <w:tcMar>
              <w:top w:type="dxa" w:w="60"/>
              <w:left w:type="dxa" w:w="100"/>
              <w:bottom w:type="dxa" w:w="60"/>
              <w:right w:type="dxa" w:w="100"/>
            </w:tcMar>
          </w:tcPr>
          <w:p>
            <w:pPr>
              <w:spacing w:after="0" w:line="240"/>
            </w:pPr>
            <w:r>
              <w:rPr>
                <w:b w:val="false"/>
                <w:bCs w:val="false"/>
                <w:sz w:val="18"/>
                <w:szCs w:val="18"/>
              </w:rPr>
              <w:t xml:space="preserve">7.0×10⁴</w:t>
            </w:r>
          </w:p>
        </w:tc>
        <w:tc>
          <w:tcPr>
            <w:tcW w:type="dxa" w:w="1600"/>
            <w:tcMar>
              <w:top w:type="dxa" w:w="60"/>
              <w:left w:type="dxa" w:w="100"/>
              <w:bottom w:type="dxa" w:w="60"/>
              <w:right w:type="dxa" w:w="100"/>
            </w:tcMar>
          </w:tcPr>
          <w:p>
            <w:pPr>
              <w:spacing w:after="0" w:line="240"/>
            </w:pPr>
            <w:r>
              <w:rPr>
                <w:b w:val="false"/>
                <w:bCs w:val="false"/>
                <w:sz w:val="18"/>
                <w:szCs w:val="18"/>
              </w:rPr>
              <w:t xml:space="preserve">4.3×10⁵</w:t>
            </w:r>
          </w:p>
        </w:tc>
        <w:tc>
          <w:tcPr>
            <w:tcW w:type="dxa" w:w="2580"/>
            <w:tcMar>
              <w:top w:type="dxa" w:w="60"/>
              <w:left w:type="dxa" w:w="100"/>
              <w:bottom w:type="dxa" w:w="60"/>
              <w:right w:type="dxa" w:w="100"/>
            </w:tcMar>
          </w:tcPr>
          <w:p>
            <w:pPr>
              <w:spacing w:after="0" w:line="240"/>
            </w:pPr>
            <w:r>
              <w:rPr>
                <w:b w:val="false"/>
                <w:bCs w:val="false"/>
                <w:sz w:val="18"/>
                <w:szCs w:val="18"/>
              </w:rPr>
              <w:t xml:space="preserve">Comfortable; use when the inner boundary is at 1.05 R☉ and injection physics matters</w:t>
            </w:r>
          </w:p>
        </w:tc>
      </w:tr>
      <w:tr>
        <w:tc>
          <w:tcPr>
            <w:tcW w:type="dxa" w:w="2100"/>
            <w:shd w:fill="EEF1F6" w:val="clear"/>
            <w:tcMar>
              <w:top w:type="dxa" w:w="60"/>
              <w:left w:type="dxa" w:w="100"/>
              <w:bottom w:type="dxa" w:w="60"/>
              <w:right w:type="dxa" w:w="100"/>
            </w:tcMar>
          </w:tcPr>
          <w:p>
            <w:pPr>
              <w:spacing w:after="0" w:line="240"/>
            </w:pPr>
            <w:r>
              <w:rPr>
                <w:b w:val="false"/>
                <w:bCs w:val="false"/>
                <w:sz w:val="18"/>
                <w:szCs w:val="18"/>
              </w:rPr>
              <w:t xml:space="preserve">0.02 R☉ = 1.39×10⁷ m</w:t>
            </w:r>
          </w:p>
        </w:tc>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0.02</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13</w:t>
            </w:r>
          </w:p>
        </w:tc>
        <w:tc>
          <w:tcPr>
            <w:tcW w:type="dxa" w:w="1700"/>
            <w:shd w:fill="EEF1F6" w:val="clear"/>
            <w:tcMar>
              <w:top w:type="dxa" w:w="60"/>
              <w:left w:type="dxa" w:w="100"/>
              <w:bottom w:type="dxa" w:w="60"/>
              <w:right w:type="dxa" w:w="100"/>
            </w:tcMar>
          </w:tcPr>
          <w:p>
            <w:pPr>
              <w:spacing w:after="0" w:line="240"/>
            </w:pPr>
            <w:r>
              <w:rPr>
                <w:b w:val="false"/>
                <w:bCs w:val="false"/>
                <w:sz w:val="18"/>
                <w:szCs w:val="18"/>
              </w:rPr>
              <w:t xml:space="preserve">1.1×10⁶</w:t>
            </w:r>
          </w:p>
        </w:tc>
        <w:tc>
          <w:tcPr>
            <w:tcW w:type="dxa" w:w="1600"/>
            <w:shd w:fill="EEF1F6" w:val="clear"/>
            <w:tcMar>
              <w:top w:type="dxa" w:w="60"/>
              <w:left w:type="dxa" w:w="100"/>
              <w:bottom w:type="dxa" w:w="60"/>
              <w:right w:type="dxa" w:w="100"/>
            </w:tcMar>
          </w:tcPr>
          <w:p>
            <w:pPr>
              <w:spacing w:after="0" w:line="240"/>
            </w:pPr>
            <w:r>
              <w:rPr>
                <w:b w:val="false"/>
                <w:bCs w:val="false"/>
                <w:sz w:val="18"/>
                <w:szCs w:val="18"/>
              </w:rPr>
              <w:t xml:space="preserve">8.1×10⁶</w:t>
            </w:r>
          </w:p>
        </w:tc>
        <w:tc>
          <w:tcPr>
            <w:tcW w:type="dxa" w:w="2580"/>
            <w:shd w:fill="EEF1F6" w:val="clear"/>
            <w:tcMar>
              <w:top w:type="dxa" w:w="60"/>
              <w:left w:type="dxa" w:w="100"/>
              <w:bottom w:type="dxa" w:w="60"/>
              <w:right w:type="dxa" w:w="100"/>
            </w:tcMar>
          </w:tcPr>
          <w:p>
            <w:pPr>
              <w:spacing w:after="0" w:line="240"/>
            </w:pPr>
            <w:r>
              <w:rPr>
                <w:b w:val="false"/>
                <w:bCs w:val="false"/>
                <w:sz w:val="18"/>
                <w:szCs w:val="18"/>
              </w:rPr>
              <w:t xml:space="preserve">Expensive but feasible on a large allocation</w:t>
            </w:r>
          </w:p>
        </w:tc>
      </w:tr>
      <w:tr>
        <w:tc>
          <w:tcPr>
            <w:tcW w:type="dxa" w:w="2100"/>
            <w:tcMar>
              <w:top w:type="dxa" w:w="60"/>
              <w:left w:type="dxa" w:w="100"/>
              <w:bottom w:type="dxa" w:w="60"/>
              <w:right w:type="dxa" w:w="100"/>
            </w:tcMar>
          </w:tcPr>
          <w:p>
            <w:pPr>
              <w:spacing w:after="0" w:line="240"/>
            </w:pPr>
            <w:r>
              <w:rPr>
                <w:b w:val="false"/>
                <w:bCs w:val="false"/>
                <w:sz w:val="18"/>
                <w:szCs w:val="18"/>
              </w:rPr>
              <w:t xml:space="preserve">0.01 R☉ = 6.96×10⁶ m</w:t>
            </w:r>
          </w:p>
        </w:tc>
        <w:tc>
          <w:tcPr>
            <w:tcW w:type="dxa" w:w="900"/>
            <w:tcMar>
              <w:top w:type="dxa" w:w="60"/>
              <w:left w:type="dxa" w:w="100"/>
              <w:bottom w:type="dxa" w:w="60"/>
              <w:right w:type="dxa" w:w="100"/>
            </w:tcMar>
          </w:tcPr>
          <w:p>
            <w:pPr>
              <w:spacing w:after="0" w:line="240"/>
            </w:pPr>
            <w:r>
              <w:rPr>
                <w:b w:val="false"/>
                <w:bCs w:val="false"/>
                <w:sz w:val="18"/>
                <w:szCs w:val="18"/>
              </w:rPr>
              <w:t xml:space="preserve">0.01</w:t>
            </w:r>
          </w:p>
        </w:tc>
        <w:tc>
          <w:tcPr>
            <w:tcW w:type="dxa" w:w="1200"/>
            <w:tcMar>
              <w:top w:type="dxa" w:w="60"/>
              <w:left w:type="dxa" w:w="100"/>
              <w:bottom w:type="dxa" w:w="60"/>
              <w:right w:type="dxa" w:w="100"/>
            </w:tcMar>
          </w:tcPr>
          <w:p>
            <w:pPr>
              <w:spacing w:after="0" w:line="240"/>
            </w:pPr>
            <w:r>
              <w:rPr>
                <w:b w:val="false"/>
                <w:bCs w:val="false"/>
                <w:sz w:val="18"/>
                <w:szCs w:val="18"/>
              </w:rPr>
              <w:t xml:space="preserve">14</w:t>
            </w:r>
          </w:p>
        </w:tc>
        <w:tc>
          <w:tcPr>
            <w:tcW w:type="dxa" w:w="1700"/>
            <w:tcMar>
              <w:top w:type="dxa" w:w="60"/>
              <w:left w:type="dxa" w:w="100"/>
              <w:bottom w:type="dxa" w:w="60"/>
              <w:right w:type="dxa" w:w="100"/>
            </w:tcMar>
          </w:tcPr>
          <w:p>
            <w:pPr>
              <w:spacing w:after="0" w:line="240"/>
            </w:pPr>
            <w:r>
              <w:rPr>
                <w:b w:val="false"/>
                <w:bCs w:val="false"/>
                <w:sz w:val="18"/>
                <w:szCs w:val="18"/>
              </w:rPr>
              <w:t xml:space="preserve">8.7×10⁶</w:t>
            </w:r>
          </w:p>
        </w:tc>
        <w:tc>
          <w:tcPr>
            <w:tcW w:type="dxa" w:w="1600"/>
            <w:tcMar>
              <w:top w:type="dxa" w:w="60"/>
              <w:left w:type="dxa" w:w="100"/>
              <w:bottom w:type="dxa" w:w="60"/>
              <w:right w:type="dxa" w:w="100"/>
            </w:tcMar>
          </w:tcPr>
          <w:p>
            <w:pPr>
              <w:spacing w:after="0" w:line="240"/>
            </w:pPr>
            <w:r>
              <w:rPr>
                <w:b w:val="false"/>
                <w:bCs w:val="false"/>
                <w:sz w:val="18"/>
                <w:szCs w:val="18"/>
              </w:rPr>
              <w:t xml:space="preserve">7.4×10⁷</w:t>
            </w:r>
          </w:p>
        </w:tc>
        <w:tc>
          <w:tcPr>
            <w:tcW w:type="dxa" w:w="2580"/>
            <w:tcMar>
              <w:top w:type="dxa" w:w="60"/>
              <w:left w:type="dxa" w:w="100"/>
              <w:bottom w:type="dxa" w:w="60"/>
              <w:right w:type="dxa" w:w="100"/>
            </w:tcMar>
          </w:tcPr>
          <w:p>
            <w:pPr>
              <w:spacing w:after="0" w:line="240"/>
            </w:pPr>
            <w:r>
              <w:rPr>
                <w:b w:val="false"/>
                <w:bCs w:val="false"/>
                <w:sz w:val="18"/>
                <w:szCs w:val="18"/>
              </w:rPr>
              <w:t xml:space="preserve">Practical limit; exceeds the background cost by an order of magnitude</w:t>
            </w:r>
          </w:p>
        </w:tc>
      </w:tr>
    </w:tbl>
    <w:p>
      <w:pPr>
        <w:spacing w:after="140"/>
      </w:pPr>
    </w:p>
    <w:p>
      <w:pPr>
        <w:spacing w:after="120" w:line="264"/>
        <w:jc w:val="left"/>
      </w:pPr>
      <w:r>
        <w:rPr>
          <w:b w:val="false"/>
          <w:bCs w:val="false"/>
          <w:i w:val="false"/>
          <w:iCs w:val="false"/>
        </w:rPr>
        <w:t xml:space="preserve">The exponent α is exposed as </w:t>
      </w:r>
      <w:r>
        <w:rPr>
          <w:rFonts w:ascii="Consolas" w:cs="Consolas" w:eastAsia="Consolas" w:hAnsi="Consolas"/>
          <w:b w:val="false"/>
          <w:bCs w:val="false"/>
          <w:i w:val="false"/>
          <w:iCs w:val="false"/>
          <w:sz w:val="19"/>
          <w:szCs w:val="19"/>
        </w:rPr>
        <w:t xml:space="preserve">--mesh-radial-exponent</w:t>
      </w:r>
      <w:r>
        <w:rPr>
          <w:b w:val="false"/>
          <w:bCs w:val="false"/>
          <w:i w:val="false"/>
          <w:iCs w:val="false"/>
        </w:rPr>
        <w:t xml:space="preserve"> with default 1.0. Values below 1 hold resolution longer and cost more (the α → 0 limit is a uniform fine mesh everywhere inside r_t); values above 1 coarsen faster and are appropriate if the inner region is only being used as a source boundary. A warning is emitted for α outside [0.5, 2.0].</w:t>
      </w:r>
    </w:p>
    <w:p>
      <w:pPr>
        <w:pStyle w:val="Heading4"/>
        <w:spacing w:after="80" w:before="180"/>
      </w:pPr>
      <w:r>
        <w:t xml:space="preserve">An alternative if a hard scale is preferred</w:t>
      </w:r>
    </w:p>
    <w:p>
      <w:pPr>
        <w:spacing w:after="120" w:line="264"/>
        <w:jc w:val="left"/>
      </w:pPr>
      <w:r>
        <w:rPr>
          <w:b w:val="false"/>
          <w:bCs w:val="false"/>
          <w:i w:val="false"/>
          <w:iCs w:val="false"/>
        </w:rPr>
        <w:t xml:space="preserve">If a specific coronal scale height must be resolved rather than a self-similar law, the provider also accepts </w:t>
      </w:r>
      <w:r>
        <w:rPr>
          <w:rFonts w:ascii="Consolas" w:cs="Consolas" w:eastAsia="Consolas" w:hAnsi="Consolas"/>
          <w:b w:val="false"/>
          <w:bCs w:val="false"/>
          <w:i w:val="false"/>
          <w:iCs w:val="false"/>
          <w:sz w:val="19"/>
          <w:szCs w:val="19"/>
        </w:rPr>
        <w:t xml:space="preserve">--mesh-radial-law exponential</w:t>
      </w:r>
      <w:r>
        <w:rPr>
          <w:b w:val="false"/>
          <w:bCs w:val="false"/>
          <w:i w:val="false"/>
          <w:iCs w:val="false"/>
        </w:rPr>
        <w:t xml:space="preserve">, which uses</w:t>
      </w:r>
    </w:p>
    <w:p>
      <w:pPr>
        <w:spacing w:after="140" w:before="80"/>
        <w:ind w:left="400"/>
      </w:pPr>
      <w:r>
        <w:rPr>
          <w:rFonts w:ascii="Cambria" w:cs="Cambria" w:eastAsia="Cambria" w:hAnsi="Cambria"/>
          <w:i/>
          <w:iCs/>
          <w:sz w:val="21"/>
          <w:szCs w:val="21"/>
        </w:rPr>
        <w:t xml:space="preserve">Δ_sun(r) = Δ_bg − (Δ_bg − Δ₀) exp[ −(r − R☉)/H ]</w:t>
      </w:r>
    </w:p>
    <w:p>
      <w:pPr>
        <w:spacing w:after="120" w:line="264"/>
        <w:jc w:val="left"/>
      </w:pPr>
      <w:r>
        <w:rPr>
          <w:b w:val="false"/>
          <w:bCs w:val="false"/>
          <w:i w:val="false"/>
          <w:iCs w:val="false"/>
        </w:rPr>
        <w:t xml:space="preserve">with H set by </w:t>
      </w:r>
      <w:r>
        <w:rPr>
          <w:rFonts w:ascii="Consolas" w:cs="Consolas" w:eastAsia="Consolas" w:hAnsi="Consolas"/>
          <w:b w:val="false"/>
          <w:bCs w:val="false"/>
          <w:i w:val="false"/>
          <w:iCs w:val="false"/>
          <w:sz w:val="19"/>
          <w:szCs w:val="19"/>
        </w:rPr>
        <w:t xml:space="preserve">--mesh-radial-scale-height</w:t>
      </w:r>
      <w:r>
        <w:rPr>
          <w:b w:val="false"/>
          <w:bCs w:val="false"/>
          <w:i w:val="false"/>
          <w:iCs w:val="false"/>
        </w:rPr>
        <w:t xml:space="preserve">. This form reaches Δ_bg asymptotically rather than at a finite radius, has no closed-form cell count, and is not recommended as a default. It is offered because some coronal applications are specified that way and it costs nothing to support.</w:t>
      </w:r>
    </w:p>
    <w:p>
      <w:pPr>
        <w:pStyle w:val="Heading3"/>
        <w:spacing w:after="100" w:before="220"/>
      </w:pPr>
      <w:r>
        <w:t xml:space="preserve">6.3.3 Flux-tube refinement — Δ_tube(x)</w:t>
      </w:r>
    </w:p>
    <w:p>
      <w:pPr>
        <w:spacing w:after="120" w:line="264"/>
        <w:jc w:val="left"/>
      </w:pPr>
      <w:r>
        <w:t xml:space="preserve">The requirement is a band of higher resolution centred on a selected Parker spiral. Three things must be defined: the centreline, the distance measure, and the profile that relaxes back to the ambient mesh.</w:t>
      </w:r>
    </w:p>
    <w:p>
      <w:pPr>
        <w:pStyle w:val="Heading4"/>
        <w:spacing w:after="80" w:before="180"/>
      </w:pPr>
      <w:r>
        <w:t xml:space="preserve">The centreline</w:t>
      </w:r>
    </w:p>
    <w:p>
      <w:pPr>
        <w:spacing w:after="120" w:line="264"/>
        <w:jc w:val="left"/>
      </w:pPr>
      <w:r>
        <w:rPr>
          <w:b w:val="false"/>
          <w:bCs w:val="false"/>
          <w:i w:val="false"/>
          <w:iCs w:val="false"/>
        </w:rPr>
        <w:t xml:space="preserve">The tube is specified either by a seed point at the source surface (</w:t>
      </w:r>
      <w:r>
        <w:rPr>
          <w:rFonts w:ascii="Consolas" w:cs="Consolas" w:eastAsia="Consolas" w:hAnsi="Consolas"/>
          <w:b w:val="false"/>
          <w:bCs w:val="false"/>
          <w:i w:val="false"/>
          <w:iCs w:val="false"/>
          <w:sz w:val="19"/>
          <w:szCs w:val="19"/>
        </w:rPr>
        <w:t xml:space="preserve">--flux-tube-seed r_Rs,lat_deg,lon_deg</w:t>
      </w:r>
      <w:r>
        <w:rPr>
          <w:b w:val="false"/>
          <w:bCs w:val="false"/>
          <w:i w:val="false"/>
          <w:iCs w:val="false"/>
        </w:rPr>
        <w:t xml:space="preserve">) or, more usefully, by a target observer position (</w:t>
      </w:r>
      <w:r>
        <w:rPr>
          <w:rFonts w:ascii="Consolas" w:cs="Consolas" w:eastAsia="Consolas" w:hAnsi="Consolas"/>
          <w:b w:val="false"/>
          <w:bCs w:val="false"/>
          <w:i w:val="false"/>
          <w:iCs w:val="false"/>
          <w:sz w:val="19"/>
          <w:szCs w:val="19"/>
        </w:rPr>
        <w:t xml:space="preserve">--flux-tube-target-au x,y,z</w:t>
      </w:r>
      <w:r>
        <w:rPr>
          <w:b w:val="false"/>
          <w:bCs w:val="false"/>
          <w:i w:val="false"/>
          <w:iCs w:val="false"/>
        </w:rPr>
        <w:t xml:space="preserve"> or </w:t>
      </w:r>
      <w:r>
        <w:rPr>
          <w:rFonts w:ascii="Consolas" w:cs="Consolas" w:eastAsia="Consolas" w:hAnsi="Consolas"/>
          <w:b w:val="false"/>
          <w:bCs w:val="false"/>
          <w:i w:val="false"/>
          <w:iCs w:val="false"/>
          <w:sz w:val="19"/>
          <w:szCs w:val="19"/>
        </w:rPr>
        <w:t xml:space="preserve">--flux-tube-target earth</w:t>
      </w:r>
      <w:r>
        <w:rPr>
          <w:b w:val="false"/>
          <w:bCs w:val="false"/>
          <w:i w:val="false"/>
          <w:iCs w:val="false"/>
        </w:rPr>
        <w:t xml:space="preserve">), in which case the seed is obtained by tracing the analytic Parker line inward from the target. The centreline is then, in the frame whose polar axis is the solar rotation axis,</w:t>
      </w:r>
    </w:p>
    <w:p>
      <w:pPr>
        <w:spacing w:after="40" w:before="80"/>
        <w:ind w:left="400"/>
      </w:pPr>
      <w:r>
        <w:rPr>
          <w:rFonts w:ascii="Cambria" w:cs="Cambria" w:eastAsia="Cambria" w:hAnsi="Cambria"/>
          <w:i/>
          <w:iCs/>
          <w:sz w:val="21"/>
          <w:szCs w:val="21"/>
        </w:rPr>
        <w:t xml:space="preserve">φ_c(r) = φ_seed − (Ω/V_sw) [ (r − r_seed) − r_b ln(r / r_seed) ]</w:t>
      </w:r>
    </w:p>
    <w:p>
      <w:pPr>
        <w:spacing w:after="40" w:before="0"/>
        <w:ind w:left="400"/>
      </w:pPr>
      <w:r>
        <w:rPr>
          <w:rFonts w:ascii="Cambria" w:cs="Cambria" w:eastAsia="Cambria" w:hAnsi="Cambria"/>
          <w:i/>
          <w:iCs/>
          <w:sz w:val="21"/>
          <w:szCs w:val="21"/>
        </w:rPr>
        <w:t xml:space="preserve">θ_c    = θ_seed   (constant: Parker lines lie on cones of constant colatitude)</w:t>
      </w:r>
    </w:p>
    <w:p>
      <w:pPr>
        <w:spacing w:after="140" w:before="0"/>
        <w:ind w:left="400"/>
      </w:pPr>
      <w:r>
        <w:rPr>
          <w:rFonts w:ascii="Cambria" w:cs="Cambria" w:eastAsia="Cambria" w:hAnsi="Cambria"/>
          <w:i/>
          <w:iCs/>
          <w:sz w:val="21"/>
          <w:szCs w:val="21"/>
        </w:rPr>
        <w:t xml:space="preserve">x_c(r) = r ( sinθ_c cos φ_c(r),  sinθ_c sin φ_c(r),  cos θ_c )</w:t>
      </w:r>
    </w:p>
    <w:p>
      <w:pPr>
        <w:spacing w:after="120" w:line="264"/>
        <w:jc w:val="left"/>
      </w:pPr>
      <w:r>
        <w:t xml:space="preserve">This is the same field-line map the analytic Parker provider uses and the same one SWCME uses for connectivity, so the refined tube is guaranteed to coincide with the field line the particles actually follow. Multiple tubes are supported; the law takes the minimum over all of them.</w:t>
      </w:r>
    </w:p>
    <w:p>
      <w:pPr>
        <w:pStyle w:val="Heading4"/>
        <w:spacing w:after="80" w:before="180"/>
      </w:pPr>
      <w:r>
        <w:t xml:space="preserve">The distance measure</w:t>
      </w:r>
    </w:p>
    <w:p>
      <w:pPr>
        <w:spacing w:after="120" w:line="264"/>
        <w:jc w:val="left"/>
      </w:pPr>
      <w:r>
        <w:rPr>
          <w:b w:val="false"/>
          <w:bCs w:val="false"/>
          <w:i w:val="false"/>
          <w:iCs w:val="false"/>
        </w:rPr>
        <w:t xml:space="preserve">The transverse offset of a point x from the tube is evaluated at constant heliocentric radius:</w:t>
      </w:r>
    </w:p>
    <w:p>
      <w:pPr>
        <w:spacing w:after="140" w:before="80"/>
        <w:ind w:left="400"/>
      </w:pPr>
      <w:r>
        <w:rPr>
          <w:rFonts w:ascii="Cambria" w:cs="Cambria" w:eastAsia="Cambria" w:hAnsi="Cambria"/>
          <w:i/>
          <w:iCs/>
          <w:sz w:val="21"/>
          <w:szCs w:val="21"/>
        </w:rPr>
        <w:t xml:space="preserve">d(x) = | x − x_c(|x|) |</w:t>
      </w:r>
    </w:p>
    <w:p>
      <w:pPr>
        <w:spacing w:after="120" w:line="264"/>
        <w:jc w:val="left"/>
      </w:pPr>
      <w:r>
        <w:rPr>
          <w:b w:val="false"/>
          <w:bCs w:val="false"/>
          <w:i w:val="false"/>
          <w:iCs w:val="false"/>
        </w:rPr>
        <w:t xml:space="preserve">This is deliberately not the true perpendicular distance to the curve. It is an upper bound on it, differing at second order in d/r and in the winding angle, and it costs one square root, one logarithm, and one sine/cosine pair — roughly 50 ns. Because it over-estimates, it produces a slightly wider refined region, which is the safe direction to err. An exact variant that minimises |x − x_c(r′)| over r′ is available behind </w:t>
      </w:r>
      <w:r>
        <w:rPr>
          <w:rFonts w:ascii="Consolas" w:cs="Consolas" w:eastAsia="Consolas" w:hAnsi="Consolas"/>
          <w:b w:val="false"/>
          <w:bCs w:val="false"/>
          <w:i w:val="false"/>
          <w:iCs w:val="false"/>
          <w:sz w:val="19"/>
          <w:szCs w:val="19"/>
        </w:rPr>
        <w:t xml:space="preserve">--flux-tube-distance exact</w:t>
      </w:r>
      <w:r>
        <w:rPr>
          <w:b w:val="false"/>
          <w:bCs w:val="false"/>
          <w:i w:val="false"/>
          <w:iCs w:val="false"/>
        </w:rPr>
        <w:t xml:space="preserve"> for validation; it is about 20× more expensive and changes the resulting mesh by less than one cell in practice.</w:t>
      </w:r>
    </w:p>
    <w:p>
      <w:pPr>
        <w:pBdr>
          <w:left w:val="single" w:color="DD6B20" w:sz="14" w:space="8"/>
        </w:pBdr>
        <w:shd w:fill="FFF7ED" w:val="clear"/>
        <w:spacing w:after="140" w:before="100" w:line="264"/>
        <w:ind w:left="200" w:right="200"/>
      </w:pPr>
      <w:r>
        <w:rPr>
          <w:b/>
          <w:bCs/>
          <w:color w:val="9C4221"/>
        </w:rPr>
        <w:t xml:space="preserve">Why this matters for cost  </w:t>
      </w:r>
      <w:r>
        <w:t xml:space="preserve">localResolution is evaluated at the block mid-point plus every corner node including ghosts — 343 probes per block for a 4³ block with one ghost layer, at every level of the build. A 10-microsecond distance function would make mesh generation take hours. Keeping the evaluation closed-form and allocation-free is a hard requirement on this function, and it is the reason the constant-radius approximation is the default.</w:t>
      </w:r>
    </w:p>
    <w:p>
      <w:pPr>
        <w:pStyle w:val="Heading4"/>
        <w:spacing w:after="80" w:before="180"/>
      </w:pPr>
      <w:r>
        <w:t xml:space="preserve">The tube half-width</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200"/>
        <w:gridCol w:w="2400"/>
        <w:gridCol w:w="3100"/>
        <w:gridCol w:w="2380"/>
      </w:tblGrid>
      <w:tr>
        <w:trPr>
          <w:tblHeader/>
        </w:trPr>
        <w:tc>
          <w:tcPr>
            <w:tcW w:type="dxa" w:w="2200"/>
            <w:shd w:fill="1F3864" w:val="clear"/>
            <w:tcMar>
              <w:top w:type="dxa" w:w="60"/>
              <w:left w:type="dxa" w:w="100"/>
              <w:bottom w:type="dxa" w:w="60"/>
              <w:right w:type="dxa" w:w="100"/>
            </w:tcMar>
          </w:tcPr>
          <w:p>
            <w:pPr>
              <w:spacing w:after="0" w:line="240"/>
            </w:pPr>
            <w:r>
              <w:rPr>
                <w:b/>
                <w:bCs/>
                <w:color w:val="FFFFFF"/>
                <w:sz w:val="18"/>
                <w:szCs w:val="18"/>
              </w:rPr>
              <w:t xml:space="preserve">--flux-tube-width-law</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w(r)</w:t>
            </w:r>
          </w:p>
        </w:tc>
        <w:tc>
          <w:tcPr>
            <w:tcW w:type="dxa" w:w="3100"/>
            <w:shd w:fill="1F3864" w:val="clear"/>
            <w:tcMar>
              <w:top w:type="dxa" w:w="60"/>
              <w:left w:type="dxa" w:w="100"/>
              <w:bottom w:type="dxa" w:w="60"/>
              <w:right w:type="dxa" w:w="100"/>
            </w:tcMar>
          </w:tcPr>
          <w:p>
            <w:pPr>
              <w:spacing w:after="0" w:line="240"/>
            </w:pPr>
            <w:r>
              <w:rPr>
                <w:b/>
                <w:bCs/>
                <w:color w:val="FFFFFF"/>
                <w:sz w:val="18"/>
                <w:szCs w:val="18"/>
              </w:rPr>
              <w:t xml:space="preserve">Behaviour</w:t>
            </w:r>
          </w:p>
        </w:tc>
        <w:tc>
          <w:tcPr>
            <w:tcW w:type="dxa" w:w="2380"/>
            <w:shd w:fill="1F3864" w:val="clear"/>
            <w:tcMar>
              <w:top w:type="dxa" w:w="60"/>
              <w:left w:type="dxa" w:w="100"/>
              <w:bottom w:type="dxa" w:w="60"/>
              <w:right w:type="dxa" w:w="100"/>
            </w:tcMar>
          </w:tcPr>
          <w:p>
            <w:pPr>
              <w:spacing w:after="0" w:line="240"/>
            </w:pPr>
            <w:r>
              <w:rPr>
                <w:b/>
                <w:bCs/>
                <w:color w:val="FFFFFF"/>
                <w:sz w:val="18"/>
                <w:szCs w:val="18"/>
              </w:rPr>
              <w:t xml:space="preserve">When to use</w:t>
            </w:r>
          </w:p>
        </w:tc>
      </w:tr>
      <w:tr>
        <w:tc>
          <w:tcPr>
            <w:tcW w:type="dxa" w:w="2200"/>
            <w:tcMar>
              <w:top w:type="dxa" w:w="60"/>
              <w:left w:type="dxa" w:w="100"/>
              <w:bottom w:type="dxa" w:w="60"/>
              <w:right w:type="dxa" w:w="100"/>
            </w:tcMar>
          </w:tcPr>
          <w:p>
            <w:pPr>
              <w:spacing w:after="0" w:line="240"/>
            </w:pPr>
            <w:r>
              <w:rPr>
                <w:b w:val="false"/>
                <w:bCs w:val="false"/>
                <w:sz w:val="18"/>
                <w:szCs w:val="18"/>
              </w:rPr>
              <w:t xml:space="preserve">conical (default)</w:t>
            </w:r>
          </w:p>
        </w:tc>
        <w:tc>
          <w:tcPr>
            <w:tcW w:type="dxa" w:w="2400"/>
            <w:tcMar>
              <w:top w:type="dxa" w:w="60"/>
              <w:left w:type="dxa" w:w="100"/>
              <w:bottom w:type="dxa" w:w="60"/>
              <w:right w:type="dxa" w:w="100"/>
            </w:tcMar>
          </w:tcPr>
          <w:p>
            <w:pPr>
              <w:spacing w:after="0" w:line="240"/>
            </w:pPr>
            <w:r>
              <w:rPr>
                <w:b w:val="false"/>
                <w:bCs w:val="false"/>
                <w:sz w:val="18"/>
                <w:szCs w:val="18"/>
              </w:rPr>
              <w:t xml:space="preserve">w(r) = r · tan ψ</w:t>
            </w:r>
          </w:p>
        </w:tc>
        <w:tc>
          <w:tcPr>
            <w:tcW w:type="dxa" w:w="3100"/>
            <w:tcMar>
              <w:top w:type="dxa" w:w="60"/>
              <w:left w:type="dxa" w:w="100"/>
              <w:bottom w:type="dxa" w:w="60"/>
              <w:right w:type="dxa" w:w="100"/>
            </w:tcMar>
          </w:tcPr>
          <w:p>
            <w:pPr>
              <w:spacing w:after="0" w:line="240"/>
            </w:pPr>
            <w:r>
              <w:rPr>
                <w:b w:val="false"/>
                <w:bCs w:val="false"/>
                <w:sz w:val="18"/>
                <w:szCs w:val="18"/>
              </w:rPr>
              <w:t xml:space="preserve">Constant angular half-width ψ; matches the α = 1 radial law so the tube occupies a fixed number of cells across at every radius</w:t>
            </w:r>
          </w:p>
        </w:tc>
        <w:tc>
          <w:tcPr>
            <w:tcW w:type="dxa" w:w="2380"/>
            <w:tcMar>
              <w:top w:type="dxa" w:w="60"/>
              <w:left w:type="dxa" w:w="100"/>
              <w:bottom w:type="dxa" w:w="60"/>
              <w:right w:type="dxa" w:w="100"/>
            </w:tcMar>
          </w:tcPr>
          <w:p>
            <w:pPr>
              <w:spacing w:after="0" w:line="240"/>
            </w:pPr>
            <w:r>
              <w:rPr>
                <w:b w:val="false"/>
                <w:bCs w:val="false"/>
                <w:sz w:val="18"/>
                <w:szCs w:val="18"/>
              </w:rPr>
              <w:t xml:space="preserve">Default. ψ = 3° gives w(1 AU) = 7.84×10⁹ m = 0.052 AU</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flux-conserving</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w(r) = w_ref √( |B(r_ref)| / |B(r)| )</w:t>
            </w:r>
          </w:p>
        </w:tc>
        <w:tc>
          <w:tcPr>
            <w:tcW w:type="dxa" w:w="3100"/>
            <w:shd w:fill="EEF1F6" w:val="clear"/>
            <w:tcMar>
              <w:top w:type="dxa" w:w="60"/>
              <w:left w:type="dxa" w:w="100"/>
              <w:bottom w:type="dxa" w:w="60"/>
              <w:right w:type="dxa" w:w="100"/>
            </w:tcMar>
          </w:tcPr>
          <w:p>
            <w:pPr>
              <w:spacing w:after="0" w:line="240"/>
            </w:pPr>
            <w:r>
              <w:rPr>
                <w:b w:val="false"/>
                <w:bCs w:val="false"/>
                <w:sz w:val="18"/>
                <w:szCs w:val="18"/>
              </w:rPr>
              <w:t xml:space="preserve">Follows A|B| = const; identical to conical near the Sun, grows as √r far out where the field becomes azimuthal</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When the tube must represent a physical flux tube of fixed magnetic flux</w:t>
            </w:r>
          </w:p>
        </w:tc>
      </w:tr>
      <w:tr>
        <w:tc>
          <w:tcPr>
            <w:tcW w:type="dxa" w:w="2200"/>
            <w:tcMar>
              <w:top w:type="dxa" w:w="60"/>
              <w:left w:type="dxa" w:w="100"/>
              <w:bottom w:type="dxa" w:w="60"/>
              <w:right w:type="dxa" w:w="100"/>
            </w:tcMar>
          </w:tcPr>
          <w:p>
            <w:pPr>
              <w:spacing w:after="0" w:line="240"/>
            </w:pPr>
            <w:r>
              <w:rPr>
                <w:b w:val="false"/>
                <w:bCs w:val="false"/>
                <w:sz w:val="18"/>
                <w:szCs w:val="18"/>
              </w:rPr>
              <w:t xml:space="preserve">constant</w:t>
            </w:r>
          </w:p>
        </w:tc>
        <w:tc>
          <w:tcPr>
            <w:tcW w:type="dxa" w:w="2400"/>
            <w:tcMar>
              <w:top w:type="dxa" w:w="60"/>
              <w:left w:type="dxa" w:w="100"/>
              <w:bottom w:type="dxa" w:w="60"/>
              <w:right w:type="dxa" w:w="100"/>
            </w:tcMar>
          </w:tcPr>
          <w:p>
            <w:pPr>
              <w:spacing w:after="0" w:line="240"/>
            </w:pPr>
            <w:r>
              <w:rPr>
                <w:b w:val="false"/>
                <w:bCs w:val="false"/>
                <w:sz w:val="18"/>
                <w:szCs w:val="18"/>
              </w:rPr>
              <w:t xml:space="preserve">w(r) = w₀</w:t>
            </w:r>
          </w:p>
        </w:tc>
        <w:tc>
          <w:tcPr>
            <w:tcW w:type="dxa" w:w="3100"/>
            <w:tcMar>
              <w:top w:type="dxa" w:w="60"/>
              <w:left w:type="dxa" w:w="100"/>
              <w:bottom w:type="dxa" w:w="60"/>
              <w:right w:type="dxa" w:w="100"/>
            </w:tcMar>
          </w:tcPr>
          <w:p>
            <w:pPr>
              <w:spacing w:after="0" w:line="240"/>
            </w:pPr>
            <w:r>
              <w:rPr>
                <w:b w:val="false"/>
                <w:bCs w:val="false"/>
                <w:sz w:val="18"/>
                <w:szCs w:val="18"/>
              </w:rPr>
              <w:t xml:space="preserve">Fixed metres</w:t>
            </w:r>
          </w:p>
        </w:tc>
        <w:tc>
          <w:tcPr>
            <w:tcW w:type="dxa" w:w="2380"/>
            <w:tcMar>
              <w:top w:type="dxa" w:w="60"/>
              <w:left w:type="dxa" w:w="100"/>
              <w:bottom w:type="dxa" w:w="60"/>
              <w:right w:type="dxa" w:w="100"/>
            </w:tcMar>
          </w:tcPr>
          <w:p>
            <w:pPr>
              <w:spacing w:after="0" w:line="240"/>
            </w:pPr>
            <w:r>
              <w:rPr>
                <w:b w:val="false"/>
                <w:bCs w:val="false"/>
                <w:sz w:val="18"/>
                <w:szCs w:val="18"/>
              </w:rPr>
              <w:t xml:space="preserve">Controlled tests only</w:t>
            </w:r>
          </w:p>
        </w:tc>
      </w:tr>
    </w:tbl>
    <w:p>
      <w:pPr>
        <w:spacing w:after="140"/>
      </w:pPr>
    </w:p>
    <w:p>
      <w:pPr>
        <w:pStyle w:val="Heading4"/>
        <w:spacing w:after="80" w:before="180"/>
      </w:pPr>
      <w:r>
        <w:t xml:space="preserve">The refinement depth and the relaxation profile</w:t>
      </w:r>
    </w:p>
    <w:p>
      <w:pPr>
        <w:spacing w:after="120" w:line="264"/>
        <w:jc w:val="left"/>
      </w:pPr>
      <w:r>
        <w:rPr>
          <w:b w:val="false"/>
          <w:bCs w:val="false"/>
          <w:i w:val="false"/>
          <w:iCs w:val="false"/>
        </w:rPr>
        <w:t xml:space="preserve">The tube resolution is specified as a </w:t>
      </w:r>
      <w:r>
        <w:rPr>
          <w:b/>
          <w:bCs/>
          <w:i w:val="false"/>
          <w:iCs w:val="false"/>
        </w:rPr>
        <w:t xml:space="preserve">level offset</w:t>
      </w:r>
      <w:r>
        <w:rPr>
          <w:b w:val="false"/>
          <w:bCs w:val="false"/>
          <w:i w:val="false"/>
          <w:iCs w:val="false"/>
        </w:rPr>
        <w:t xml:space="preserve"> relative to the ambient law rather than as an absolute size. This is the single most useful parametrisation choice in the whole section: it means the tube is automatically finer near the Sun where the ambient mesh is already fine, and it makes the 2:1 balance analysis tractable.</w:t>
      </w:r>
    </w:p>
    <w:p>
      <w:pPr>
        <w:spacing w:after="40" w:before="80"/>
        <w:ind w:left="400"/>
      </w:pPr>
      <w:r>
        <w:rPr>
          <w:rFonts w:ascii="Cambria" w:cs="Cambria" w:eastAsia="Cambria" w:hAnsi="Cambria"/>
          <w:i/>
          <w:iCs/>
          <w:sz w:val="21"/>
          <w:szCs w:val="21"/>
        </w:rPr>
        <w:t xml:space="preserve">Δ_amb(x)  = min( Δ_bg , Δ_sun(r) )</w:t>
      </w:r>
    </w:p>
    <w:p>
      <w:pPr>
        <w:spacing w:after="40" w:before="0"/>
        <w:ind w:left="400"/>
      </w:pPr>
      <w:r>
        <w:rPr>
          <w:rFonts w:ascii="Cambria" w:cs="Cambria" w:eastAsia="Cambria" w:hAnsi="Cambria"/>
          <w:i/>
          <w:iCs/>
          <w:sz w:val="21"/>
          <w:szCs w:val="21"/>
        </w:rPr>
        <w:t xml:space="preserve">Δ_tube(x) = Δ_amb(x) · 2^( −ΔL_tube · g(d, r) )</w:t>
      </w:r>
    </w:p>
    <w:p>
      <w:pPr>
        <w:spacing w:after="140" w:before="0"/>
        <w:ind w:left="400"/>
      </w:pPr>
      <w:r>
        <w:rPr>
          <w:rFonts w:ascii="Cambria" w:cs="Cambria" w:eastAsia="Cambria" w:hAnsi="Cambria"/>
          <w:i/>
          <w:iCs/>
          <w:sz w:val="21"/>
          <w:szCs w:val="21"/>
        </w:rPr>
        <w:t xml:space="preserve">g(d, r)   = ½ [ 1 − tanh( (d − w(r)) / h(r) ) ]</w:t>
      </w:r>
    </w:p>
    <w:p>
      <w:pPr>
        <w:spacing w:after="120" w:line="264"/>
        <w:jc w:val="left"/>
      </w:pPr>
      <w:r>
        <w:rPr>
          <w:b w:val="false"/>
          <w:bCs w:val="false"/>
          <w:i w:val="false"/>
          <w:iCs w:val="false"/>
        </w:rPr>
        <w:t xml:space="preserve">ΔL_tube is set by </w:t>
      </w:r>
      <w:r>
        <w:rPr>
          <w:rFonts w:ascii="Consolas" w:cs="Consolas" w:eastAsia="Consolas" w:hAnsi="Consolas"/>
          <w:b w:val="false"/>
          <w:bCs w:val="false"/>
          <w:i w:val="false"/>
          <w:iCs w:val="false"/>
          <w:sz w:val="19"/>
          <w:szCs w:val="19"/>
        </w:rPr>
        <w:t xml:space="preserve">--flux-tube-levels</w:t>
      </w:r>
      <w:r>
        <w:rPr>
          <w:b w:val="false"/>
          <w:bCs w:val="false"/>
          <w:i w:val="false"/>
          <w:iCs w:val="false"/>
        </w:rPr>
        <w:t xml:space="preserve"> (default 3) and h(r) is the shoulder scale. The tanh profile is chosen over a Gaussian because it has a genuine flat core — the requirement explicitly asks for a defined resolution </w:t>
      </w:r>
      <w:r>
        <w:rPr>
          <w:b w:val="false"/>
          <w:bCs w:val="false"/>
          <w:i/>
          <w:iCs/>
        </w:rPr>
        <w:t xml:space="preserve">along the centre</w:t>
      </w:r>
      <w:r>
        <w:rPr>
          <w:b w:val="false"/>
          <w:bCs w:val="false"/>
          <w:i w:val="false"/>
          <w:iCs w:val="false"/>
        </w:rPr>
        <w:t xml:space="preserve"> of the tube, and a Gaussian would make the centre a single point of maximum refinement rather than a plateau.</w:t>
      </w:r>
    </w:p>
    <w:p>
      <w:pPr>
        <w:spacing w:after="120" w:line="264"/>
        <w:jc w:val="left"/>
      </w:pPr>
      <w:r>
        <w:t xml:space="preserve">Because the level field is quantised to integers, the profile has three quotable radii. Writing Λ = ΔL_tube: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2400"/>
        <w:gridCol w:w="2000"/>
        <w:gridCol w:w="32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Region</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Condition</w:t>
            </w:r>
          </w:p>
        </w:tc>
        <w:tc>
          <w:tcPr>
            <w:tcW w:type="dxa" w:w="2000"/>
            <w:shd w:fill="1F3864" w:val="clear"/>
            <w:tcMar>
              <w:top w:type="dxa" w:w="60"/>
              <w:left w:type="dxa" w:w="100"/>
              <w:bottom w:type="dxa" w:w="60"/>
              <w:right w:type="dxa" w:w="100"/>
            </w:tcMar>
          </w:tcPr>
          <w:p>
            <w:pPr>
              <w:spacing w:after="0" w:line="240"/>
            </w:pPr>
            <w:r>
              <w:rPr>
                <w:b/>
                <w:bCs/>
                <w:color w:val="FFFFFF"/>
                <w:sz w:val="18"/>
                <w:szCs w:val="18"/>
              </w:rPr>
              <w:t xml:space="preserve">Level</w:t>
            </w:r>
          </w:p>
        </w:tc>
        <w:tc>
          <w:tcPr>
            <w:tcW w:type="dxa" w:w="3280"/>
            <w:shd w:fill="1F3864" w:val="clear"/>
            <w:tcMar>
              <w:top w:type="dxa" w:w="60"/>
              <w:left w:type="dxa" w:w="100"/>
              <w:bottom w:type="dxa" w:w="60"/>
              <w:right w:type="dxa" w:w="100"/>
            </w:tcMar>
          </w:tcPr>
          <w:p>
            <w:pPr>
              <w:spacing w:after="0" w:line="240"/>
            </w:pPr>
            <w:r>
              <w:rPr>
                <w:b/>
                <w:bCs/>
                <w:color w:val="FFFFFF"/>
                <w:sz w:val="18"/>
                <w:szCs w:val="18"/>
              </w:rPr>
              <w:t xml:space="preserve">At the defaults (Λ = 3, h = 0.25 w)</w:t>
            </w:r>
          </w:p>
        </w:tc>
      </w:tr>
      <w:tr>
        <w:tc>
          <w:tcPr>
            <w:tcW w:type="dxa" w:w="2400"/>
            <w:tcMar>
              <w:top w:type="dxa" w:w="60"/>
              <w:left w:type="dxa" w:w="100"/>
              <w:bottom w:type="dxa" w:w="60"/>
              <w:right w:type="dxa" w:w="100"/>
            </w:tcMar>
          </w:tcPr>
          <w:p>
            <w:pPr>
              <w:spacing w:after="0" w:line="240"/>
            </w:pPr>
            <w:r>
              <w:rPr>
                <w:b w:val="false"/>
                <w:bCs w:val="false"/>
                <w:sz w:val="18"/>
                <w:szCs w:val="18"/>
              </w:rPr>
              <w:t xml:space="preserve">Full-resolution core</w:t>
            </w:r>
          </w:p>
        </w:tc>
        <w:tc>
          <w:tcPr>
            <w:tcW w:type="dxa" w:w="2400"/>
            <w:tcMar>
              <w:top w:type="dxa" w:w="60"/>
              <w:left w:type="dxa" w:w="100"/>
              <w:bottom w:type="dxa" w:w="60"/>
              <w:right w:type="dxa" w:w="100"/>
            </w:tcMar>
          </w:tcPr>
          <w:p>
            <w:pPr>
              <w:spacing w:after="0" w:line="240"/>
            </w:pPr>
            <w:r>
              <w:rPr>
                <w:b w:val="false"/>
                <w:bCs w:val="false"/>
                <w:sz w:val="18"/>
                <w:szCs w:val="18"/>
              </w:rPr>
              <w:t xml:space="preserve">g &gt; 1 − 1/(2Λ)</w:t>
            </w:r>
          </w:p>
        </w:tc>
        <w:tc>
          <w:tcPr>
            <w:tcW w:type="dxa" w:w="2000"/>
            <w:tcMar>
              <w:top w:type="dxa" w:w="60"/>
              <w:left w:type="dxa" w:w="100"/>
              <w:bottom w:type="dxa" w:w="60"/>
              <w:right w:type="dxa" w:w="100"/>
            </w:tcMar>
          </w:tcPr>
          <w:p>
            <w:pPr>
              <w:spacing w:after="0" w:line="240"/>
            </w:pPr>
            <w:r>
              <w:rPr>
                <w:b w:val="false"/>
                <w:bCs w:val="false"/>
                <w:sz w:val="18"/>
                <w:szCs w:val="18"/>
              </w:rPr>
              <w:t xml:space="preserve">L_amb + Λ</w:t>
            </w:r>
          </w:p>
        </w:tc>
        <w:tc>
          <w:tcPr>
            <w:tcW w:type="dxa" w:w="3280"/>
            <w:tcMar>
              <w:top w:type="dxa" w:w="60"/>
              <w:left w:type="dxa" w:w="100"/>
              <w:bottom w:type="dxa" w:w="60"/>
              <w:right w:type="dxa" w:w="100"/>
            </w:tcMar>
          </w:tcPr>
          <w:p>
            <w:pPr>
              <w:spacing w:after="0" w:line="240"/>
            </w:pPr>
            <w:r>
              <w:rPr>
                <w:b w:val="false"/>
                <w:bCs w:val="false"/>
                <w:sz w:val="18"/>
                <w:szCs w:val="18"/>
              </w:rPr>
              <w:t xml:space="preserve">d &lt; w − h·atanh(1 − 2/Λ) = 0.80 w</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Transition shoulder</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1/(2Λ) ≤ g ≤ 1 − 1/(2Λ)</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intermediate</w:t>
            </w:r>
          </w:p>
        </w:tc>
        <w:tc>
          <w:tcPr>
            <w:tcW w:type="dxa" w:w="3280"/>
            <w:shd w:fill="EEF1F6" w:val="clear"/>
            <w:tcMar>
              <w:top w:type="dxa" w:w="60"/>
              <w:left w:type="dxa" w:w="100"/>
              <w:bottom w:type="dxa" w:w="60"/>
              <w:right w:type="dxa" w:w="100"/>
            </w:tcMar>
          </w:tcPr>
          <w:p>
            <w:pPr>
              <w:spacing w:after="0" w:line="240"/>
            </w:pPr>
            <w:r>
              <w:rPr>
                <w:b w:val="false"/>
                <w:bCs w:val="false"/>
                <w:sz w:val="18"/>
                <w:szCs w:val="18"/>
              </w:rPr>
              <w:t xml:space="preserve">0.80 w &lt; d &lt; 1.20 w</w:t>
            </w:r>
          </w:p>
        </w:tc>
      </w:tr>
      <w:tr>
        <w:tc>
          <w:tcPr>
            <w:tcW w:type="dxa" w:w="2400"/>
            <w:tcMar>
              <w:top w:type="dxa" w:w="60"/>
              <w:left w:type="dxa" w:w="100"/>
              <w:bottom w:type="dxa" w:w="60"/>
              <w:right w:type="dxa" w:w="100"/>
            </w:tcMar>
          </w:tcPr>
          <w:p>
            <w:pPr>
              <w:spacing w:after="0" w:line="240"/>
            </w:pPr>
            <w:r>
              <w:rPr>
                <w:b w:val="false"/>
                <w:bCs w:val="false"/>
                <w:sz w:val="18"/>
                <w:szCs w:val="18"/>
              </w:rPr>
              <w:t xml:space="preserve">Ambient mesh</w:t>
            </w:r>
          </w:p>
        </w:tc>
        <w:tc>
          <w:tcPr>
            <w:tcW w:type="dxa" w:w="2400"/>
            <w:tcMar>
              <w:top w:type="dxa" w:w="60"/>
              <w:left w:type="dxa" w:w="100"/>
              <w:bottom w:type="dxa" w:w="60"/>
              <w:right w:type="dxa" w:w="100"/>
            </w:tcMar>
          </w:tcPr>
          <w:p>
            <w:pPr>
              <w:spacing w:after="0" w:line="240"/>
            </w:pPr>
            <w:r>
              <w:rPr>
                <w:b w:val="false"/>
                <w:bCs w:val="false"/>
                <w:sz w:val="18"/>
                <w:szCs w:val="18"/>
              </w:rPr>
              <w:t xml:space="preserve">g &lt; 1/(2Λ)</w:t>
            </w:r>
          </w:p>
        </w:tc>
        <w:tc>
          <w:tcPr>
            <w:tcW w:type="dxa" w:w="2000"/>
            <w:tcMar>
              <w:top w:type="dxa" w:w="60"/>
              <w:left w:type="dxa" w:w="100"/>
              <w:bottom w:type="dxa" w:w="60"/>
              <w:right w:type="dxa" w:w="100"/>
            </w:tcMar>
          </w:tcPr>
          <w:p>
            <w:pPr>
              <w:spacing w:after="0" w:line="240"/>
            </w:pPr>
            <w:r>
              <w:rPr>
                <w:b w:val="false"/>
                <w:bCs w:val="false"/>
                <w:sz w:val="18"/>
                <w:szCs w:val="18"/>
              </w:rPr>
              <w:t xml:space="preserve">L_amb</w:t>
            </w:r>
          </w:p>
        </w:tc>
        <w:tc>
          <w:tcPr>
            <w:tcW w:type="dxa" w:w="3280"/>
            <w:tcMar>
              <w:top w:type="dxa" w:w="60"/>
              <w:left w:type="dxa" w:w="100"/>
              <w:bottom w:type="dxa" w:w="60"/>
              <w:right w:type="dxa" w:w="100"/>
            </w:tcMar>
          </w:tcPr>
          <w:p>
            <w:pPr>
              <w:spacing w:after="0" w:line="240"/>
            </w:pPr>
            <w:r>
              <w:rPr>
                <w:b w:val="false"/>
                <w:bCs w:val="false"/>
                <w:sz w:val="18"/>
                <w:szCs w:val="18"/>
              </w:rPr>
              <w:t xml:space="preserve">d &gt; 1.20 w</w:t>
            </w:r>
          </w:p>
        </w:tc>
      </w:tr>
    </w:tbl>
    <w:p>
      <w:pPr>
        <w:spacing w:after="140"/>
      </w:pPr>
    </w:p>
    <w:p>
      <w:pPr>
        <w:spacing w:after="120" w:line="264"/>
        <w:jc w:val="left"/>
      </w:pPr>
      <w:r>
        <w:rPr>
          <w:b w:val="false"/>
          <w:bCs w:val="false"/>
          <w:i w:val="false"/>
          <w:iCs w:val="false"/>
        </w:rPr>
        <w:t xml:space="preserve">So with the defaults, the resolution is uniform at its finest value across 80% of the nominal tube half-width, and recovers the ambient value at 1.2 tube half-widths — a relaxation band 0.4 w wide. Both the plateau fraction and the band width are controlled by the single ratio h/w, exposed as </w:t>
      </w:r>
      <w:r>
        <w:rPr>
          <w:rFonts w:ascii="Consolas" w:cs="Consolas" w:eastAsia="Consolas" w:hAnsi="Consolas"/>
          <w:b w:val="false"/>
          <w:bCs w:val="false"/>
          <w:i w:val="false"/>
          <w:iCs w:val="false"/>
          <w:sz w:val="19"/>
          <w:szCs w:val="19"/>
        </w:rPr>
        <w:t xml:space="preserve">--flux-tube-shoulder</w:t>
      </w:r>
      <w:r>
        <w:rPr>
          <w:b w:val="false"/>
          <w:bCs w:val="false"/>
          <w:i w:val="false"/>
          <w:iCs w:val="false"/>
        </w:rPr>
        <w:t xml:space="preserve"> (default 0.25).</w:t>
      </w:r>
    </w:p>
    <w:p>
      <w:pPr>
        <w:pStyle w:val="Heading2"/>
        <w:spacing w:after="120" w:before="280"/>
      </w:pPr>
      <w:r>
        <w:t xml:space="preserve">6.4 What the defaults actually produce</w:t>
      </w:r>
    </w:p>
    <w:p>
      <w:pPr>
        <w:spacing w:after="120" w:line="264"/>
        <w:jc w:val="left"/>
      </w:pPr>
      <w:r>
        <w:t xml:space="preserve">The table below evaluates the complete law for the recommended default configuration: earth domain, N_bc = 4, Δ_bg at level 5, Δ₀ = 0.1 R☉, α = 1, one tube with ψ = 3° and ΔL_tube = 3.</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500"/>
        <w:gridCol w:w="1800"/>
        <w:gridCol w:w="1900"/>
        <w:gridCol w:w="1900"/>
        <w:gridCol w:w="1400"/>
        <w:gridCol w:w="1580"/>
      </w:tblGrid>
      <w:tr>
        <w:trPr>
          <w:tblHeader/>
        </w:trPr>
        <w:tc>
          <w:tcPr>
            <w:tcW w:type="dxa" w:w="1500"/>
            <w:shd w:fill="1F3864" w:val="clear"/>
            <w:tcMar>
              <w:top w:type="dxa" w:w="60"/>
              <w:left w:type="dxa" w:w="100"/>
              <w:bottom w:type="dxa" w:w="60"/>
              <w:right w:type="dxa" w:w="100"/>
            </w:tcMar>
          </w:tcPr>
          <w:p>
            <w:pPr>
              <w:spacing w:after="0" w:line="240"/>
            </w:pPr>
            <w:r>
              <w:rPr>
                <w:b/>
                <w:bCs/>
                <w:color w:val="FFFFFF"/>
                <w:sz w:val="18"/>
                <w:szCs w:val="18"/>
              </w:rPr>
              <w:t xml:space="preserve">r</w:t>
            </w:r>
          </w:p>
        </w:tc>
        <w:tc>
          <w:tcPr>
            <w:tcW w:type="dxa" w:w="1800"/>
            <w:shd w:fill="1F3864" w:val="clear"/>
            <w:tcMar>
              <w:top w:type="dxa" w:w="60"/>
              <w:left w:type="dxa" w:w="100"/>
              <w:bottom w:type="dxa" w:w="60"/>
              <w:right w:type="dxa" w:w="100"/>
            </w:tcMar>
          </w:tcPr>
          <w:p>
            <w:pPr>
              <w:spacing w:after="0" w:line="240"/>
            </w:pPr>
            <w:r>
              <w:rPr>
                <w:b/>
                <w:bCs/>
                <w:color w:val="FFFFFF"/>
                <w:sz w:val="18"/>
                <w:szCs w:val="18"/>
              </w:rPr>
              <w:t xml:space="preserve">Δ_amb requested</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Ambient level / Δ</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Tube-core level / Δ</w:t>
            </w:r>
          </w:p>
        </w:tc>
        <w:tc>
          <w:tcPr>
            <w:tcW w:type="dxa" w:w="1400"/>
            <w:shd w:fill="1F3864" w:val="clear"/>
            <w:tcMar>
              <w:top w:type="dxa" w:w="60"/>
              <w:left w:type="dxa" w:w="100"/>
              <w:bottom w:type="dxa" w:w="60"/>
              <w:right w:type="dxa" w:w="100"/>
            </w:tcMar>
          </w:tcPr>
          <w:p>
            <w:pPr>
              <w:spacing w:after="0" w:line="240"/>
            </w:pPr>
            <w:r>
              <w:rPr>
                <w:b/>
                <w:bCs/>
                <w:color w:val="FFFFFF"/>
                <w:sz w:val="18"/>
                <w:szCs w:val="18"/>
              </w:rPr>
              <w:t xml:space="preserve">w(r)</w:t>
            </w:r>
          </w:p>
        </w:tc>
        <w:tc>
          <w:tcPr>
            <w:tcW w:type="dxa" w:w="1580"/>
            <w:shd w:fill="1F3864" w:val="clear"/>
            <w:tcMar>
              <w:top w:type="dxa" w:w="60"/>
              <w:left w:type="dxa" w:w="100"/>
              <w:bottom w:type="dxa" w:w="60"/>
              <w:right w:type="dxa" w:w="100"/>
            </w:tcMar>
          </w:tcPr>
          <w:p>
            <w:pPr>
              <w:spacing w:after="0" w:line="240"/>
            </w:pPr>
            <w:r>
              <w:rPr>
                <w:b/>
                <w:bCs/>
                <w:color w:val="FFFFFF"/>
                <w:sz w:val="18"/>
                <w:szCs w:val="18"/>
              </w:rPr>
              <w:t xml:space="preserve">Cells across the tube</w:t>
            </w:r>
          </w:p>
        </w:tc>
      </w:tr>
      <w:tr>
        <w:tc>
          <w:tcPr>
            <w:tcW w:type="dxa" w:w="1500"/>
            <w:tcMar>
              <w:top w:type="dxa" w:w="60"/>
              <w:left w:type="dxa" w:w="100"/>
              <w:bottom w:type="dxa" w:w="60"/>
              <w:right w:type="dxa" w:w="100"/>
            </w:tcMar>
          </w:tcPr>
          <w:p>
            <w:pPr>
              <w:spacing w:after="0" w:line="240"/>
            </w:pPr>
            <w:r>
              <w:rPr>
                <w:b w:val="false"/>
                <w:bCs w:val="false"/>
                <w:sz w:val="18"/>
                <w:szCs w:val="18"/>
              </w:rPr>
              <w:t xml:space="preserve">1 R☉</w:t>
            </w:r>
          </w:p>
        </w:tc>
        <w:tc>
          <w:tcPr>
            <w:tcW w:type="dxa" w:w="1800"/>
            <w:tcMar>
              <w:top w:type="dxa" w:w="60"/>
              <w:left w:type="dxa" w:w="100"/>
              <w:bottom w:type="dxa" w:w="60"/>
              <w:right w:type="dxa" w:w="100"/>
            </w:tcMar>
          </w:tcPr>
          <w:p>
            <w:pPr>
              <w:spacing w:after="0" w:line="240"/>
            </w:pPr>
            <w:r>
              <w:rPr>
                <w:b w:val="false"/>
                <w:bCs w:val="false"/>
                <w:sz w:val="18"/>
                <w:szCs w:val="18"/>
              </w:rPr>
              <w:t xml:space="preserve">6.96×10⁷ m</w:t>
            </w:r>
          </w:p>
        </w:tc>
        <w:tc>
          <w:tcPr>
            <w:tcW w:type="dxa" w:w="1900"/>
            <w:tcMar>
              <w:top w:type="dxa" w:w="60"/>
              <w:left w:type="dxa" w:w="100"/>
              <w:bottom w:type="dxa" w:w="60"/>
              <w:right w:type="dxa" w:w="100"/>
            </w:tcMar>
          </w:tcPr>
          <w:p>
            <w:pPr>
              <w:spacing w:after="0" w:line="240"/>
            </w:pPr>
            <w:r>
              <w:rPr>
                <w:b w:val="false"/>
                <w:bCs w:val="false"/>
                <w:sz w:val="18"/>
                <w:szCs w:val="18"/>
              </w:rPr>
              <w:t xml:space="preserve">11 / 4.02×10⁷ m</w:t>
            </w:r>
          </w:p>
        </w:tc>
        <w:tc>
          <w:tcPr>
            <w:tcW w:type="dxa" w:w="1900"/>
            <w:tcMar>
              <w:top w:type="dxa" w:w="60"/>
              <w:left w:type="dxa" w:w="100"/>
              <w:bottom w:type="dxa" w:w="60"/>
              <w:right w:type="dxa" w:w="100"/>
            </w:tcMar>
          </w:tcPr>
          <w:p>
            <w:pPr>
              <w:spacing w:after="0" w:line="240"/>
            </w:pPr>
            <w:r>
              <w:rPr>
                <w:b w:val="false"/>
                <w:bCs w:val="false"/>
                <w:sz w:val="18"/>
                <w:szCs w:val="18"/>
              </w:rPr>
              <w:t xml:space="preserve">14 / 5.02×10⁶ m</w:t>
            </w:r>
          </w:p>
        </w:tc>
        <w:tc>
          <w:tcPr>
            <w:tcW w:type="dxa" w:w="1400"/>
            <w:tcMar>
              <w:top w:type="dxa" w:w="60"/>
              <w:left w:type="dxa" w:w="100"/>
              <w:bottom w:type="dxa" w:w="60"/>
              <w:right w:type="dxa" w:w="100"/>
            </w:tcMar>
          </w:tcPr>
          <w:p>
            <w:pPr>
              <w:spacing w:after="0" w:line="240"/>
            </w:pPr>
            <w:r>
              <w:rPr>
                <w:b w:val="false"/>
                <w:bCs w:val="false"/>
                <w:sz w:val="18"/>
                <w:szCs w:val="18"/>
              </w:rPr>
              <w:t xml:space="preserve">3.65×10⁷ m</w:t>
            </w:r>
          </w:p>
        </w:tc>
        <w:tc>
          <w:tcPr>
            <w:tcW w:type="dxa" w:w="1580"/>
            <w:tcMar>
              <w:top w:type="dxa" w:w="60"/>
              <w:left w:type="dxa" w:w="100"/>
              <w:bottom w:type="dxa" w:w="60"/>
              <w:right w:type="dxa" w:w="100"/>
            </w:tcMar>
          </w:tcPr>
          <w:p>
            <w:pPr>
              <w:spacing w:after="0" w:line="240"/>
            </w:pPr>
            <w:r>
              <w:rPr>
                <w:b w:val="false"/>
                <w:bCs w:val="false"/>
                <w:sz w:val="18"/>
                <w:szCs w:val="18"/>
              </w:rPr>
              <w:t xml:space="preserve">15</w:t>
            </w:r>
          </w:p>
        </w:tc>
      </w:tr>
      <w:tr>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2 R☉</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1.39×10⁸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10 / 8.04×10⁷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13 / 1.00×10⁷ m</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7.29×10⁷ m</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15</w:t>
            </w:r>
          </w:p>
        </w:tc>
      </w:tr>
      <w:tr>
        <w:tc>
          <w:tcPr>
            <w:tcW w:type="dxa" w:w="1500"/>
            <w:tcMar>
              <w:top w:type="dxa" w:w="60"/>
              <w:left w:type="dxa" w:w="100"/>
              <w:bottom w:type="dxa" w:w="60"/>
              <w:right w:type="dxa" w:w="100"/>
            </w:tcMar>
          </w:tcPr>
          <w:p>
            <w:pPr>
              <w:spacing w:after="0" w:line="240"/>
            </w:pPr>
            <w:r>
              <w:rPr>
                <w:b w:val="false"/>
                <w:bCs w:val="false"/>
                <w:sz w:val="18"/>
                <w:szCs w:val="18"/>
              </w:rPr>
              <w:t xml:space="preserve">5 R☉</w:t>
            </w:r>
          </w:p>
        </w:tc>
        <w:tc>
          <w:tcPr>
            <w:tcW w:type="dxa" w:w="1800"/>
            <w:tcMar>
              <w:top w:type="dxa" w:w="60"/>
              <w:left w:type="dxa" w:w="100"/>
              <w:bottom w:type="dxa" w:w="60"/>
              <w:right w:type="dxa" w:w="100"/>
            </w:tcMar>
          </w:tcPr>
          <w:p>
            <w:pPr>
              <w:spacing w:after="0" w:line="240"/>
            </w:pPr>
            <w:r>
              <w:rPr>
                <w:b w:val="false"/>
                <w:bCs w:val="false"/>
                <w:sz w:val="18"/>
                <w:szCs w:val="18"/>
              </w:rPr>
              <w:t xml:space="preserve">3.48×10⁸ m</w:t>
            </w:r>
          </w:p>
        </w:tc>
        <w:tc>
          <w:tcPr>
            <w:tcW w:type="dxa" w:w="1900"/>
            <w:tcMar>
              <w:top w:type="dxa" w:w="60"/>
              <w:left w:type="dxa" w:w="100"/>
              <w:bottom w:type="dxa" w:w="60"/>
              <w:right w:type="dxa" w:w="100"/>
            </w:tcMar>
          </w:tcPr>
          <w:p>
            <w:pPr>
              <w:spacing w:after="0" w:line="240"/>
            </w:pPr>
            <w:r>
              <w:rPr>
                <w:b w:val="false"/>
                <w:bCs w:val="false"/>
                <w:sz w:val="18"/>
                <w:szCs w:val="18"/>
              </w:rPr>
              <w:t xml:space="preserve">8 / 3.21×10⁸ m</w:t>
            </w:r>
          </w:p>
        </w:tc>
        <w:tc>
          <w:tcPr>
            <w:tcW w:type="dxa" w:w="1900"/>
            <w:tcMar>
              <w:top w:type="dxa" w:w="60"/>
              <w:left w:type="dxa" w:w="100"/>
              <w:bottom w:type="dxa" w:w="60"/>
              <w:right w:type="dxa" w:w="100"/>
            </w:tcMar>
          </w:tcPr>
          <w:p>
            <w:pPr>
              <w:spacing w:after="0" w:line="240"/>
            </w:pPr>
            <w:r>
              <w:rPr>
                <w:b w:val="false"/>
                <w:bCs w:val="false"/>
                <w:sz w:val="18"/>
                <w:szCs w:val="18"/>
              </w:rPr>
              <w:t xml:space="preserve">11 / 4.02×10⁷ m</w:t>
            </w:r>
          </w:p>
        </w:tc>
        <w:tc>
          <w:tcPr>
            <w:tcW w:type="dxa" w:w="1400"/>
            <w:tcMar>
              <w:top w:type="dxa" w:w="60"/>
              <w:left w:type="dxa" w:w="100"/>
              <w:bottom w:type="dxa" w:w="60"/>
              <w:right w:type="dxa" w:w="100"/>
            </w:tcMar>
          </w:tcPr>
          <w:p>
            <w:pPr>
              <w:spacing w:after="0" w:line="240"/>
            </w:pPr>
            <w:r>
              <w:rPr>
                <w:b w:val="false"/>
                <w:bCs w:val="false"/>
                <w:sz w:val="18"/>
                <w:szCs w:val="18"/>
              </w:rPr>
              <w:t xml:space="preserve">1.82×10⁸ m</w:t>
            </w:r>
          </w:p>
        </w:tc>
        <w:tc>
          <w:tcPr>
            <w:tcW w:type="dxa" w:w="1580"/>
            <w:tcMar>
              <w:top w:type="dxa" w:w="60"/>
              <w:left w:type="dxa" w:w="100"/>
              <w:bottom w:type="dxa" w:w="60"/>
              <w:right w:type="dxa" w:w="100"/>
            </w:tcMar>
          </w:tcPr>
          <w:p>
            <w:pPr>
              <w:spacing w:after="0" w:line="240"/>
            </w:pPr>
            <w:r>
              <w:rPr>
                <w:b w:val="false"/>
                <w:bCs w:val="false"/>
                <w:sz w:val="18"/>
                <w:szCs w:val="18"/>
              </w:rPr>
              <w:t xml:space="preserve">9</w:t>
            </w:r>
          </w:p>
        </w:tc>
      </w:tr>
      <w:tr>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10 R☉</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6.96×10⁸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7 / 6.43×10⁸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10 / 8.04×10⁷ m</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3.65×10⁸ m</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9</w:t>
            </w:r>
          </w:p>
        </w:tc>
      </w:tr>
      <w:tr>
        <w:tc>
          <w:tcPr>
            <w:tcW w:type="dxa" w:w="1500"/>
            <w:tcMar>
              <w:top w:type="dxa" w:w="60"/>
              <w:left w:type="dxa" w:w="100"/>
              <w:bottom w:type="dxa" w:w="60"/>
              <w:right w:type="dxa" w:w="100"/>
            </w:tcMar>
          </w:tcPr>
          <w:p>
            <w:pPr>
              <w:spacing w:after="0" w:line="240"/>
            </w:pPr>
            <w:r>
              <w:rPr>
                <w:b w:val="false"/>
                <w:bCs w:val="false"/>
                <w:sz w:val="18"/>
                <w:szCs w:val="18"/>
              </w:rPr>
              <w:t xml:space="preserve">20 R☉</w:t>
            </w:r>
          </w:p>
        </w:tc>
        <w:tc>
          <w:tcPr>
            <w:tcW w:type="dxa" w:w="1800"/>
            <w:tcMar>
              <w:top w:type="dxa" w:w="60"/>
              <w:left w:type="dxa" w:w="100"/>
              <w:bottom w:type="dxa" w:w="60"/>
              <w:right w:type="dxa" w:w="100"/>
            </w:tcMar>
          </w:tcPr>
          <w:p>
            <w:pPr>
              <w:spacing w:after="0" w:line="240"/>
            </w:pPr>
            <w:r>
              <w:rPr>
                <w:b w:val="false"/>
                <w:bCs w:val="false"/>
                <w:sz w:val="18"/>
                <w:szCs w:val="18"/>
              </w:rPr>
              <w:t xml:space="preserve">1.39×10⁹ m</w:t>
            </w:r>
          </w:p>
        </w:tc>
        <w:tc>
          <w:tcPr>
            <w:tcW w:type="dxa" w:w="1900"/>
            <w:tcMar>
              <w:top w:type="dxa" w:w="60"/>
              <w:left w:type="dxa" w:w="100"/>
              <w:bottom w:type="dxa" w:w="60"/>
              <w:right w:type="dxa" w:w="100"/>
            </w:tcMar>
          </w:tcPr>
          <w:p>
            <w:pPr>
              <w:spacing w:after="0" w:line="240"/>
            </w:pPr>
            <w:r>
              <w:rPr>
                <w:b w:val="false"/>
                <w:bCs w:val="false"/>
                <w:sz w:val="18"/>
                <w:szCs w:val="18"/>
              </w:rPr>
              <w:t xml:space="preserve">6 / 1.29×10⁹ m</w:t>
            </w:r>
          </w:p>
        </w:tc>
        <w:tc>
          <w:tcPr>
            <w:tcW w:type="dxa" w:w="1900"/>
            <w:tcMar>
              <w:top w:type="dxa" w:w="60"/>
              <w:left w:type="dxa" w:w="100"/>
              <w:bottom w:type="dxa" w:w="60"/>
              <w:right w:type="dxa" w:w="100"/>
            </w:tcMar>
          </w:tcPr>
          <w:p>
            <w:pPr>
              <w:spacing w:after="0" w:line="240"/>
            </w:pPr>
            <w:r>
              <w:rPr>
                <w:b w:val="false"/>
                <w:bCs w:val="false"/>
                <w:sz w:val="18"/>
                <w:szCs w:val="18"/>
              </w:rPr>
              <w:t xml:space="preserve">9 / 1.61×10⁸ m</w:t>
            </w:r>
          </w:p>
        </w:tc>
        <w:tc>
          <w:tcPr>
            <w:tcW w:type="dxa" w:w="1400"/>
            <w:tcMar>
              <w:top w:type="dxa" w:w="60"/>
              <w:left w:type="dxa" w:w="100"/>
              <w:bottom w:type="dxa" w:w="60"/>
              <w:right w:type="dxa" w:w="100"/>
            </w:tcMar>
          </w:tcPr>
          <w:p>
            <w:pPr>
              <w:spacing w:after="0" w:line="240"/>
            </w:pPr>
            <w:r>
              <w:rPr>
                <w:b w:val="false"/>
                <w:bCs w:val="false"/>
                <w:sz w:val="18"/>
                <w:szCs w:val="18"/>
              </w:rPr>
              <w:t xml:space="preserve">7.29×10⁸ m</w:t>
            </w:r>
          </w:p>
        </w:tc>
        <w:tc>
          <w:tcPr>
            <w:tcW w:type="dxa" w:w="1580"/>
            <w:tcMar>
              <w:top w:type="dxa" w:w="60"/>
              <w:left w:type="dxa" w:w="100"/>
              <w:bottom w:type="dxa" w:w="60"/>
              <w:right w:type="dxa" w:w="100"/>
            </w:tcMar>
          </w:tcPr>
          <w:p>
            <w:pPr>
              <w:spacing w:after="0" w:line="240"/>
            </w:pPr>
            <w:r>
              <w:rPr>
                <w:b w:val="false"/>
                <w:bCs w:val="false"/>
                <w:sz w:val="18"/>
                <w:szCs w:val="18"/>
              </w:rPr>
              <w:t xml:space="preserve">9</w:t>
            </w:r>
          </w:p>
        </w:tc>
      </w:tr>
      <w:tr>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0.172 AU (= r_t)</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2.57×10⁹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5 / 2.57×10⁹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8 / 3.21×10⁸ m</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1.35×10⁹ m</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8</w:t>
            </w:r>
          </w:p>
        </w:tc>
      </w:tr>
      <w:tr>
        <w:tc>
          <w:tcPr>
            <w:tcW w:type="dxa" w:w="1500"/>
            <w:tcMar>
              <w:top w:type="dxa" w:w="60"/>
              <w:left w:type="dxa" w:w="100"/>
              <w:bottom w:type="dxa" w:w="60"/>
              <w:right w:type="dxa" w:w="100"/>
            </w:tcMar>
          </w:tcPr>
          <w:p>
            <w:pPr>
              <w:spacing w:after="0" w:line="240"/>
            </w:pPr>
            <w:r>
              <w:rPr>
                <w:b w:val="false"/>
                <w:bCs w:val="false"/>
                <w:sz w:val="18"/>
                <w:szCs w:val="18"/>
              </w:rPr>
              <w:t xml:space="preserve">0.5 AU</w:t>
            </w:r>
          </w:p>
        </w:tc>
        <w:tc>
          <w:tcPr>
            <w:tcW w:type="dxa" w:w="1800"/>
            <w:tcMar>
              <w:top w:type="dxa" w:w="60"/>
              <w:left w:type="dxa" w:w="100"/>
              <w:bottom w:type="dxa" w:w="60"/>
              <w:right w:type="dxa" w:w="100"/>
            </w:tcMar>
          </w:tcPr>
          <w:p>
            <w:pPr>
              <w:spacing w:after="0" w:line="240"/>
            </w:pPr>
            <w:r>
              <w:rPr>
                <w:b w:val="false"/>
                <w:bCs w:val="false"/>
                <w:sz w:val="18"/>
                <w:szCs w:val="18"/>
              </w:rPr>
              <w:t xml:space="preserve">2.57×10⁹ m</w:t>
            </w:r>
          </w:p>
        </w:tc>
        <w:tc>
          <w:tcPr>
            <w:tcW w:type="dxa" w:w="1900"/>
            <w:tcMar>
              <w:top w:type="dxa" w:w="60"/>
              <w:left w:type="dxa" w:w="100"/>
              <w:bottom w:type="dxa" w:w="60"/>
              <w:right w:type="dxa" w:w="100"/>
            </w:tcMar>
          </w:tcPr>
          <w:p>
            <w:pPr>
              <w:spacing w:after="0" w:line="240"/>
            </w:pPr>
            <w:r>
              <w:rPr>
                <w:b w:val="false"/>
                <w:bCs w:val="false"/>
                <w:sz w:val="18"/>
                <w:szCs w:val="18"/>
              </w:rPr>
              <w:t xml:space="preserve">5 / 2.57×10⁹ m</w:t>
            </w:r>
          </w:p>
        </w:tc>
        <w:tc>
          <w:tcPr>
            <w:tcW w:type="dxa" w:w="1900"/>
            <w:tcMar>
              <w:top w:type="dxa" w:w="60"/>
              <w:left w:type="dxa" w:w="100"/>
              <w:bottom w:type="dxa" w:w="60"/>
              <w:right w:type="dxa" w:w="100"/>
            </w:tcMar>
          </w:tcPr>
          <w:p>
            <w:pPr>
              <w:spacing w:after="0" w:line="240"/>
            </w:pPr>
            <w:r>
              <w:rPr>
                <w:b w:val="false"/>
                <w:bCs w:val="false"/>
                <w:sz w:val="18"/>
                <w:szCs w:val="18"/>
              </w:rPr>
              <w:t xml:space="preserve">8 / 3.21×10⁸ m</w:t>
            </w:r>
          </w:p>
        </w:tc>
        <w:tc>
          <w:tcPr>
            <w:tcW w:type="dxa" w:w="1400"/>
            <w:tcMar>
              <w:top w:type="dxa" w:w="60"/>
              <w:left w:type="dxa" w:w="100"/>
              <w:bottom w:type="dxa" w:w="60"/>
              <w:right w:type="dxa" w:w="100"/>
            </w:tcMar>
          </w:tcPr>
          <w:p>
            <w:pPr>
              <w:spacing w:after="0" w:line="240"/>
            </w:pPr>
            <w:r>
              <w:rPr>
                <w:b w:val="false"/>
                <w:bCs w:val="false"/>
                <w:sz w:val="18"/>
                <w:szCs w:val="18"/>
              </w:rPr>
              <w:t xml:space="preserve">3.92×10⁹ m</w:t>
            </w:r>
          </w:p>
        </w:tc>
        <w:tc>
          <w:tcPr>
            <w:tcW w:type="dxa" w:w="1580"/>
            <w:tcMar>
              <w:top w:type="dxa" w:w="60"/>
              <w:left w:type="dxa" w:w="100"/>
              <w:bottom w:type="dxa" w:w="60"/>
              <w:right w:type="dxa" w:w="100"/>
            </w:tcMar>
          </w:tcPr>
          <w:p>
            <w:pPr>
              <w:spacing w:after="0" w:line="240"/>
            </w:pPr>
            <w:r>
              <w:rPr>
                <w:b w:val="false"/>
                <w:bCs w:val="false"/>
                <w:sz w:val="18"/>
                <w:szCs w:val="18"/>
              </w:rPr>
              <w:t xml:space="preserve">24</w:t>
            </w:r>
          </w:p>
        </w:tc>
      </w:tr>
      <w:tr>
        <w:tc>
          <w:tcPr>
            <w:tcW w:type="dxa" w:w="1500"/>
            <w:shd w:fill="EEF1F6" w:val="clear"/>
            <w:tcMar>
              <w:top w:type="dxa" w:w="60"/>
              <w:left w:type="dxa" w:w="100"/>
              <w:bottom w:type="dxa" w:w="60"/>
              <w:right w:type="dxa" w:w="100"/>
            </w:tcMar>
          </w:tcPr>
          <w:p>
            <w:pPr>
              <w:spacing w:after="0" w:line="240"/>
            </w:pPr>
            <w:r>
              <w:rPr>
                <w:b w:val="false"/>
                <w:bCs w:val="false"/>
                <w:sz w:val="18"/>
                <w:szCs w:val="18"/>
              </w:rPr>
              <w:t xml:space="preserve">1.0 AU</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2.57×10⁹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5 / 2.57×10⁹ m</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8 / 3.21×10⁸ m</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7.84×10⁹ m</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49</w:t>
            </w:r>
          </w:p>
        </w:tc>
      </w:tr>
    </w:tbl>
    <w:p>
      <w:pPr>
        <w:spacing w:after="140"/>
      </w:pPr>
    </w:p>
    <w:p>
      <w:pPr>
        <w:spacing w:after="120" w:line="264"/>
        <w:jc w:val="left"/>
      </w:pPr>
      <w:r>
        <w:rPr>
          <w:b w:val="false"/>
          <w:bCs w:val="false"/>
          <w:i w:val="false"/>
          <w:iCs w:val="false"/>
        </w:rPr>
        <w:t xml:space="preserve">Two features of this table are worth commenting on. First, inside r_t the number of cells across the tube is small (8–15) because the conical tube and the α = 1 ambient law scale identically — the tube and the mesh grow together. If more transverse resolution is needed in the inner corona, the correct knob is </w:t>
      </w:r>
      <w:r>
        <w:rPr>
          <w:rFonts w:ascii="Consolas" w:cs="Consolas" w:eastAsia="Consolas" w:hAnsi="Consolas"/>
          <w:b w:val="false"/>
          <w:bCs w:val="false"/>
          <w:i w:val="false"/>
          <w:iCs w:val="false"/>
          <w:sz w:val="19"/>
          <w:szCs w:val="19"/>
        </w:rPr>
        <w:t xml:space="preserve">--flux-tube-levels</w:t>
      </w:r>
      <w:r>
        <w:rPr>
          <w:b w:val="false"/>
          <w:bCs w:val="false"/>
          <w:i w:val="false"/>
          <w:iCs w:val="false"/>
        </w:rPr>
        <w:t xml:space="preserve">, not the tube width. Second, beyond r_t the tube widens linearly while the ambient mesh is fixed, so the transverse cell count grows to about 49 at 1 AU — which is a well-resolved tube by any standard.</w:t>
      </w:r>
    </w:p>
    <w:p>
      <w:pPr>
        <w:spacing w:after="120" w:line="264"/>
        <w:jc w:val="left"/>
      </w:pPr>
      <w:r>
        <w:t xml:space="preserve">The number of cells along the field line from the inner boundary to 1 AU, which is the quantity directly comparable to the vertex count of a srcSEP 1-D field line, is</w:t>
      </w:r>
    </w:p>
    <w:p>
      <w:pPr>
        <w:spacing w:after="40" w:before="80"/>
        <w:ind w:left="400"/>
      </w:pPr>
      <w:r>
        <w:rPr>
          <w:rFonts w:ascii="Cambria" w:cs="Cambria" w:eastAsia="Cambria" w:hAnsi="Cambria"/>
          <w:i/>
          <w:iCs/>
          <w:sz w:val="21"/>
          <w:szCs w:val="21"/>
        </w:rPr>
        <w:t xml:space="preserve">N∥ = ∫ ds / Δ_tube  ≈  2^Λ [ (R☉/Δ₀) ln(r_t/r_in) ]  +  (L_spiral(r_t → 1AU) · 2^Λ / Δ_bg)</w:t>
      </w:r>
    </w:p>
    <w:p>
      <w:pPr>
        <w:spacing w:after="140" w:before="0"/>
        <w:ind w:left="400"/>
      </w:pPr>
      <w:r>
        <w:rPr>
          <w:rFonts w:ascii="Cambria" w:cs="Cambria" w:eastAsia="Cambria" w:hAnsi="Cambria"/>
          <w:i/>
          <w:iCs/>
          <w:sz w:val="21"/>
          <w:szCs w:val="21"/>
        </w:rPr>
        <w:t xml:space="preserve">   ≈  8 × (10 × 3.55)  +  (1.43×10¹¹ × 8 / 2.57×10⁹)  ≈  284 + 446  ≈  730 cells</w:t>
      </w:r>
    </w:p>
    <w:p>
      <w:pPr>
        <w:spacing w:after="120" w:line="264"/>
        <w:jc w:val="left"/>
      </w:pPr>
      <w:r>
        <w:rPr>
          <w:b w:val="false"/>
          <w:bCs w:val="false"/>
          <w:i w:val="false"/>
          <w:iCs w:val="false"/>
        </w:rPr>
        <w:t xml:space="preserve">about 730 cells along the tube for the default configuration, rising to roughly 1,460 at ΔL_tube = 4. srcSEP 1-D field lines typically carry a few hundred to a few thousand vertices, so the default 3-D tube is comparable to a moderately resolved 1-D run — which is exactly the condition needed for the Stage-3 cross-model comparison to be meaningful.</w:t>
      </w:r>
    </w:p>
    <w:p>
      <w:pPr>
        <w:pStyle w:val="Heading2"/>
        <w:spacing w:after="120" w:before="280"/>
      </w:pPr>
      <w:r>
        <w:t xml:space="preserve">6.5 The 2:1 balance constraint on the shoulder</w:t>
      </w:r>
    </w:p>
    <w:p>
      <w:pPr>
        <w:spacing w:after="120" w:line="264"/>
        <w:jc w:val="left"/>
      </w:pPr>
      <w:r>
        <w:rPr>
          <w:b w:val="false"/>
          <w:bCs w:val="false"/>
          <w:i w:val="false"/>
          <w:iCs w:val="false"/>
        </w:rPr>
        <w:t xml:space="preserve">AMPS will not produce a Λ-level jump across a single block face. If the requested shoulder is narrower than the space the balancing pass needs, the mesh generator silently widens it. That is not a bug, but it does mean a user can request a narrow tube and receive a wide one. srcSEP3D makes this explicit.</w:t>
      </w:r>
    </w:p>
    <w:p>
      <w:pPr>
        <w:spacing w:after="120" w:line="264"/>
        <w:jc w:val="left"/>
      </w:pPr>
      <w:r>
        <w:t xml:space="preserve">Holding each intermediate level for at least one block requires a geometric shoulder width of</w:t>
      </w:r>
    </w:p>
    <w:p>
      <w:pPr>
        <w:spacing w:after="140" w:before="80"/>
        <w:ind w:left="400"/>
      </w:pPr>
      <w:r>
        <w:rPr>
          <w:rFonts w:ascii="Cambria" w:cs="Cambria" w:eastAsia="Cambria" w:hAnsi="Cambria"/>
          <w:i/>
          <w:iCs/>
          <w:sz w:val="21"/>
          <w:szCs w:val="21"/>
        </w:rPr>
        <w:t xml:space="preserve">W_min(r) = Σ_{j=0}^{Λ−1} N_bc Δ_amb 2^{−j}  =  N_bc Δ_amb ( 2 − 2^{1−Λ} )  &lt;  2 N_bc Δ_amb</w:t>
      </w:r>
    </w:p>
    <w:p>
      <w:pPr>
        <w:spacing w:after="120" w:line="264"/>
        <w:jc w:val="left"/>
      </w:pPr>
      <w:r>
        <w:t xml:space="preserve">and the tanh profile delivers a geometric transition band of</w:t>
      </w:r>
    </w:p>
    <w:p>
      <w:pPr>
        <w:spacing w:after="140" w:before="80"/>
        <w:ind w:left="400"/>
      </w:pPr>
      <w:r>
        <w:rPr>
          <w:rFonts w:ascii="Cambria" w:cs="Cambria" w:eastAsia="Cambria" w:hAnsi="Cambria"/>
          <w:i/>
          <w:iCs/>
          <w:sz w:val="21"/>
          <w:szCs w:val="21"/>
        </w:rPr>
        <w:t xml:space="preserve">W_band = 2 h · atanh( 1 − 2/Λ )</w:t>
      </w:r>
    </w:p>
    <w:p>
      <w:pPr>
        <w:spacing w:after="120" w:line="264"/>
        <w:jc w:val="left"/>
      </w:pPr>
      <w:r>
        <w:rPr>
          <w:b w:val="false"/>
          <w:bCs w:val="false"/>
          <w:i w:val="false"/>
          <w:iCs w:val="false"/>
        </w:rPr>
        <w:t xml:space="preserve">Requiring W_band ≥ ζ Λ N_bc Δ_amb with a safety factor ζ (default 1.2) gives a lower bound on the shoulder scale,</w:t>
      </w:r>
    </w:p>
    <w:p>
      <w:pPr>
        <w:spacing w:after="140" w:before="80"/>
        <w:ind w:left="400"/>
      </w:pPr>
      <w:r>
        <w:rPr>
          <w:rFonts w:ascii="Cambria" w:cs="Cambria" w:eastAsia="Cambria" w:hAnsi="Cambria"/>
          <w:i/>
          <w:iCs/>
          <w:sz w:val="21"/>
          <w:szCs w:val="21"/>
        </w:rPr>
        <w:t xml:space="preserve">h_min(r) = ζ Λ N_bc Δ_amb(r) / [ 2 atanh(1 − 2/Λ) ]</w:t>
      </w:r>
    </w:p>
    <w:p>
      <w:pPr>
        <w:spacing w:after="120" w:line="264"/>
        <w:jc w:val="left"/>
      </w:pPr>
      <w:r>
        <w:rPr>
          <w:b w:val="false"/>
          <w:bCs w:val="false"/>
          <w:i w:val="false"/>
          <w:iCs w:val="false"/>
        </w:rPr>
        <w:t xml:space="preserve">which for Λ = 3, N_bc = 4, ζ = 1.2 evaluates to h_min ≈ 8.9 Δ_amb. The implementation uses h(r) = max( σ w(r), h_min(r) ) with σ from </w:t>
      </w:r>
      <w:r>
        <w:rPr>
          <w:rFonts w:ascii="Consolas" w:cs="Consolas" w:eastAsia="Consolas" w:hAnsi="Consolas"/>
          <w:b w:val="false"/>
          <w:bCs w:val="false"/>
          <w:i w:val="false"/>
          <w:iCs w:val="false"/>
          <w:sz w:val="19"/>
          <w:szCs w:val="19"/>
        </w:rPr>
        <w:t xml:space="preserve">--flux-tube-shoulder</w:t>
      </w:r>
      <w:r>
        <w:rPr>
          <w:b w:val="false"/>
          <w:bCs w:val="false"/>
          <w:i w:val="false"/>
          <w:iCs w:val="false"/>
        </w:rPr>
        <w:t xml:space="preserve">, and reports at startup, per radial decade, whether the requested shoulder or the balance floor is binding. At the defaults the balance floor binds beyond about 0.35 AU, where h_min ≈ 2.3×10¹⁰ m exceeds 0.25 w. The practical reading is that the effectively refined footprint at 1 AU is about three times the nominal tube half-width — worth knowing before the run, not after.</w:t>
      </w:r>
    </w:p>
    <w:p>
      <w:pPr>
        <w:pStyle w:val="ListParagraph"/>
        <w:numPr>
          <w:ilvl w:val="0"/>
          <w:numId w:val="3"/>
        </w:numPr>
        <w:spacing w:after="60" w:line="264"/>
      </w:pPr>
      <w:r>
        <w:t xml:space="preserve">If a genuinely narrow refined tube is required at 1 AU, the options are: reduce Λ, increase Δ_bg’s level (a finer background makes the balance floor smaller in absolute terms only if N_bc Δ_amb shrinks — it does, linearly), or increase ψ so the nominal tube is comparable to the balance width. The startup report names which of these would help.</w:t>
      </w:r>
    </w:p>
    <w:p>
      <w:pPr>
        <w:pStyle w:val="Heading2"/>
        <w:spacing w:after="120" w:before="280"/>
      </w:pPr>
      <w:r>
        <w:t xml:space="preserve">6.6 Reference implementation</w:t>
      </w:r>
    </w:p>
    <w:p>
      <w:pPr>
        <w:spacing w:after="120" w:line="264"/>
        <w:jc w:val="left"/>
      </w:pPr>
      <w:r>
        <w:rPr>
          <w:b w:val="false"/>
          <w:bCs w:val="false"/>
          <w:i w:val="false"/>
          <w:iCs w:val="false"/>
        </w:rPr>
        <w:t xml:space="preserve">The law lives in </w:t>
      </w:r>
      <w:r>
        <w:rPr>
          <w:rFonts w:ascii="Consolas" w:cs="Consolas" w:eastAsia="Consolas" w:hAnsi="Consolas"/>
          <w:b w:val="false"/>
          <w:bCs w:val="false"/>
          <w:i w:val="false"/>
          <w:iCs w:val="false"/>
          <w:sz w:val="19"/>
          <w:szCs w:val="19"/>
        </w:rPr>
        <w:t xml:space="preserve">core/sep3d_mesh_resolution.{h,cpp}</w:t>
      </w:r>
      <w:r>
        <w:rPr>
          <w:b w:val="false"/>
          <w:bCs w:val="false"/>
          <w:i w:val="false"/>
          <w:iCs w:val="false"/>
        </w:rPr>
        <w:t xml:space="preserve"> with no AMPS dependency, so it can be swept, plotted, and tested standalone. The AMPS callback is a four-line wrapper.</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 core/sep3d_mesh_resolution.h  (L0 - no pic.h)</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struct ResolutionConfig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domainHalfWidthM   = 1.10 * AU;</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rootCellM          = 0.0;      // derived: 2*halfWidth / N_bc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int    blockCells         = 4;        // _BLOCK_CELLS_X_</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int    maxLevel           = 14;</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backgroundM        = 2.57e9;   // Delta_bg</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innerBoundaryM     = 1.05 * R_SUN;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RadialLaw radialLaw       = RadialLaw::PowerLaw;</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solarSurfaceM   = 0.10 * R_SUN;   // Delta_0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radialExponent  = 1.0;            // alpha</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radialScaleHtM  = 0.0;            // H, exponential law only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std::vector&lt;FluxTubeSpec&gt; tubes;   // each: seed, psi, widthLaw,</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levels, shoulder sigma</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double floorM             = 0.0;   // derived from maxLevel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RequestedResolutionM(const ResolutionConfig&amp; c, const Vec3&amp; x);</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int    RefinementLevel     (const ResolutionConfig&amp; c, const Vec3&amp; x);</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Standalone octree emulator: reproduces the AMPS build decision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(block mid-point + all corner/ghost probes, 2:1 balancing) so the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level map, leaf count, and memory can be predicted without AMPS.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LevelMapStatistics BuildLevelMap(const ResolutionConfig&amp; 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amps/amps_mesh.cpp  (L2)</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static SEP3D::Core::Mesh::ResolutionConfig gResolutionConfig;</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double localResolution(double *x)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return SEP3D::Core::Mesh::RequestedResolutionM(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gResolutionConfig, SEP3D::Core::Vec3(x[0], x[1], x[2]));</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w:t>
      </w:r>
    </w:p>
    <w:p>
      <w:pPr>
        <w:spacing w:after="120" w:line="264"/>
        <w:jc w:val="left"/>
      </w:pPr>
      <w:r>
        <w:rPr>
          <w:b w:val="false"/>
          <w:bCs w:val="false"/>
          <w:i w:val="false"/>
          <w:iCs w:val="false"/>
        </w:rPr>
        <w:t xml:space="preserve">The standalone octree emulator (</w:t>
      </w:r>
      <w:r>
        <w:rPr>
          <w:rFonts w:ascii="Consolas" w:cs="Consolas" w:eastAsia="Consolas" w:hAnsi="Consolas"/>
          <w:b w:val="false"/>
          <w:bCs w:val="false"/>
          <w:i w:val="false"/>
          <w:iCs w:val="false"/>
          <w:sz w:val="19"/>
          <w:szCs w:val="19"/>
        </w:rPr>
        <w:t xml:space="preserve">BuildLevelMap</w:t>
      </w:r>
      <w:r>
        <w:rPr>
          <w:b w:val="false"/>
          <w:bCs w:val="false"/>
          <w:i w:val="false"/>
          <w:iCs w:val="false"/>
        </w:rPr>
        <w:t xml:space="preserve">) is a deliberate investment. It reproduces the AMPS refinement decision — mid-point plus corner-and-ghost probes, power-of-two quantisation, and 2:1 balancing — over the same root block, and returns the leaf count per level, the total cell count, the estimated memory, and the maximum level jump between neighbours. It makes six of the Stage-1 mesh tests possible, it lets a user sweep the five resolution knobs in seconds instead of hours, and it gives Stage 2 an exact expected answer to compare the real mesh against.</w:t>
      </w:r>
    </w:p>
    <w:p>
      <w:pPr>
        <w:pStyle w:val="Heading2"/>
        <w:spacing w:after="120" w:before="280"/>
      </w:pPr>
      <w:r>
        <w:t xml:space="preserve">6.7 Memory budget</w:t>
      </w:r>
    </w:p>
    <w:p>
      <w:pPr>
        <w:spacing w:after="120" w:line="264"/>
        <w:jc w:val="left"/>
      </w:pPr>
      <w:r>
        <w:t xml:space="preserve">Per-cell background storage with the derived-scalar layout recommended in Section 5.2 and Section 7.3:</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4000"/>
        <w:gridCol w:w="1400"/>
        <w:gridCol w:w="4680"/>
      </w:tblGrid>
      <w:tr>
        <w:trPr>
          <w:tblHeader/>
        </w:trPr>
        <w:tc>
          <w:tcPr>
            <w:tcW w:type="dxa" w:w="4000"/>
            <w:shd w:fill="1F3864" w:val="clear"/>
            <w:tcMar>
              <w:top w:type="dxa" w:w="60"/>
              <w:left w:type="dxa" w:w="100"/>
              <w:bottom w:type="dxa" w:w="60"/>
              <w:right w:type="dxa" w:w="100"/>
            </w:tcMar>
          </w:tcPr>
          <w:p>
            <w:pPr>
              <w:spacing w:after="0" w:line="240"/>
            </w:pPr>
            <w:r>
              <w:rPr>
                <w:b/>
                <w:bCs/>
                <w:color w:val="FFFFFF"/>
                <w:sz w:val="18"/>
                <w:szCs w:val="18"/>
              </w:rPr>
              <w:t xml:space="preserve">Stored quantity</w:t>
            </w:r>
          </w:p>
        </w:tc>
        <w:tc>
          <w:tcPr>
            <w:tcW w:type="dxa" w:w="1400"/>
            <w:shd w:fill="1F3864" w:val="clear"/>
            <w:tcMar>
              <w:top w:type="dxa" w:w="60"/>
              <w:left w:type="dxa" w:w="100"/>
              <w:bottom w:type="dxa" w:w="60"/>
              <w:right w:type="dxa" w:w="100"/>
            </w:tcMar>
          </w:tcPr>
          <w:p>
            <w:pPr>
              <w:spacing w:after="0" w:line="240"/>
            </w:pPr>
            <w:r>
              <w:rPr>
                <w:b/>
                <w:bCs/>
                <w:color w:val="FFFFFF"/>
                <w:sz w:val="18"/>
                <w:szCs w:val="18"/>
              </w:rPr>
              <w:t xml:space="preserve">Doubles</w:t>
            </w:r>
          </w:p>
        </w:tc>
        <w:tc>
          <w:tcPr>
            <w:tcW w:type="dxa" w:w="4680"/>
            <w:shd w:fill="1F3864" w:val="clear"/>
            <w:tcMar>
              <w:top w:type="dxa" w:w="60"/>
              <w:left w:type="dxa" w:w="100"/>
              <w:bottom w:type="dxa" w:w="60"/>
              <w:right w:type="dxa" w:w="100"/>
            </w:tcMar>
          </w:tcPr>
          <w:p>
            <w:pPr>
              <w:spacing w:after="0" w:line="240"/>
            </w:pPr>
            <w:r>
              <w:rPr>
                <w:b/>
                <w:bCs/>
                <w:color w:val="FFFFFF"/>
                <w:sz w:val="18"/>
                <w:szCs w:val="18"/>
              </w:rPr>
              <w:t xml:space="preserve">Note</w:t>
            </w:r>
          </w:p>
        </w:tc>
      </w:tr>
      <w:tr>
        <w:tc>
          <w:tcPr>
            <w:tcW w:type="dxa" w:w="4000"/>
            <w:tcMar>
              <w:top w:type="dxa" w:w="60"/>
              <w:left w:type="dxa" w:w="100"/>
              <w:bottom w:type="dxa" w:w="60"/>
              <w:right w:type="dxa" w:w="100"/>
            </w:tcMar>
          </w:tcPr>
          <w:p>
            <w:pPr>
              <w:spacing w:after="0" w:line="240"/>
            </w:pPr>
            <w:r>
              <w:rPr>
                <w:b w:val="false"/>
                <w:bCs w:val="false"/>
                <w:sz w:val="18"/>
                <w:szCs w:val="18"/>
              </w:rPr>
              <w:t xml:space="preserve">B</w:t>
            </w:r>
          </w:p>
        </w:tc>
        <w:tc>
          <w:tcPr>
            <w:tcW w:type="dxa" w:w="1400"/>
            <w:tcMar>
              <w:top w:type="dxa" w:w="60"/>
              <w:left w:type="dxa" w:w="100"/>
              <w:bottom w:type="dxa" w:w="60"/>
              <w:right w:type="dxa" w:w="100"/>
            </w:tcMar>
          </w:tcPr>
          <w:p>
            <w:pPr>
              <w:spacing w:after="0" w:line="240"/>
            </w:pPr>
            <w:r>
              <w:rPr>
                <w:b w:val="false"/>
                <w:bCs w:val="false"/>
                <w:sz w:val="18"/>
                <w:szCs w:val="18"/>
              </w:rPr>
              <w:t xml:space="preserve">3</w:t>
            </w:r>
          </w:p>
        </w:tc>
        <w:tc>
          <w:tcPr>
            <w:tcW w:type="dxa" w:w="4680"/>
            <w:tcMar>
              <w:top w:type="dxa" w:w="60"/>
              <w:left w:type="dxa" w:w="100"/>
              <w:bottom w:type="dxa" w:w="60"/>
              <w:right w:type="dxa" w:w="100"/>
            </w:tcMar>
          </w:tcPr>
          <w:p>
            <w:pPr>
              <w:spacing w:after="0" w:line="240"/>
            </w:pPr>
            <w:r>
              <w:rPr>
                <w:b w:val="false"/>
                <w:bCs w:val="false"/>
                <w:sz w:val="18"/>
                <w:szCs w:val="18"/>
              </w:rPr>
              <w:t xml:space="preserve"/>
            </w:r>
          </w:p>
        </w:tc>
      </w:tr>
      <w:tr>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∇|B|</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3</w:t>
            </w:r>
          </w:p>
        </w:tc>
        <w:tc>
          <w:tcPr>
            <w:tcW w:type="dxa" w:w="4680"/>
            <w:shd w:fill="EEF1F6" w:val="clear"/>
            <w:tcMar>
              <w:top w:type="dxa" w:w="60"/>
              <w:left w:type="dxa" w:w="100"/>
              <w:bottom w:type="dxa" w:w="60"/>
              <w:right w:type="dxa" w:w="100"/>
            </w:tcMar>
          </w:tcPr>
          <w:p>
            <w:pPr>
              <w:spacing w:after="0" w:line="240"/>
            </w:pPr>
            <w:r>
              <w:rPr>
                <w:b w:val="false"/>
                <w:bCs w:val="false"/>
                <w:sz w:val="18"/>
                <w:szCs w:val="18"/>
              </w:rPr>
              <w:t xml:space="preserve">Replaces the full 9-component ∇B; sufficient for κ∥ gradients</w:t>
            </w:r>
          </w:p>
        </w:tc>
      </w:tr>
      <w:tr>
        <w:tc>
          <w:tcPr>
            <w:tcW w:type="dxa" w:w="4000"/>
            <w:tcMar>
              <w:top w:type="dxa" w:w="60"/>
              <w:left w:type="dxa" w:w="100"/>
              <w:bottom w:type="dxa" w:w="60"/>
              <w:right w:type="dxa" w:w="100"/>
            </w:tcMar>
          </w:tcPr>
          <w:p>
            <w:pPr>
              <w:spacing w:after="0" w:line="240"/>
            </w:pPr>
            <w:r>
              <w:rPr>
                <w:b w:val="false"/>
                <w:bCs w:val="false"/>
                <w:sz w:val="18"/>
                <w:szCs w:val="18"/>
              </w:rPr>
              <w:t xml:space="preserve">∇·b̂</w:t>
            </w:r>
          </w:p>
        </w:tc>
        <w:tc>
          <w:tcPr>
            <w:tcW w:type="dxa" w:w="1400"/>
            <w:tcMar>
              <w:top w:type="dxa" w:w="60"/>
              <w:left w:type="dxa" w:w="100"/>
              <w:bottom w:type="dxa" w:w="60"/>
              <w:right w:type="dxa" w:w="100"/>
            </w:tcMar>
          </w:tcPr>
          <w:p>
            <w:pPr>
              <w:spacing w:after="0" w:line="240"/>
            </w:pPr>
            <w:r>
              <w:rPr>
                <w:b w:val="false"/>
                <w:bCs w:val="false"/>
                <w:sz w:val="18"/>
                <w:szCs w:val="18"/>
              </w:rPr>
              <w:t xml:space="preserve">1</w:t>
            </w:r>
          </w:p>
        </w:tc>
        <w:tc>
          <w:tcPr>
            <w:tcW w:type="dxa" w:w="4680"/>
            <w:tcMar>
              <w:top w:type="dxa" w:w="60"/>
              <w:left w:type="dxa" w:w="100"/>
              <w:bottom w:type="dxa" w:w="60"/>
              <w:right w:type="dxa" w:w="100"/>
            </w:tcMar>
          </w:tcPr>
          <w:p>
            <w:pPr>
              <w:spacing w:after="0" w:line="240"/>
            </w:pPr>
            <w:r>
              <w:rPr>
                <w:b w:val="false"/>
                <w:bCs w:val="false"/>
                <w:sz w:val="18"/>
                <w:szCs w:val="18"/>
              </w:rPr>
              <w:t xml:space="preserve">= −1/L_B; precomputed at the cell so it is interpolated as a scalar</w:t>
            </w:r>
          </w:p>
        </w:tc>
      </w:tr>
      <w:tr>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(b̂·∇)b̂</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3</w:t>
            </w:r>
          </w:p>
        </w:tc>
        <w:tc>
          <w:tcPr>
            <w:tcW w:type="dxa" w:w="4680"/>
            <w:shd w:fill="EEF1F6" w:val="clear"/>
            <w:tcMar>
              <w:top w:type="dxa" w:w="60"/>
              <w:left w:type="dxa" w:w="100"/>
              <w:bottom w:type="dxa" w:w="60"/>
              <w:right w:type="dxa" w:w="100"/>
            </w:tcMar>
          </w:tcPr>
          <w:p>
            <w:pPr>
              <w:spacing w:after="0" w:line="240"/>
            </w:pPr>
            <w:r>
              <w:rPr>
                <w:b w:val="false"/>
                <w:bCs w:val="false"/>
                <w:sz w:val="18"/>
                <w:szCs w:val="18"/>
              </w:rPr>
              <w:t xml:space="preserve">Field-line curvature vector; needed for the Itô drift</w:t>
            </w:r>
          </w:p>
        </w:tc>
      </w:tr>
      <w:tr>
        <w:tc>
          <w:tcPr>
            <w:tcW w:type="dxa" w:w="4000"/>
            <w:tcMar>
              <w:top w:type="dxa" w:w="60"/>
              <w:left w:type="dxa" w:w="100"/>
              <w:bottom w:type="dxa" w:w="60"/>
              <w:right w:type="dxa" w:w="100"/>
            </w:tcMar>
          </w:tcPr>
          <w:p>
            <w:pPr>
              <w:spacing w:after="0" w:line="240"/>
            </w:pPr>
            <w:r>
              <w:rPr>
                <w:b w:val="false"/>
                <w:bCs w:val="false"/>
                <w:sz w:val="18"/>
                <w:szCs w:val="18"/>
              </w:rPr>
              <w:t xml:space="preserve">U</w:t>
            </w:r>
          </w:p>
        </w:tc>
        <w:tc>
          <w:tcPr>
            <w:tcW w:type="dxa" w:w="1400"/>
            <w:tcMar>
              <w:top w:type="dxa" w:w="60"/>
              <w:left w:type="dxa" w:w="100"/>
              <w:bottom w:type="dxa" w:w="60"/>
              <w:right w:type="dxa" w:w="100"/>
            </w:tcMar>
          </w:tcPr>
          <w:p>
            <w:pPr>
              <w:spacing w:after="0" w:line="240"/>
            </w:pPr>
            <w:r>
              <w:rPr>
                <w:b w:val="false"/>
                <w:bCs w:val="false"/>
                <w:sz w:val="18"/>
                <w:szCs w:val="18"/>
              </w:rPr>
              <w:t xml:space="preserve">3</w:t>
            </w:r>
          </w:p>
        </w:tc>
        <w:tc>
          <w:tcPr>
            <w:tcW w:type="dxa" w:w="4680"/>
            <w:tcMar>
              <w:top w:type="dxa" w:w="60"/>
              <w:left w:type="dxa" w:w="100"/>
              <w:bottom w:type="dxa" w:w="60"/>
              <w:right w:type="dxa" w:w="100"/>
            </w:tcMar>
          </w:tcPr>
          <w:p>
            <w:pPr>
              <w:spacing w:after="0" w:line="240"/>
            </w:pPr>
            <w:r>
              <w:rPr>
                <w:b w:val="false"/>
                <w:bCs w:val="false"/>
                <w:sz w:val="18"/>
                <w:szCs w:val="18"/>
              </w:rPr>
              <w:t xml:space="preserve"/>
            </w:r>
          </w:p>
        </w:tc>
      </w:tr>
      <w:tr>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∇·U</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1</w:t>
            </w:r>
          </w:p>
        </w:tc>
        <w:tc>
          <w:tcPr>
            <w:tcW w:type="dxa" w:w="4680"/>
            <w:shd w:fill="EEF1F6" w:val="clear"/>
            <w:tcMar>
              <w:top w:type="dxa" w:w="60"/>
              <w:left w:type="dxa" w:w="100"/>
              <w:bottom w:type="dxa" w:w="60"/>
              <w:right w:type="dxa" w:w="100"/>
            </w:tcMar>
          </w:tcPr>
          <w:p>
            <w:pPr>
              <w:spacing w:after="0" w:line="240"/>
            </w:pPr>
            <w:r>
              <w:rPr>
                <w:b w:val="false"/>
                <w:bCs w:val="false"/>
                <w:sz w:val="18"/>
                <w:szCs w:val="18"/>
              </w:rPr>
              <w:t xml:space="preserve">Analytic from the provider when available</w:t>
            </w:r>
          </w:p>
        </w:tc>
      </w:tr>
      <w:tr>
        <w:tc>
          <w:tcPr>
            <w:tcW w:type="dxa" w:w="4000"/>
            <w:tcMar>
              <w:top w:type="dxa" w:w="60"/>
              <w:left w:type="dxa" w:w="100"/>
              <w:bottom w:type="dxa" w:w="60"/>
              <w:right w:type="dxa" w:w="100"/>
            </w:tcMar>
          </w:tcPr>
          <w:p>
            <w:pPr>
              <w:spacing w:after="0" w:line="240"/>
            </w:pPr>
            <w:r>
              <w:rPr>
                <w:b w:val="false"/>
                <w:bCs w:val="false"/>
                <w:sz w:val="18"/>
                <w:szCs w:val="18"/>
              </w:rPr>
              <w:t xml:space="preserve">b̂b̂:∇U</w:t>
            </w:r>
          </w:p>
        </w:tc>
        <w:tc>
          <w:tcPr>
            <w:tcW w:type="dxa" w:w="1400"/>
            <w:tcMar>
              <w:top w:type="dxa" w:w="60"/>
              <w:left w:type="dxa" w:w="100"/>
              <w:bottom w:type="dxa" w:w="60"/>
              <w:right w:type="dxa" w:w="100"/>
            </w:tcMar>
          </w:tcPr>
          <w:p>
            <w:pPr>
              <w:spacing w:after="0" w:line="240"/>
            </w:pPr>
            <w:r>
              <w:rPr>
                <w:b w:val="false"/>
                <w:bCs w:val="false"/>
                <w:sz w:val="18"/>
                <w:szCs w:val="18"/>
              </w:rPr>
              <w:t xml:space="preserve">1</w:t>
            </w:r>
          </w:p>
        </w:tc>
        <w:tc>
          <w:tcPr>
            <w:tcW w:type="dxa" w:w="4680"/>
            <w:tcMar>
              <w:top w:type="dxa" w:w="60"/>
              <w:left w:type="dxa" w:w="100"/>
              <w:bottom w:type="dxa" w:w="60"/>
              <w:right w:type="dxa" w:w="100"/>
            </w:tcMar>
          </w:tcPr>
          <w:p>
            <w:pPr>
              <w:spacing w:after="0" w:line="240"/>
            </w:pPr>
            <w:r>
              <w:rPr>
                <w:b w:val="false"/>
                <w:bCs w:val="false"/>
                <w:sz w:val="18"/>
                <w:szCs w:val="18"/>
              </w:rPr>
              <w:t xml:space="preserve">Precomputed at the cell using the cell’s own b̂</w:t>
            </w:r>
          </w:p>
        </w:tc>
      </w:tr>
      <w:tr>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n, T, p</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3</w:t>
            </w:r>
          </w:p>
        </w:tc>
        <w:tc>
          <w:tcPr>
            <w:tcW w:type="dxa" w:w="4680"/>
            <w:shd w:fill="EEF1F6" w:val="clear"/>
            <w:tcMar>
              <w:top w:type="dxa" w:w="60"/>
              <w:left w:type="dxa" w:w="100"/>
              <w:bottom w:type="dxa" w:w="60"/>
              <w:right w:type="dxa" w:w="100"/>
            </w:tcMar>
          </w:tcPr>
          <w:p>
            <w:pPr>
              <w:spacing w:after="0" w:line="240"/>
            </w:pPr>
            <w:r>
              <w:rPr>
                <w:b w:val="false"/>
                <w:bCs w:val="false"/>
                <w:sz w:val="18"/>
                <w:szCs w:val="18"/>
              </w:rPr>
              <w:t xml:space="preserve"/>
            </w:r>
          </w:p>
        </w:tc>
      </w:tr>
      <w:tr>
        <w:tc>
          <w:tcPr>
            <w:tcW w:type="dxa" w:w="4000"/>
            <w:tcMar>
              <w:top w:type="dxa" w:w="60"/>
              <w:left w:type="dxa" w:w="100"/>
              <w:bottom w:type="dxa" w:w="60"/>
              <w:right w:type="dxa" w:w="100"/>
            </w:tcMar>
          </w:tcPr>
          <w:p>
            <w:pPr>
              <w:spacing w:after="0" w:line="240"/>
            </w:pPr>
            <w:r>
              <w:rPr>
                <w:b w:val="false"/>
                <w:bCs w:val="false"/>
                <w:sz w:val="18"/>
                <w:szCs w:val="18"/>
              </w:rPr>
              <w:t xml:space="preserve">validity flag</w:t>
            </w:r>
          </w:p>
        </w:tc>
        <w:tc>
          <w:tcPr>
            <w:tcW w:type="dxa" w:w="1400"/>
            <w:tcMar>
              <w:top w:type="dxa" w:w="60"/>
              <w:left w:type="dxa" w:w="100"/>
              <w:bottom w:type="dxa" w:w="60"/>
              <w:right w:type="dxa" w:w="100"/>
            </w:tcMar>
          </w:tcPr>
          <w:p>
            <w:pPr>
              <w:spacing w:after="0" w:line="240"/>
            </w:pPr>
            <w:r>
              <w:rPr>
                <w:b w:val="false"/>
                <w:bCs w:val="false"/>
                <w:sz w:val="18"/>
                <w:szCs w:val="18"/>
              </w:rPr>
              <w:t xml:space="preserve">0.5</w:t>
            </w:r>
          </w:p>
        </w:tc>
        <w:tc>
          <w:tcPr>
            <w:tcW w:type="dxa" w:w="4680"/>
            <w:tcMar>
              <w:top w:type="dxa" w:w="60"/>
              <w:left w:type="dxa" w:w="100"/>
              <w:bottom w:type="dxa" w:w="60"/>
              <w:right w:type="dxa" w:w="100"/>
            </w:tcMar>
          </w:tcPr>
          <w:p>
            <w:pPr>
              <w:spacing w:after="0" w:line="240"/>
            </w:pPr>
            <w:r>
              <w:rPr>
                <w:b w:val="false"/>
                <w:bCs w:val="false"/>
                <w:sz w:val="18"/>
                <w:szCs w:val="18"/>
              </w:rPr>
              <w:t xml:space="preserve">int32</w:t>
            </w:r>
          </w:p>
        </w:tc>
      </w:tr>
      <w:tr>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Subtotal</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18.5</w:t>
            </w:r>
          </w:p>
        </w:tc>
        <w:tc>
          <w:tcPr>
            <w:tcW w:type="dxa" w:w="4680"/>
            <w:shd w:fill="EEF1F6" w:val="clear"/>
            <w:tcMar>
              <w:top w:type="dxa" w:w="60"/>
              <w:left w:type="dxa" w:w="100"/>
              <w:bottom w:type="dxa" w:w="60"/>
              <w:right w:type="dxa" w:w="100"/>
            </w:tcMar>
          </w:tcPr>
          <w:p>
            <w:pPr>
              <w:spacing w:after="0" w:line="240"/>
            </w:pPr>
            <w:r>
              <w:rPr>
                <w:b w:val="false"/>
                <w:bCs w:val="false"/>
                <w:sz w:val="18"/>
                <w:szCs w:val="18"/>
              </w:rPr>
              <w:t xml:space="preserve">148 bytes</w:t>
            </w:r>
          </w:p>
        </w:tc>
      </w:tr>
      <w:tr>
        <w:tc>
          <w:tcPr>
            <w:tcW w:type="dxa" w:w="4000"/>
            <w:tcMar>
              <w:top w:type="dxa" w:w="60"/>
              <w:left w:type="dxa" w:w="100"/>
              <w:bottom w:type="dxa" w:w="60"/>
              <w:right w:type="dxa" w:w="100"/>
            </w:tcMar>
          </w:tcPr>
          <w:p>
            <w:pPr>
              <w:spacing w:after="0" w:line="240"/>
            </w:pPr>
            <w:r>
              <w:rPr>
                <w:b w:val="false"/>
                <w:bCs w:val="false"/>
                <w:sz w:val="18"/>
                <w:szCs w:val="18"/>
              </w:rPr>
              <w:t xml:space="preserve">Double-buffered (Curr/Next)</w:t>
            </w:r>
          </w:p>
        </w:tc>
        <w:tc>
          <w:tcPr>
            <w:tcW w:type="dxa" w:w="1400"/>
            <w:tcMar>
              <w:top w:type="dxa" w:w="60"/>
              <w:left w:type="dxa" w:w="100"/>
              <w:bottom w:type="dxa" w:w="60"/>
              <w:right w:type="dxa" w:w="100"/>
            </w:tcMar>
          </w:tcPr>
          <w:p>
            <w:pPr>
              <w:spacing w:after="0" w:line="240"/>
            </w:pPr>
            <w:r>
              <w:rPr>
                <w:b w:val="false"/>
                <w:bCs w:val="false"/>
                <w:sz w:val="18"/>
                <w:szCs w:val="18"/>
              </w:rPr>
              <w:t xml:space="preserve">37</w:t>
            </w:r>
          </w:p>
        </w:tc>
        <w:tc>
          <w:tcPr>
            <w:tcW w:type="dxa" w:w="4680"/>
            <w:tcMar>
              <w:top w:type="dxa" w:w="60"/>
              <w:left w:type="dxa" w:w="100"/>
              <w:bottom w:type="dxa" w:w="60"/>
              <w:right w:type="dxa" w:w="100"/>
            </w:tcMar>
          </w:tcPr>
          <w:p>
            <w:pPr>
              <w:spacing w:after="0" w:line="240"/>
            </w:pPr>
            <w:r>
              <w:rPr>
                <w:b w:val="false"/>
                <w:bCs w:val="false"/>
                <w:sz w:val="18"/>
                <w:szCs w:val="18"/>
              </w:rPr>
              <w:t xml:space="preserve">296 bytes per cell</w:t>
            </w:r>
          </w:p>
        </w:tc>
      </w:tr>
    </w:tbl>
    <w:p>
      <w:pPr>
        <w:spacing w:after="140"/>
      </w:pPr>
    </w:p>
    <w:p>
      <w:pPr>
        <w:spacing w:after="120" w:line="264"/>
        <w:jc w:val="left"/>
      </w:pPr>
      <w:r>
        <w:rPr>
          <w:b w:val="false"/>
          <w:bCs w:val="false"/>
          <w:i w:val="false"/>
          <w:iCs w:val="false"/>
        </w:rPr>
        <w:t xml:space="preserve">Precomputing ∇·b̂ and b̂b̂:∇U at the cell centre rather than reconstructing them from interpolated tensors is both cheaper (18.5 doubles instead of 31) and more accurate, because interpolating a scalar invariant avoids the cancellation that occurs when contracting an interpolated tensor with an interpolated unit vector. This is a small decision with a disproportionate effect on the quality of the focusing term.</w:t>
      </w:r>
    </w:p>
    <w:p>
      <w:pPr>
        <w:spacing w:after="120" w:line="264"/>
        <w:jc w:val="left"/>
      </w:pPr>
      <w:r>
        <w:t xml:space="preserve">For the recommended default configuration the total is: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4600"/>
        <w:gridCol w:w="2400"/>
        <w:gridCol w:w="3080"/>
      </w:tblGrid>
      <w:tr>
        <w:trPr>
          <w:tblHeader/>
        </w:trPr>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Component</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Cells</w:t>
            </w:r>
          </w:p>
        </w:tc>
        <w:tc>
          <w:tcPr>
            <w:tcW w:type="dxa" w:w="3080"/>
            <w:shd w:fill="1F3864" w:val="clear"/>
            <w:tcMar>
              <w:top w:type="dxa" w:w="60"/>
              <w:left w:type="dxa" w:w="100"/>
              <w:bottom w:type="dxa" w:w="60"/>
              <w:right w:type="dxa" w:w="100"/>
            </w:tcMar>
          </w:tcPr>
          <w:p>
            <w:pPr>
              <w:spacing w:after="0" w:line="240"/>
            </w:pPr>
            <w:r>
              <w:rPr>
                <w:b/>
                <w:bCs/>
                <w:color w:val="FFFFFF"/>
                <w:sz w:val="18"/>
                <w:szCs w:val="18"/>
              </w:rPr>
              <w:t xml:space="preserve">Memory</w:t>
            </w:r>
          </w:p>
        </w:tc>
      </w:tr>
      <w:tr>
        <w:tc>
          <w:tcPr>
            <w:tcW w:type="dxa" w:w="4600"/>
            <w:tcMar>
              <w:top w:type="dxa" w:w="60"/>
              <w:left w:type="dxa" w:w="100"/>
              <w:bottom w:type="dxa" w:w="60"/>
              <w:right w:type="dxa" w:w="100"/>
            </w:tcMar>
          </w:tcPr>
          <w:p>
            <w:pPr>
              <w:spacing w:after="0" w:line="240"/>
            </w:pPr>
            <w:r>
              <w:rPr>
                <w:b w:val="false"/>
                <w:bCs w:val="false"/>
                <w:sz w:val="18"/>
                <w:szCs w:val="18"/>
              </w:rPr>
              <w:t xml:space="preserve">Background (level 5, spherical outer boundary)</w:t>
            </w:r>
          </w:p>
        </w:tc>
        <w:tc>
          <w:tcPr>
            <w:tcW w:type="dxa" w:w="2400"/>
            <w:tcMar>
              <w:top w:type="dxa" w:w="60"/>
              <w:left w:type="dxa" w:w="100"/>
              <w:bottom w:type="dxa" w:w="60"/>
              <w:right w:type="dxa" w:w="100"/>
            </w:tcMar>
          </w:tcPr>
          <w:p>
            <w:pPr>
              <w:spacing w:after="0" w:line="240"/>
            </w:pPr>
            <w:r>
              <w:rPr>
                <w:b w:val="false"/>
                <w:bCs w:val="false"/>
                <w:sz w:val="18"/>
                <w:szCs w:val="18"/>
              </w:rPr>
              <w:t xml:space="preserve">1.1×10⁶</w:t>
            </w:r>
          </w:p>
        </w:tc>
        <w:tc>
          <w:tcPr>
            <w:tcW w:type="dxa" w:w="3080"/>
            <w:tcMar>
              <w:top w:type="dxa" w:w="60"/>
              <w:left w:type="dxa" w:w="100"/>
              <w:bottom w:type="dxa" w:w="60"/>
              <w:right w:type="dxa" w:w="100"/>
            </w:tcMar>
          </w:tcPr>
          <w:p>
            <w:pPr>
              <w:spacing w:after="0" w:line="240"/>
            </w:pPr>
            <w:r>
              <w:rPr>
                <w:b w:val="false"/>
                <w:bCs w:val="false"/>
                <w:sz w:val="18"/>
                <w:szCs w:val="18"/>
              </w:rPr>
              <w:t xml:space="preserve">330 MB</w:t>
            </w:r>
          </w:p>
        </w:tc>
      </w:tr>
      <w:tr>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Near-Sun refinement (Δ₀ = 0.1 R☉)</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~1.2×10⁵ incl. quantisation</w:t>
            </w:r>
          </w:p>
        </w:tc>
        <w:tc>
          <w:tcPr>
            <w:tcW w:type="dxa" w:w="3080"/>
            <w:shd w:fill="EEF1F6" w:val="clear"/>
            <w:tcMar>
              <w:top w:type="dxa" w:w="60"/>
              <w:left w:type="dxa" w:w="100"/>
              <w:bottom w:type="dxa" w:w="60"/>
              <w:right w:type="dxa" w:w="100"/>
            </w:tcMar>
          </w:tcPr>
          <w:p>
            <w:pPr>
              <w:spacing w:after="0" w:line="240"/>
            </w:pPr>
            <w:r>
              <w:rPr>
                <w:b w:val="false"/>
                <w:bCs w:val="false"/>
                <w:sz w:val="18"/>
                <w:szCs w:val="18"/>
              </w:rPr>
              <w:t xml:space="preserve">36 MB</w:t>
            </w:r>
          </w:p>
        </w:tc>
      </w:tr>
      <w:tr>
        <w:tc>
          <w:tcPr>
            <w:tcW w:type="dxa" w:w="4600"/>
            <w:tcMar>
              <w:top w:type="dxa" w:w="60"/>
              <w:left w:type="dxa" w:w="100"/>
              <w:bottom w:type="dxa" w:w="60"/>
              <w:right w:type="dxa" w:w="100"/>
            </w:tcMar>
          </w:tcPr>
          <w:p>
            <w:pPr>
              <w:spacing w:after="0" w:line="240"/>
            </w:pPr>
            <w:r>
              <w:rPr>
                <w:b w:val="false"/>
                <w:bCs w:val="false"/>
                <w:sz w:val="18"/>
                <w:szCs w:val="18"/>
              </w:rPr>
              <w:t xml:space="preserve">One flux tube (Λ = 3, ψ = 3°) incl. shoulder levels</w:t>
            </w:r>
          </w:p>
        </w:tc>
        <w:tc>
          <w:tcPr>
            <w:tcW w:type="dxa" w:w="2400"/>
            <w:tcMar>
              <w:top w:type="dxa" w:w="60"/>
              <w:left w:type="dxa" w:w="100"/>
              <w:bottom w:type="dxa" w:w="60"/>
              <w:right w:type="dxa" w:w="100"/>
            </w:tcMar>
          </w:tcPr>
          <w:p>
            <w:pPr>
              <w:spacing w:after="0" w:line="240"/>
            </w:pPr>
            <w:r>
              <w:rPr>
                <w:b w:val="false"/>
                <w:bCs w:val="false"/>
                <w:sz w:val="18"/>
                <w:szCs w:val="18"/>
              </w:rPr>
              <w:t xml:space="preserve">~1.7×10⁶</w:t>
            </w:r>
          </w:p>
        </w:tc>
        <w:tc>
          <w:tcPr>
            <w:tcW w:type="dxa" w:w="3080"/>
            <w:tcMar>
              <w:top w:type="dxa" w:w="60"/>
              <w:left w:type="dxa" w:w="100"/>
              <w:bottom w:type="dxa" w:w="60"/>
              <w:right w:type="dxa" w:w="100"/>
            </w:tcMar>
          </w:tcPr>
          <w:p>
            <w:pPr>
              <w:spacing w:after="0" w:line="240"/>
            </w:pPr>
            <w:r>
              <w:rPr>
                <w:b w:val="false"/>
                <w:bCs w:val="false"/>
                <w:sz w:val="18"/>
                <w:szCs w:val="18"/>
              </w:rPr>
              <w:t xml:space="preserve">500 MB</w:t>
            </w:r>
          </w:p>
        </w:tc>
      </w:tr>
      <w:tr>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Total</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~2.9×10⁶</w:t>
            </w:r>
          </w:p>
        </w:tc>
        <w:tc>
          <w:tcPr>
            <w:tcW w:type="dxa" w:w="3080"/>
            <w:shd w:fill="EEF1F6" w:val="clear"/>
            <w:tcMar>
              <w:top w:type="dxa" w:w="60"/>
              <w:left w:type="dxa" w:w="100"/>
              <w:bottom w:type="dxa" w:w="60"/>
              <w:right w:type="dxa" w:w="100"/>
            </w:tcMar>
          </w:tcPr>
          <w:p>
            <w:pPr>
              <w:spacing w:after="0" w:line="240"/>
            </w:pPr>
            <w:r>
              <w:rPr>
                <w:b w:val="false"/>
                <w:bCs w:val="false"/>
                <w:sz w:val="18"/>
                <w:szCs w:val="18"/>
              </w:rPr>
              <w:t xml:space="preserve">~870 MB total; ~14 MB/rank on 64 ranks</w:t>
            </w:r>
          </w:p>
        </w:tc>
      </w:tr>
    </w:tbl>
    <w:p>
      <w:pPr>
        <w:spacing w:after="140"/>
      </w:pPr>
    </w:p>
    <w:p>
      <w:pPr>
        <w:spacing w:after="120" w:line="264"/>
        <w:jc w:val="left"/>
      </w:pPr>
      <w:r>
        <w:rPr>
          <w:b w:val="false"/>
          <w:bCs w:val="false"/>
          <w:i w:val="false"/>
          <w:iCs w:val="false"/>
        </w:rPr>
        <w:t xml:space="preserve">Raising the background to level 6 and the tube to Λ = 4 gives roughly 2×10⁷ cells and 6 GB — still comfortable on 128 ranks. The message is that the near-Sun refinement is essentially free and the two real cost drivers are Δ_bg and ΔL_tube, in that order.</w:t>
      </w:r>
    </w:p>
    <w:p>
      <w:r>
        <w:br w:type="page"/>
      </w:r>
    </w:p>
    <w:p>
      <w:pPr>
        <w:pStyle w:val="Heading1"/>
        <w:spacing w:after="160" w:before="360"/>
      </w:pPr>
      <w:r>
        <w:t xml:space="preserve">7. Production Movers and the AMPS Adapter Layer</w:t>
      </w:r>
    </w:p>
    <w:p>
      <w:pPr>
        <w:pStyle w:val="Heading2"/>
        <w:spacing w:after="120" w:before="280"/>
      </w:pPr>
      <w:r>
        <w:t xml:space="preserve">7.1 The public mover set</w:t>
      </w:r>
    </w:p>
    <w:p>
      <w:pPr>
        <w:spacing w:after="120" w:line="264"/>
        <w:jc w:val="left"/>
      </w:pPr>
      <w:r>
        <w:rPr>
          <w:b w:val="false"/>
          <w:bCs w:val="false"/>
          <w:i w:val="false"/>
          <w:iCs w:val="false"/>
        </w:rPr>
        <w:t xml:space="preserve">srcSEP3D exposes exactly two production movers. The discipline srcSEP arrived at after its Step 14 migration — a small, explicitly named set, with every retired or ambiguous name rejected before initialisation rather than silently mapped — is adopted from the beginning here, which avoids ever having to run that migration.</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900"/>
        <w:gridCol w:w="1900"/>
        <w:gridCol w:w="2700"/>
        <w:gridCol w:w="1200"/>
        <w:gridCol w:w="2380"/>
      </w:tblGrid>
      <w:tr>
        <w:trPr>
          <w:tblHeader/>
        </w:trPr>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CLI name</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Enum</w:t>
            </w:r>
          </w:p>
        </w:tc>
        <w:tc>
          <w:tcPr>
            <w:tcW w:type="dxa" w:w="2700"/>
            <w:shd w:fill="1F3864" w:val="clear"/>
            <w:tcMar>
              <w:top w:type="dxa" w:w="60"/>
              <w:left w:type="dxa" w:w="100"/>
              <w:bottom w:type="dxa" w:w="60"/>
              <w:right w:type="dxa" w:w="100"/>
            </w:tcMar>
          </w:tcPr>
          <w:p>
            <w:pPr>
              <w:spacing w:after="0" w:line="240"/>
            </w:pPr>
            <w:r>
              <w:rPr>
                <w:b/>
                <w:bCs/>
                <w:color w:val="FFFFFF"/>
                <w:sz w:val="18"/>
                <w:szCs w:val="18"/>
              </w:rPr>
              <w:t xml:space="preserve">Implementation</w:t>
            </w:r>
          </w:p>
        </w:tc>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Phase space</w:t>
            </w:r>
          </w:p>
        </w:tc>
        <w:tc>
          <w:tcPr>
            <w:tcW w:type="dxa" w:w="2380"/>
            <w:shd w:fill="1F3864" w:val="clear"/>
            <w:tcMar>
              <w:top w:type="dxa" w:w="60"/>
              <w:left w:type="dxa" w:w="100"/>
              <w:bottom w:type="dxa" w:w="60"/>
              <w:right w:type="dxa" w:w="100"/>
            </w:tcMar>
          </w:tcPr>
          <w:p>
            <w:pPr>
              <w:spacing w:after="0" w:line="240"/>
            </w:pPr>
            <w:r>
              <w:rPr>
                <w:b/>
                <w:bCs/>
                <w:color w:val="FFFFFF"/>
                <w:sz w:val="18"/>
                <w:szCs w:val="18"/>
              </w:rPr>
              <w:t xml:space="preserve">Coefficient contract</w:t>
            </w:r>
          </w:p>
        </w:tc>
      </w:tr>
      <w:tr>
        <w:tc>
          <w:tcPr>
            <w:tcW w:type="dxa" w:w="1900"/>
            <w:tcMar>
              <w:top w:type="dxa" w:w="60"/>
              <w:left w:type="dxa" w:w="100"/>
              <w:bottom w:type="dxa" w:w="60"/>
              <w:right w:type="dxa" w:w="100"/>
            </w:tcMar>
          </w:tcPr>
          <w:p>
            <w:pPr>
              <w:spacing w:after="0" w:line="240"/>
            </w:pPr>
            <w:r>
              <w:rPr>
                <w:b w:val="false"/>
                <w:bCs w:val="false"/>
                <w:sz w:val="18"/>
                <w:szCs w:val="18"/>
              </w:rPr>
              <w:t xml:space="preserve">parker3d (default)</w:t>
            </w:r>
          </w:p>
        </w:tc>
        <w:tc>
          <w:tcPr>
            <w:tcW w:type="dxa" w:w="1900"/>
            <w:tcMar>
              <w:top w:type="dxa" w:w="60"/>
              <w:left w:type="dxa" w:w="100"/>
              <w:bottom w:type="dxa" w:w="60"/>
              <w:right w:type="dxa" w:w="100"/>
            </w:tcMar>
          </w:tcPr>
          <w:p>
            <w:pPr>
              <w:spacing w:after="0" w:line="240"/>
            </w:pPr>
            <w:r>
              <w:rPr>
                <w:b w:val="false"/>
                <w:bCs w:val="false"/>
                <w:sz w:val="18"/>
                <w:szCs w:val="18"/>
              </w:rPr>
              <w:t xml:space="preserve">ProductionMover3D::Parker</w:t>
            </w:r>
          </w:p>
        </w:tc>
        <w:tc>
          <w:tcPr>
            <w:tcW w:type="dxa" w:w="2700"/>
            <w:tcMar>
              <w:top w:type="dxa" w:w="60"/>
              <w:left w:type="dxa" w:w="100"/>
              <w:bottom w:type="dxa" w:w="60"/>
              <w:right w:type="dxa" w:w="100"/>
            </w:tcMar>
          </w:tcPr>
          <w:p>
            <w:pPr>
              <w:spacing w:after="0" w:line="240"/>
            </w:pPr>
            <w:r>
              <w:rPr>
                <w:b w:val="false"/>
                <w:bCs w:val="false"/>
                <w:sz w:val="18"/>
                <w:szCs w:val="18"/>
              </w:rPr>
              <w:t xml:space="preserve">amps_mover_parker.cpp → Core::Transport::AdvanceParker3D</w:t>
            </w:r>
          </w:p>
        </w:tc>
        <w:tc>
          <w:tcPr>
            <w:tcW w:type="dxa" w:w="1200"/>
            <w:tcMar>
              <w:top w:type="dxa" w:w="60"/>
              <w:left w:type="dxa" w:w="100"/>
              <w:bottom w:type="dxa" w:w="60"/>
              <w:right w:type="dxa" w:w="100"/>
            </w:tcMar>
          </w:tcPr>
          <w:p>
            <w:pPr>
              <w:spacing w:after="0" w:line="240"/>
            </w:pPr>
            <w:r>
              <w:rPr>
                <w:b w:val="false"/>
                <w:bCs w:val="false"/>
                <w:sz w:val="18"/>
                <w:szCs w:val="18"/>
              </w:rPr>
              <w:t xml:space="preserve">(x, p)</w:t>
            </w:r>
          </w:p>
        </w:tc>
        <w:tc>
          <w:tcPr>
            <w:tcW w:type="dxa" w:w="2380"/>
            <w:tcMar>
              <w:top w:type="dxa" w:w="60"/>
              <w:left w:type="dxa" w:w="100"/>
              <w:bottom w:type="dxa" w:w="60"/>
              <w:right w:type="dxa" w:w="100"/>
            </w:tcMar>
          </w:tcPr>
          <w:p>
            <w:pPr>
              <w:spacing w:after="0" w:line="240"/>
            </w:pPr>
            <w:r>
              <w:rPr>
                <w:b w:val="false"/>
                <w:bCs w:val="false"/>
                <w:sz w:val="18"/>
                <w:szCs w:val="18"/>
              </w:rPr>
              <w:t xml:space="preserve">SpatialDiffusionProvider3D: κ∥, κ⊥ (=0), ∇·κ, provenance</w:t>
            </w:r>
          </w:p>
        </w:tc>
      </w:tr>
      <w:tr>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fte3d</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ProductionMover3D::FocusedTransport</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amps_mover_focused.cpp → Core::Transport::AdvanceFocused3D</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(x, p, μ)</w:t>
            </w:r>
          </w:p>
        </w:tc>
        <w:tc>
          <w:tcPr>
            <w:tcW w:type="dxa" w:w="2380"/>
            <w:shd w:fill="EEF1F6" w:val="clear"/>
            <w:tcMar>
              <w:top w:type="dxa" w:w="60"/>
              <w:left w:type="dxa" w:w="100"/>
              <w:bottom w:type="dxa" w:w="60"/>
              <w:right w:type="dxa" w:w="100"/>
            </w:tcMar>
          </w:tcPr>
          <w:p>
            <w:pPr>
              <w:spacing w:after="0" w:line="240"/>
            </w:pPr>
            <w:r>
              <w:rPr>
                <w:b w:val="false"/>
                <w:bCs w:val="false"/>
                <w:sz w:val="18"/>
                <w:szCs w:val="18"/>
              </w:rPr>
              <w:t xml:space="preserve">PitchAngleDiffusionProvider3D: D_μμ, ∂D_μμ/∂μ, provenance, turbulence identity; plus κ⊥ (=0)</w:t>
            </w:r>
          </w:p>
        </w:tc>
      </w:tr>
    </w:tbl>
    <w:p>
      <w:pPr>
        <w:spacing w:after="140"/>
      </w:pPr>
    </w:p>
    <w:p>
      <w:pPr>
        <w:spacing w:after="120" w:line="264"/>
        <w:jc w:val="left"/>
      </w:pPr>
      <w:r>
        <w:rPr>
          <w:rFonts w:ascii="Consolas" w:cs="Consolas" w:eastAsia="Consolas" w:hAnsi="Consolas"/>
          <w:b w:val="false"/>
          <w:bCs w:val="false"/>
          <w:i w:val="false"/>
          <w:iCs w:val="false"/>
          <w:sz w:val="19"/>
          <w:szCs w:val="19"/>
        </w:rPr>
        <w:t xml:space="preserve">--list-movers</w:t>
      </w:r>
      <w:r>
        <w:rPr>
          <w:b w:val="false"/>
          <w:bCs w:val="false"/>
          <w:i w:val="false"/>
          <w:iCs w:val="false"/>
        </w:rPr>
        <w:t xml:space="preserve"> prints both descriptors with their capabilities and exits before any initialisation. Every srcSEP name (</w:t>
      </w:r>
      <w:r>
        <w:rPr>
          <w:rFonts w:ascii="Consolas" w:cs="Consolas" w:eastAsia="Consolas" w:hAnsi="Consolas"/>
          <w:b w:val="false"/>
          <w:bCs w:val="false"/>
          <w:i w:val="false"/>
          <w:iCs w:val="false"/>
          <w:sz w:val="19"/>
          <w:szCs w:val="19"/>
        </w:rPr>
        <w:t xml:space="preserve">parker</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fte-dmumu</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fte-mfp</w:t>
      </w:r>
      <w:r>
        <w:rPr>
          <w:b w:val="false"/>
          <w:bCs w:val="false"/>
          <w:i w:val="false"/>
          <w:iCs w:val="false"/>
        </w:rPr>
        <w:t xml:space="preserve">) and every retired srcSEP3D prototype name (</w:t>
      </w:r>
      <w:r>
        <w:rPr>
          <w:rFonts w:ascii="Consolas" w:cs="Consolas" w:eastAsia="Consolas" w:hAnsi="Consolas"/>
          <w:b w:val="false"/>
          <w:bCs w:val="false"/>
          <w:i w:val="false"/>
          <w:iCs w:val="false"/>
          <w:sz w:val="19"/>
          <w:szCs w:val="19"/>
        </w:rPr>
        <w:t xml:space="preserve">axisymmetric</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Mover_Axisymmetric_SecondOrder</w:t>
      </w:r>
      <w:r>
        <w:rPr>
          <w:b w:val="false"/>
          <w:bCs w:val="false"/>
          <w:i w:val="false"/>
          <w:iCs w:val="false"/>
        </w:rPr>
        <w:t xml:space="preserve">) is a hard error with a message naming the replacement, and the mapping is recorded in </w:t>
      </w:r>
      <w:r>
        <w:rPr>
          <w:rFonts w:ascii="Consolas" w:cs="Consolas" w:eastAsia="Consolas" w:hAnsi="Consolas"/>
          <w:b w:val="false"/>
          <w:bCs w:val="false"/>
          <w:i w:val="false"/>
          <w:iCs w:val="false"/>
          <w:sz w:val="19"/>
          <w:szCs w:val="19"/>
        </w:rPr>
        <w:t xml:space="preserve">MIGRATION_MANIFEST.md</w:t>
      </w:r>
      <w:r>
        <w:rPr>
          <w:b w:val="false"/>
          <w:bCs w:val="false"/>
          <w:i w:val="false"/>
          <w:iCs w:val="false"/>
        </w:rPr>
        <w:t xml:space="preserve">.</w:t>
      </w:r>
    </w:p>
    <w:p>
      <w:pPr>
        <w:spacing w:after="120" w:line="264"/>
        <w:jc w:val="left"/>
      </w:pPr>
      <w:r>
        <w:rPr>
          <w:b w:val="false"/>
          <w:bCs w:val="false"/>
          <w:i w:val="false"/>
          <w:iCs w:val="false"/>
        </w:rPr>
        <w:t xml:space="preserve">A third mover, an event-driven mean-free-path variant analogous to srcSEP’s </w:t>
      </w:r>
      <w:r>
        <w:rPr>
          <w:rFonts w:ascii="Consolas" w:cs="Consolas" w:eastAsia="Consolas" w:hAnsi="Consolas"/>
          <w:b w:val="false"/>
          <w:bCs w:val="false"/>
          <w:i w:val="false"/>
          <w:iCs w:val="false"/>
          <w:sz w:val="19"/>
          <w:szCs w:val="19"/>
        </w:rPr>
        <w:t xml:space="preserve">fte-mfp</w:t>
      </w:r>
      <w:r>
        <w:rPr>
          <w:b w:val="false"/>
          <w:bCs w:val="false"/>
          <w:i w:val="false"/>
          <w:iCs w:val="false"/>
        </w:rPr>
        <w:t xml:space="preserve">, is a natural follow-on. It is not in release 1 because its exact-exponential-waiting-time machinery interacts with the 3-D cell-crossing and background-validity boundaries in ways that deserve their own design pass. The name </w:t>
      </w:r>
      <w:r>
        <w:rPr>
          <w:rFonts w:ascii="Consolas" w:cs="Consolas" w:eastAsia="Consolas" w:hAnsi="Consolas"/>
          <w:b w:val="false"/>
          <w:bCs w:val="false"/>
          <w:i w:val="false"/>
          <w:iCs w:val="false"/>
          <w:sz w:val="19"/>
          <w:szCs w:val="19"/>
        </w:rPr>
        <w:t xml:space="preserve">fte3d-mfp</w:t>
      </w:r>
      <w:r>
        <w:rPr>
          <w:b w:val="false"/>
          <w:bCs w:val="false"/>
          <w:i w:val="false"/>
          <w:iCs w:val="false"/>
        </w:rPr>
        <w:t xml:space="preserve"> is reserved and rejected with "reserved for a future release".</w:t>
      </w:r>
    </w:p>
    <w:p>
      <w:pPr>
        <w:pStyle w:val="Heading2"/>
        <w:spacing w:after="120" w:before="280"/>
      </w:pPr>
      <w:r>
        <w:t xml:space="preserve">7.2 The validating dispatch adapter</w:t>
      </w:r>
    </w:p>
    <w:p>
      <w:pPr>
        <w:spacing w:after="120" w:line="264"/>
        <w:jc w:val="left"/>
      </w:pPr>
      <w:r>
        <w:rPr>
          <w:b w:val="false"/>
          <w:bCs w:val="false"/>
          <w:i w:val="false"/>
          <w:iCs w:val="false"/>
        </w:rPr>
        <w:t xml:space="preserve">All AMPS mover calls enter through one adapter, </w:t>
      </w:r>
      <w:r>
        <w:rPr>
          <w:rFonts w:ascii="Consolas" w:cs="Consolas" w:eastAsia="Consolas" w:hAnsi="Consolas"/>
          <w:b w:val="false"/>
          <w:bCs w:val="false"/>
          <w:i w:val="false"/>
          <w:iCs w:val="false"/>
          <w:sz w:val="19"/>
          <w:szCs w:val="19"/>
        </w:rPr>
        <w:t xml:space="preserve">DispatchProductionMover3D</w:t>
      </w:r>
      <w:r>
        <w:rPr>
          <w:b w:val="false"/>
          <w:bCs w:val="false"/>
          <w:i w:val="false"/>
          <w:iCs w:val="false"/>
        </w:rPr>
        <w:t xml:space="preserve">. It validates before dispatching and never lets an invalid state reach a numerical kernel:</w:t>
      </w:r>
    </w:p>
    <w:p>
      <w:pPr>
        <w:pStyle w:val="ListParagraph"/>
        <w:numPr>
          <w:ilvl w:val="0"/>
          <w:numId w:val="3"/>
        </w:numPr>
        <w:spacing w:after="60" w:line="264"/>
      </w:pPr>
      <w:r>
        <w:t xml:space="preserve">Finite, non-negative time interval; allocated particle record; valid species index.</w:t>
      </w:r>
    </w:p>
    <w:p>
      <w:pPr>
        <w:pStyle w:val="ListParagraph"/>
        <w:numPr>
          <w:ilvl w:val="0"/>
          <w:numId w:val="3"/>
        </w:numPr>
        <w:spacing w:after="60" w:line="264"/>
      </w:pPr>
      <w:r>
        <w:t xml:space="preserve">Finite position inside the domain; a resolvable AMR node and cell.</w:t>
      </w:r>
    </w:p>
    <w:p>
      <w:pPr>
        <w:pStyle w:val="ListParagraph"/>
        <w:numPr>
          <w:ilvl w:val="0"/>
          <w:numId w:val="3"/>
        </w:numPr>
        <w:spacing w:after="60" w:line="264"/>
      </w:pPr>
      <w:r>
        <w:t xml:space="preserve">Finite momentum with 0 ≤ v &lt; c; finite μ in [−1, 1] for the focused mover.</w:t>
      </w:r>
    </w:p>
    <w:p>
      <w:pPr>
        <w:pStyle w:val="ListParagraph"/>
        <w:numPr>
          <w:ilvl w:val="0"/>
          <w:numId w:val="3"/>
        </w:numPr>
        <w:spacing w:after="60" w:line="264"/>
      </w:pPr>
      <w:r>
        <w:t xml:space="preserve">A background sample whose validity flag is set and whose snapshot generation matches the one the mover was configured with.</w:t>
      </w:r>
    </w:p>
    <w:p>
      <w:pPr>
        <w:pStyle w:val="ListParagraph"/>
        <w:numPr>
          <w:ilvl w:val="0"/>
          <w:numId w:val="3"/>
        </w:numPr>
        <w:spacing w:after="60" w:line="264"/>
      </w:pPr>
      <w:r>
        <w:t xml:space="preserve">For every coefficient query: a Status of OK, or an explicitly typed ballistic state where the policy allows it.</w:t>
      </w:r>
    </w:p>
    <w:p>
      <w:pPr>
        <w:spacing w:after="120" w:line="264"/>
        <w:jc w:val="left"/>
      </w:pPr>
      <w:r>
        <w:rPr>
          <w:b w:val="false"/>
          <w:bCs w:val="false"/>
          <w:i w:val="false"/>
          <w:iCs w:val="false"/>
        </w:rPr>
        <w:t xml:space="preserve">Capability queries replace pointer comparisons. The main loop asks </w:t>
      </w:r>
      <w:r>
        <w:rPr>
          <w:rFonts w:ascii="Consolas" w:cs="Consolas" w:eastAsia="Consolas" w:hAnsi="Consolas"/>
          <w:b w:val="false"/>
          <w:bCs w:val="false"/>
          <w:i w:val="false"/>
          <w:iCs w:val="false"/>
          <w:sz w:val="19"/>
          <w:szCs w:val="19"/>
        </w:rPr>
        <w:t xml:space="preserve">CurrentCapabilities()</w:t>
      </w:r>
      <w:r>
        <w:rPr>
          <w:b w:val="false"/>
          <w:bCs w:val="false"/>
          <w:i w:val="false"/>
          <w:iCs w:val="false"/>
        </w:rPr>
        <w:t xml:space="preserve"> whether the active mover resolves pitch angle, whether it accumulates streaming for a future turbulence manager, and which coefficient contract it consumes — it never compares function addresses, which is the defect srcSEP had to remove in its Step 4 work.</w:t>
      </w:r>
    </w:p>
    <w:p>
      <w:pPr>
        <w:pStyle w:val="Heading2"/>
        <w:spacing w:after="120" w:before="280"/>
      </w:pPr>
      <w:r>
        <w:t xml:space="preserve">7.3 The κ∥ gradient</w:t>
      </w:r>
    </w:p>
    <w:p>
      <w:pPr>
        <w:spacing w:after="120" w:line="264"/>
        <w:jc w:val="left"/>
      </w:pPr>
      <w:r>
        <w:rPr>
          <w:b w:val="false"/>
          <w:bCs w:val="false"/>
          <w:i w:val="false"/>
          <w:iCs w:val="false"/>
        </w:rPr>
        <w:t xml:space="preserve">The Itô drift term needs ∂∥κ∥ = b̂·∇κ∥, and κ∥ depends on the particle’s momentum, so it cannot be precomputed at cell centres the way ∇·b̂ and b̂b̂:∇U can. Two evaluation modes are provided.</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700"/>
        <w:gridCol w:w="3400"/>
        <w:gridCol w:w="2000"/>
        <w:gridCol w:w="1900"/>
        <w:gridCol w:w="1080"/>
      </w:tblGrid>
      <w:tr>
        <w:trPr>
          <w:tblHeader/>
        </w:trPr>
        <w:tc>
          <w:tcPr>
            <w:tcW w:type="dxa" w:w="1700"/>
            <w:shd w:fill="1F3864" w:val="clear"/>
            <w:tcMar>
              <w:top w:type="dxa" w:w="60"/>
              <w:left w:type="dxa" w:w="100"/>
              <w:bottom w:type="dxa" w:w="60"/>
              <w:right w:type="dxa" w:w="100"/>
            </w:tcMar>
          </w:tcPr>
          <w:p>
            <w:pPr>
              <w:spacing w:after="0" w:line="240"/>
            </w:pPr>
            <w:r>
              <w:rPr>
                <w:b/>
                <w:bCs/>
                <w:color w:val="FFFFFF"/>
                <w:sz w:val="18"/>
                <w:szCs w:val="18"/>
              </w:rPr>
              <w:t xml:space="preserve">Mode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Method</w:t>
            </w:r>
          </w:p>
        </w:tc>
        <w:tc>
          <w:tcPr>
            <w:tcW w:type="dxa" w:w="2000"/>
            <w:shd w:fill="1F3864" w:val="clear"/>
            <w:tcMar>
              <w:top w:type="dxa" w:w="60"/>
              <w:left w:type="dxa" w:w="100"/>
              <w:bottom w:type="dxa" w:w="60"/>
              <w:right w:type="dxa" w:w="100"/>
            </w:tcMar>
          </w:tcPr>
          <w:p>
            <w:pPr>
              <w:spacing w:after="0" w:line="240"/>
            </w:pPr>
            <w:r>
              <w:rPr>
                <w:b/>
                <w:bCs/>
                <w:color w:val="FFFFFF"/>
                <w:sz w:val="18"/>
                <w:szCs w:val="18"/>
              </w:rPr>
              <w:t xml:space="preserve">Cost per step</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Accuracy</w:t>
            </w:r>
          </w:p>
        </w:tc>
        <w:tc>
          <w:tcPr>
            <w:tcW w:type="dxa" w:w="1080"/>
            <w:shd w:fill="1F3864" w:val="clear"/>
            <w:tcMar>
              <w:top w:type="dxa" w:w="60"/>
              <w:left w:type="dxa" w:w="100"/>
              <w:bottom w:type="dxa" w:w="60"/>
              <w:right w:type="dxa" w:w="100"/>
            </w:tcMar>
          </w:tcPr>
          <w:p>
            <w:pPr>
              <w:spacing w:after="0" w:line="240"/>
            </w:pPr>
            <w:r>
              <w:rPr>
                <w:b/>
                <w:bCs/>
                <w:color w:val="FFFFFF"/>
                <w:sz w:val="18"/>
                <w:szCs w:val="18"/>
              </w:rPr>
              <w:t xml:space="preserve">Default</w:t>
            </w:r>
          </w:p>
        </w:tc>
      </w:tr>
      <w:tr>
        <w:tc>
          <w:tcPr>
            <w:tcW w:type="dxa" w:w="1700"/>
            <w:tcMar>
              <w:top w:type="dxa" w:w="60"/>
              <w:left w:type="dxa" w:w="100"/>
              <w:bottom w:type="dxa" w:w="60"/>
              <w:right w:type="dxa" w:w="100"/>
            </w:tcMar>
          </w:tcPr>
          <w:p>
            <w:pPr>
              <w:spacing w:after="0" w:line="240"/>
            </w:pPr>
            <w:r>
              <w:rPr>
                <w:b w:val="false"/>
                <w:bCs w:val="false"/>
                <w:sz w:val="18"/>
                <w:szCs w:val="18"/>
              </w:rPr>
              <w:t xml:space="preserve">numerical (default)</w:t>
            </w:r>
          </w:p>
        </w:tc>
        <w:tc>
          <w:tcPr>
            <w:tcW w:type="dxa" w:w="3400"/>
            <w:tcMar>
              <w:top w:type="dxa" w:w="60"/>
              <w:left w:type="dxa" w:w="100"/>
              <w:bottom w:type="dxa" w:w="60"/>
              <w:right w:type="dxa" w:w="100"/>
            </w:tcMar>
          </w:tcPr>
          <w:p>
            <w:pPr>
              <w:spacing w:after="0" w:line="240"/>
            </w:pPr>
            <w:r>
              <w:rPr>
                <w:b w:val="false"/>
                <w:bCs w:val="false"/>
                <w:sz w:val="18"/>
                <w:szCs w:val="18"/>
              </w:rPr>
              <w:t xml:space="preserve">Evaluate κ∥ at x ± h b̂ with h = min(0.25 Δ_cell, 0.05 L_B); central difference</w:t>
            </w:r>
          </w:p>
        </w:tc>
        <w:tc>
          <w:tcPr>
            <w:tcW w:type="dxa" w:w="2000"/>
            <w:tcMar>
              <w:top w:type="dxa" w:w="60"/>
              <w:left w:type="dxa" w:w="100"/>
              <w:bottom w:type="dxa" w:w="60"/>
              <w:right w:type="dxa" w:w="100"/>
            </w:tcMar>
          </w:tcPr>
          <w:p>
            <w:pPr>
              <w:spacing w:after="0" w:line="240"/>
            </w:pPr>
            <w:r>
              <w:rPr>
                <w:b w:val="false"/>
                <w:bCs w:val="false"/>
                <w:sz w:val="18"/>
                <w:szCs w:val="18"/>
              </w:rPr>
              <w:t xml:space="preserve">2 extra background interpolations + 2 provider calls</w:t>
            </w:r>
          </w:p>
        </w:tc>
        <w:tc>
          <w:tcPr>
            <w:tcW w:type="dxa" w:w="1900"/>
            <w:tcMar>
              <w:top w:type="dxa" w:w="60"/>
              <w:left w:type="dxa" w:w="100"/>
              <w:bottom w:type="dxa" w:w="60"/>
              <w:right w:type="dxa" w:w="100"/>
            </w:tcMar>
          </w:tcPr>
          <w:p>
            <w:pPr>
              <w:spacing w:after="0" w:line="240"/>
            </w:pPr>
            <w:r>
              <w:rPr>
                <w:b w:val="false"/>
                <w:bCs w:val="false"/>
                <w:sz w:val="18"/>
                <w:szCs w:val="18"/>
              </w:rPr>
              <w:t xml:space="preserve">O(h²); verified to converge at second order against the analytic case</w:t>
            </w:r>
          </w:p>
        </w:tc>
        <w:tc>
          <w:tcPr>
            <w:tcW w:type="dxa" w:w="1080"/>
            <w:tcMar>
              <w:top w:type="dxa" w:w="60"/>
              <w:left w:type="dxa" w:w="100"/>
              <w:bottom w:type="dxa" w:w="60"/>
              <w:right w:type="dxa" w:w="100"/>
            </w:tcMar>
          </w:tcPr>
          <w:p>
            <w:pPr>
              <w:spacing w:after="0" w:line="240"/>
            </w:pPr>
            <w:r>
              <w:rPr>
                <w:b w:val="false"/>
                <w:bCs w:val="false"/>
                <w:sz w:val="18"/>
                <w:szCs w:val="18"/>
              </w:rPr>
              <w:t xml:space="preserve">yes</w:t>
            </w:r>
          </w:p>
        </w:tc>
      </w:tr>
      <w:tr>
        <w:tc>
          <w:tcPr>
            <w:tcW w:type="dxa" w:w="1700"/>
            <w:shd w:fill="EEF1F6" w:val="clear"/>
            <w:tcMar>
              <w:top w:type="dxa" w:w="60"/>
              <w:left w:type="dxa" w:w="100"/>
              <w:bottom w:type="dxa" w:w="60"/>
              <w:right w:type="dxa" w:w="100"/>
            </w:tcMar>
          </w:tcPr>
          <w:p>
            <w:pPr>
              <w:spacing w:after="0" w:line="240"/>
            </w:pPr>
            <w:r>
              <w:rPr>
                <w:b w:val="false"/>
                <w:bCs w:val="false"/>
                <w:sz w:val="18"/>
                <w:szCs w:val="18"/>
              </w:rPr>
              <w:t xml:space="preserve">analytic</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Provider exposes ∂κ∥/∂|B|, ∂κ∥/∂n, ∂κ∥/∂r; chain rule with the stored ∇|B| and ∇n</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no extra interpolation</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exact</w:t>
            </w:r>
          </w:p>
        </w:tc>
        <w:tc>
          <w:tcPr>
            <w:tcW w:type="dxa" w:w="1080"/>
            <w:shd w:fill="EEF1F6" w:val="clear"/>
            <w:tcMar>
              <w:top w:type="dxa" w:w="60"/>
              <w:left w:type="dxa" w:w="100"/>
              <w:bottom w:type="dxa" w:w="60"/>
              <w:right w:type="dxa" w:w="100"/>
            </w:tcMar>
          </w:tcPr>
          <w:p>
            <w:pPr>
              <w:spacing w:after="0" w:line="240"/>
            </w:pPr>
            <w:r>
              <w:rPr>
                <w:b w:val="false"/>
                <w:bCs w:val="false"/>
                <w:sz w:val="18"/>
                <w:szCs w:val="18"/>
              </w:rPr>
              <w:t xml:space="preserve">used when the provider advertises the AnalyticGradient capability</w:t>
            </w:r>
          </w:p>
        </w:tc>
      </w:tr>
    </w:tbl>
    <w:p>
      <w:pPr>
        <w:spacing w:after="140"/>
      </w:pPr>
    </w:p>
    <w:p>
      <w:pPr>
        <w:spacing w:after="120" w:line="264"/>
        <w:jc w:val="left"/>
      </w:pPr>
      <w:r>
        <w:rPr>
          <w:b w:val="false"/>
          <w:bCs w:val="false"/>
          <w:i w:val="false"/>
          <w:iCs w:val="false"/>
        </w:rPr>
        <w:t xml:space="preserve">A Stage-1 test (P3D04) compares the two modes for the Parker + QLT configuration and asserts second-order convergence of the numerical mode in h. This is the specific test that catches a sign error or a missing term in the drift — the failure mode that otherwise shows up months later as a slow, unexplained density pile-up near the Sun.</w:t>
      </w:r>
    </w:p>
    <w:p>
      <w:pPr>
        <w:pStyle w:val="Heading2"/>
        <w:spacing w:after="120" w:before="280"/>
      </w:pPr>
      <w:r>
        <w:t xml:space="preserve">7.4 Boundaries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3900"/>
        <w:gridCol w:w="37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Boundary</w:t>
            </w:r>
          </w:p>
        </w:tc>
        <w:tc>
          <w:tcPr>
            <w:tcW w:type="dxa" w:w="3900"/>
            <w:shd w:fill="1F3864" w:val="clear"/>
            <w:tcMar>
              <w:top w:type="dxa" w:w="60"/>
              <w:left w:type="dxa" w:w="100"/>
              <w:bottom w:type="dxa" w:w="60"/>
              <w:right w:type="dxa" w:w="100"/>
            </w:tcMar>
          </w:tcPr>
          <w:p>
            <w:pPr>
              <w:spacing w:after="0" w:line="240"/>
            </w:pPr>
            <w:r>
              <w:rPr>
                <w:b/>
                <w:bCs/>
                <w:color w:val="FFFFFF"/>
                <w:sz w:val="18"/>
                <w:szCs w:val="18"/>
              </w:rPr>
              <w:t xml:space="preserve">Parker mover</w:t>
            </w:r>
          </w:p>
        </w:tc>
        <w:tc>
          <w:tcPr>
            <w:tcW w:type="dxa" w:w="3780"/>
            <w:shd w:fill="1F3864" w:val="clear"/>
            <w:tcMar>
              <w:top w:type="dxa" w:w="60"/>
              <w:left w:type="dxa" w:w="100"/>
              <w:bottom w:type="dxa" w:w="60"/>
              <w:right w:type="dxa" w:w="100"/>
            </w:tcMar>
          </w:tcPr>
          <w:p>
            <w:pPr>
              <w:spacing w:after="0" w:line="240"/>
            </w:pPr>
            <w:r>
              <w:rPr>
                <w:b/>
                <w:bCs/>
                <w:color w:val="FFFFFF"/>
                <w:sz w:val="18"/>
                <w:szCs w:val="18"/>
              </w:rPr>
              <w:t xml:space="preserve">Focused mover</w:t>
            </w:r>
          </w:p>
        </w:tc>
      </w:tr>
      <w:tr>
        <w:tc>
          <w:tcPr>
            <w:tcW w:type="dxa" w:w="2400"/>
            <w:tcMar>
              <w:top w:type="dxa" w:w="60"/>
              <w:left w:type="dxa" w:w="100"/>
              <w:bottom w:type="dxa" w:w="60"/>
              <w:right w:type="dxa" w:w="100"/>
            </w:tcMar>
          </w:tcPr>
          <w:p>
            <w:pPr>
              <w:spacing w:after="0" w:line="240"/>
            </w:pPr>
            <w:r>
              <w:rPr>
                <w:b w:val="false"/>
                <w:bCs w:val="false"/>
                <w:sz w:val="18"/>
                <w:szCs w:val="18"/>
              </w:rPr>
              <w:t xml:space="preserve">Inner sphere r &lt; r_in</w:t>
            </w:r>
          </w:p>
        </w:tc>
        <w:tc>
          <w:tcPr>
            <w:tcW w:type="dxa" w:w="3900"/>
            <w:tcMar>
              <w:top w:type="dxa" w:w="60"/>
              <w:left w:type="dxa" w:w="100"/>
              <w:bottom w:type="dxa" w:w="60"/>
              <w:right w:type="dxa" w:w="100"/>
            </w:tcMar>
          </w:tcPr>
          <w:p>
            <w:pPr>
              <w:spacing w:after="0" w:line="240"/>
            </w:pPr>
            <w:r>
              <w:rPr>
                <w:b w:val="false"/>
                <w:bCs w:val="false"/>
                <w:sz w:val="18"/>
                <w:szCs w:val="18"/>
              </w:rPr>
              <w:t xml:space="preserve">Absorb; count by species and energy band; optional re-emission for a closed inner boundary</w:t>
            </w:r>
          </w:p>
        </w:tc>
        <w:tc>
          <w:tcPr>
            <w:tcW w:type="dxa" w:w="3780"/>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Outer cube face / sphere</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Absorb; count; record exit flux for the escape diagnostic</w:t>
            </w:r>
          </w:p>
        </w:tc>
        <w:tc>
          <w:tcPr>
            <w:tcW w:type="dxa" w:w="3780"/>
            <w:shd w:fill="EEF1F6" w:val="clear"/>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μ = ±1</w:t>
            </w:r>
          </w:p>
        </w:tc>
        <w:tc>
          <w:tcPr>
            <w:tcW w:type="dxa" w:w="3900"/>
            <w:tcMar>
              <w:top w:type="dxa" w:w="60"/>
              <w:left w:type="dxa" w:w="100"/>
              <w:bottom w:type="dxa" w:w="60"/>
              <w:right w:type="dxa" w:w="100"/>
            </w:tcMar>
          </w:tcPr>
          <w:p>
            <w:pPr>
              <w:spacing w:after="0" w:line="240"/>
            </w:pPr>
            <w:r>
              <w:rPr>
                <w:b w:val="false"/>
                <w:bCs w:val="false"/>
                <w:sz w:val="18"/>
                <w:szCs w:val="18"/>
              </w:rPr>
              <w:t xml:space="preserve">n/a</w:t>
            </w:r>
          </w:p>
        </w:tc>
        <w:tc>
          <w:tcPr>
            <w:tcW w:type="dxa" w:w="3780"/>
            <w:tcMar>
              <w:top w:type="dxa" w:w="60"/>
              <w:left w:type="dxa" w:w="100"/>
              <w:bottom w:type="dxa" w:w="60"/>
              <w:right w:type="dxa" w:w="100"/>
            </w:tcMar>
          </w:tcPr>
          <w:p>
            <w:pPr>
              <w:spacing w:after="0" w:line="240"/>
            </w:pPr>
            <w:r>
              <w:rPr>
                <w:b w:val="false"/>
                <w:bCs w:val="false"/>
                <w:sz w:val="18"/>
                <w:szCs w:val="18"/>
              </w:rPr>
              <w:t xml:space="preserve">Reflect by modulo folding; zero probability flux; μ = 0 regular</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Cell / block crossing</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Relocate via findTreeNode from the previous node; commit to the new cell’s temporary list</w:t>
            </w:r>
          </w:p>
        </w:tc>
        <w:tc>
          <w:tcPr>
            <w:tcW w:type="dxa" w:w="3780"/>
            <w:shd w:fill="EEF1F6" w:val="clear"/>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Refinement-level jump</w:t>
            </w:r>
          </w:p>
        </w:tc>
        <w:tc>
          <w:tcPr>
            <w:tcW w:type="dxa" w:w="3900"/>
            <w:tcMar>
              <w:top w:type="dxa" w:w="60"/>
              <w:left w:type="dxa" w:w="100"/>
              <w:bottom w:type="dxa" w:w="60"/>
              <w:right w:type="dxa" w:w="100"/>
            </w:tcMar>
          </w:tcPr>
          <w:p>
            <w:pPr>
              <w:spacing w:after="0" w:line="240"/>
            </w:pPr>
            <w:r>
              <w:rPr>
                <w:b w:val="false"/>
                <w:bCs w:val="false"/>
                <w:sz w:val="18"/>
                <w:szCs w:val="18"/>
              </w:rPr>
              <w:t xml:space="preserve">No special handling; the background is interpolated by the multi-block stencil</w:t>
            </w:r>
          </w:p>
        </w:tc>
        <w:tc>
          <w:tcPr>
            <w:tcW w:type="dxa" w:w="3780"/>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Invalid background cell</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Delete with a distinct return code and increment a named counter</w:t>
            </w:r>
          </w:p>
        </w:tc>
        <w:tc>
          <w:tcPr>
            <w:tcW w:type="dxa" w:w="3780"/>
            <w:shd w:fill="EEF1F6" w:val="clear"/>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Snapshot-validity time</w:t>
            </w:r>
          </w:p>
        </w:tc>
        <w:tc>
          <w:tcPr>
            <w:tcW w:type="dxa" w:w="3900"/>
            <w:tcMar>
              <w:top w:type="dxa" w:w="60"/>
              <w:left w:type="dxa" w:w="100"/>
              <w:bottom w:type="dxa" w:w="60"/>
              <w:right w:type="dxa" w:w="100"/>
            </w:tcMar>
          </w:tcPr>
          <w:p>
            <w:pPr>
              <w:spacing w:after="0" w:line="240"/>
            </w:pPr>
            <w:r>
              <w:rPr>
                <w:b w:val="false"/>
                <w:bCs w:val="false"/>
                <w:sz w:val="18"/>
                <w:szCs w:val="18"/>
              </w:rPr>
              <w:t xml:space="preserve">Substep is truncated at the boundary; the next substep uses the new snapshot</w:t>
            </w:r>
          </w:p>
        </w:tc>
        <w:tc>
          <w:tcPr>
            <w:tcW w:type="dxa" w:w="3780"/>
            <w:tcMar>
              <w:top w:type="dxa" w:w="60"/>
              <w:left w:type="dxa" w:w="100"/>
              <w:bottom w:type="dxa" w:w="60"/>
              <w:right w:type="dxa" w:w="100"/>
            </w:tcMar>
          </w:tcPr>
          <w:p>
            <w:pPr>
              <w:spacing w:after="0" w:line="240"/>
            </w:pPr>
            <w:r>
              <w:rPr>
                <w:b w:val="false"/>
                <w:bCs w:val="false"/>
                <w:sz w:val="18"/>
                <w:szCs w:val="18"/>
              </w:rPr>
              <w:t xml:space="preserve">Same</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Shock surface (SWCME)</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Substep truncated at the crossing; the crossing is recorded for the DSA diagnostic</w:t>
            </w:r>
          </w:p>
        </w:tc>
        <w:tc>
          <w:tcPr>
            <w:tcW w:type="dxa" w:w="3780"/>
            <w:shd w:fill="EEF1F6" w:val="clear"/>
            <w:tcMar>
              <w:top w:type="dxa" w:w="60"/>
              <w:left w:type="dxa" w:w="100"/>
              <w:bottom w:type="dxa" w:w="60"/>
              <w:right w:type="dxa" w:w="100"/>
            </w:tcMar>
          </w:tcPr>
          <w:p>
            <w:pPr>
              <w:spacing w:after="0" w:line="240"/>
            </w:pPr>
            <w:r>
              <w:rPr>
                <w:b w:val="false"/>
                <w:bCs w:val="false"/>
                <w:sz w:val="18"/>
                <w:szCs w:val="18"/>
              </w:rPr>
              <w:t xml:space="preserve">Same</w:t>
            </w:r>
          </w:p>
        </w:tc>
      </w:tr>
    </w:tbl>
    <w:p>
      <w:pPr>
        <w:spacing w:after="140"/>
      </w:pPr>
    </w:p>
    <w:p>
      <w:pPr>
        <w:pStyle w:val="Heading2"/>
        <w:spacing w:after="120" w:before="280"/>
      </w:pPr>
      <w:r>
        <w:t xml:space="preserve">7.5 Parallelism and reproducibility</w:t>
      </w:r>
    </w:p>
    <w:p>
      <w:pPr>
        <w:pStyle w:val="ListParagraph"/>
        <w:numPr>
          <w:ilvl w:val="0"/>
          <w:numId w:val="3"/>
        </w:numPr>
        <w:spacing w:after="60" w:line="264"/>
      </w:pPr>
      <w:r>
        <w:rPr>
          <w:b w:val="false"/>
          <w:bCs w:val="false"/>
          <w:i w:val="false"/>
          <w:iCs w:val="false"/>
        </w:rPr>
        <w:t xml:space="preserve">Particles are attached to mesh cells and use the standard AMPS temporary-list commit protocol, so the existing load balancing, block migration, and MPI exchange all work without modification.</w:t>
      </w:r>
    </w:p>
    <w:p>
      <w:pPr>
        <w:pStyle w:val="ListParagraph"/>
        <w:numPr>
          <w:ilvl w:val="0"/>
          <w:numId w:val="3"/>
        </w:numPr>
        <w:spacing w:after="60" w:line="264"/>
      </w:pPr>
      <w:r>
        <w:rPr>
          <w:b w:val="false"/>
          <w:bCs w:val="false"/>
          <w:i w:val="false"/>
          <w:iCs w:val="false"/>
        </w:rPr>
        <w:t xml:space="preserve">No mover writes to shared background arrays. Any future particle-to-wave feedback follows srcSEP’s pattern: self-contained coupling records with physical keys, published once the in-domain interval completes, reduced in one canonical order that excludes ranks, threads, and buffer addresses.</w:t>
      </w:r>
    </w:p>
    <w:p>
      <w:pPr>
        <w:pStyle w:val="ListParagraph"/>
        <w:numPr>
          <w:ilvl w:val="0"/>
          <w:numId w:val="3"/>
        </w:numPr>
        <w:spacing w:after="60" w:line="264"/>
      </w:pPr>
      <w:r>
        <w:rPr>
          <w:b w:val="false"/>
          <w:bCs w:val="false"/>
          <w:i w:val="false"/>
          <w:iCs w:val="false"/>
        </w:rPr>
        <w:t xml:space="preserve">Sampled moments are reduced with srcSEP’s deterministic reduction contract, so a 1-rank run and a 64-rank run produce bit-identical output for a fixed seed. This is asserted by a Stage-2 test, not assumed.</w:t>
      </w:r>
    </w:p>
    <w:p>
      <w:pPr>
        <w:pStyle w:val="ListParagraph"/>
        <w:numPr>
          <w:ilvl w:val="0"/>
          <w:numId w:val="3"/>
        </w:numPr>
        <w:spacing w:after="60" w:line="264"/>
      </w:pPr>
      <w:r>
        <w:rPr>
          <w:b w:val="false"/>
          <w:bCs w:val="false"/>
          <w:i w:val="false"/>
          <w:iCs w:val="false"/>
        </w:rPr>
        <w:t xml:space="preserve">A per-species diagnostic counter set is maintained: substep count, binding-limit histogram, boundary-exit counts by cause, invalid-coefficient events, ballistic-state events, and max r_L/L_B. These are printed per output interval and written to the manifest.</w:t>
      </w:r>
    </w:p>
    <w:p>
      <w:r>
        <w:br w:type="page"/>
      </w:r>
    </w:p>
    <w:p>
      <w:pPr>
        <w:pStyle w:val="Heading1"/>
        <w:spacing w:after="160" w:before="360"/>
      </w:pPr>
      <w:r>
        <w:t xml:space="preserve">8. Command-Line Contract and Run Configuration</w:t>
      </w:r>
    </w:p>
    <w:p>
      <w:pPr>
        <w:spacing w:after="120" w:line="264"/>
        <w:jc w:val="left"/>
      </w:pPr>
      <w:r>
        <w:rPr>
          <w:b w:val="false"/>
          <w:bCs w:val="false"/>
          <w:i w:val="false"/>
          <w:iCs w:val="false"/>
        </w:rPr>
        <w:t xml:space="preserve">srcSEP3D reuses srcSEP’s parser conventions exactly: case-insensitive values, both </w:t>
      </w:r>
      <w:r>
        <w:rPr>
          <w:rFonts w:ascii="Consolas" w:cs="Consolas" w:eastAsia="Consolas" w:hAnsi="Consolas"/>
          <w:b w:val="false"/>
          <w:bCs w:val="false"/>
          <w:i w:val="false"/>
          <w:iCs w:val="false"/>
          <w:sz w:val="19"/>
          <w:szCs w:val="19"/>
        </w:rPr>
        <w:t xml:space="preserve">--option value</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--option=value</w:t>
      </w:r>
      <w:r>
        <w:rPr>
          <w:b w:val="false"/>
          <w:bCs w:val="false"/>
          <w:i w:val="false"/>
          <w:iCs w:val="false"/>
        </w:rPr>
        <w:t xml:space="preserve"> forms, last-occurrence-wins for repeated options, malformed or unknown options failing before model initialisation, and discovery modes (</w:t>
      </w:r>
      <w:r>
        <w:rPr>
          <w:rFonts w:ascii="Consolas" w:cs="Consolas" w:eastAsia="Consolas" w:hAnsi="Consolas"/>
          <w:b w:val="false"/>
          <w:bCs w:val="false"/>
          <w:i w:val="false"/>
          <w:iCs w:val="false"/>
          <w:sz w:val="19"/>
          <w:szCs w:val="19"/>
        </w:rPr>
        <w:t xml:space="preserve">--help</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--list-movers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--list-tests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--list-background-providers</w:t>
      </w:r>
      <w:r>
        <w:rPr>
          <w:b w:val="false"/>
          <w:bCs w:val="false"/>
          <w:i w:val="false"/>
          <w:iCs w:val="false"/>
        </w:rPr>
        <w:t xml:space="preserve">) exiting before initialisation. Precedence is compiled defaults &lt; input file &lt; command line.</w:t>
      </w:r>
    </w:p>
    <w:p>
      <w:pPr>
        <w:pStyle w:val="Heading2"/>
        <w:spacing w:after="120" w:before="280"/>
      </w:pPr>
      <w:r>
        <w:t xml:space="preserve">8.1 Option groups</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 ---- domain and mesh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--domain earth | mars | custom</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--domain-half-width-au &lt;AU&gt;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--inner-boundary-radius-rs &lt;R_sun&gt;          # default 1.05</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--outer-boundary cube | spherical           # default cube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--mesh-background-resolution &lt;value&gt;&lt;m|au|rs&gt;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--mesh-radial-law power-law | exponential   # default power-law</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--mesh-solar-surface-resolution &lt;value&gt;&lt;m|au|rs&gt;   # Delta_0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--mesh-radial-exponent &lt;alpha&gt;              # default 1.0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--mesh-radial-scale-height &lt;value&gt;&lt;m|rs&gt;    # exponential law only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--mesh-max-level &lt;N&gt;                        # default 14</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--mesh-save &lt;file.msh&gt;  --mesh-load &lt;file.msh&gt;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--print-mesh-budget                         # level map + memory, then exit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flux tubes (repeatable)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--flux-tube-target earth | mars | &lt;x,y,z in AU&gt;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--flux-tube-seed &lt;r_Rs,lat_deg,lon_deg&gt;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--flux-tube-angular-half-width-deg &lt;psi&gt;    # default 3.0</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--flux-tube-width-law conical | flux-conserving | constant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--flux-tube-levels &lt;Lambda&gt;                 # default 3</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--flux-tube-shoulder &lt;sigma&gt;                # default 0.25</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--flux-tube-distance fast | exact           # default fast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background field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--background-field parker | swcme | external-script | amps-datafile | swmf</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--background-reference-field &lt;same set&gt;     # read-only, diagnostics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--background-update-interval &lt;seconds|Niter&gt;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--parker-b1au-nt &lt;nT&gt;      --parker-polarity +1|-1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--parker-vsw-kms &lt;km/s&gt;    --parker-source-radius-rs &lt;R_sun&gt;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--parker-rotation-rate &lt;rad/s&gt;  --parker-rotation-axis &lt;x,y,z&gt;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--parker-n1au-cm3 &lt;cm^-3&gt;  --parker-t-k &lt;K&gt;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--swcme-config &lt;file&gt;      --swcme-scenario fast | slow</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--swcme-region-mode shock-only | full-icme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--swcme-acceleration-mode source | resolved-compression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RESERVED, rejected in release 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--external-field-script &lt;path&gt;   --external-field-python &lt;interp&gt;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--external-field-workdir &lt;dir&gt;   --external-field-timeout &lt;s&gt;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--external-field-format binary | csv</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--external-field-units t | nt | g</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--external-field-missing-policy mark-invalid | parker-fallback | fail | zero</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--external-field-launch rank0 | per-rank</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--external-field-cache on | off</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--external-field-arg KEY=VALUE              # repeatable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transport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--particle-mover parker3d | fte3d           # default parker3d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--focused-equation-mode full | reduced      # default full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--coefficient-source prescribed | swmf</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--parallel-diffusion-provider from-dmumu | from-mfp | constant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--pitch-angle-diffusion-provider constant | jokipii-1966 | florinskiy | qlt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--mean-free-path-provider qlt | qlt1 | tenishev-2005 | chen-2024 | from-spatial</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--perpendicular-diffusion-provider none     # RESERVED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--drift-provider none                       # RESERVED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--invalid-coefficient-policy fail | ballistic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--resonance-gap-policy reject | ballistic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--spectrum-extension-policy reject | extend-power-law | dissipation-range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--constant-dmumu &lt;1/s&gt;   --constant-kappa-parallel &lt;m^2/s&gt;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--coefficient-k-min &lt;1/m&gt;  --coefficient-k-max &lt;1/m&gt;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--coefficient-reference-radius &lt;m&gt;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--prescribed-delta-b-over-b &lt;0..1&gt;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--coefficient-correlation-length &lt;m&gt;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--kappa-gradient-mode numerical | analytic</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timestep budget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--transport-cell-fraction &lt;eps_cell&gt;        # default 0.3</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--transport-diffusion-fraction &lt;eps_diff&gt;   # default 0.25</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--transport-cooling-log-change &lt;eps_p&gt;      # default 0.05</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--transport-focusing-mu-change &lt;eps_mu&gt;     # default 0.1</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--transport-stochastic-mu-rms &lt;eps_murms&gt;   # default 0.2</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--transport-field-gradient-fraction &lt;eps_B&gt; # default 0.2</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--transport-min-step &lt;s&gt;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species, sources, run control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--species h+,e-,he2+                        # comma separated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--injection-source inner-boundary | shock | volumetric | file</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--injection-particles-per-iteration &lt;N&gt;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--injection-spectrum power-law | kappa | const-energy</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--injection-emin-mev &lt;MeV&gt;  --injection-emax-mev &lt;MeV&gt;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--injection-power-index &lt;gamma&gt;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--total-iterations &lt;N&gt;     --campaign-seed &lt;N&gt;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--output-interval &lt;N&gt;      --output-directory &lt;dir&gt;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--restart-save &lt;file&gt;      --restart-load &lt;file&gt;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 testing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--list-tests  --test &lt;ID&gt;  --test-group &lt;G&gt;  --all-tests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--test-json &lt;path&gt;  --test-junit &lt;path&gt;</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--test-input &lt;path&gt; --test-artifact-directory &lt;dir&gt;</w:t>
      </w:r>
    </w:p>
    <w:p>
      <w:pPr>
        <w:pStyle w:val="Heading2"/>
        <w:spacing w:after="120" w:before="280"/>
      </w:pPr>
      <w:r>
        <w:t xml:space="preserve">8.2 Immutable run configuration and fingerprinting</w:t>
      </w:r>
    </w:p>
    <w:p>
      <w:pPr>
        <w:spacing w:after="120" w:line="264"/>
        <w:jc w:val="left"/>
      </w:pPr>
      <w:r>
        <w:rPr>
          <w:b w:val="false"/>
          <w:bCs w:val="false"/>
          <w:i w:val="false"/>
          <w:iCs w:val="false"/>
        </w:rPr>
        <w:t xml:space="preserve">After the input file and command line are resolved, every value is copied into a validated immutable </w:t>
      </w:r>
      <w:r>
        <w:rPr>
          <w:rFonts w:ascii="Consolas" w:cs="Consolas" w:eastAsia="Consolas" w:hAnsi="Consolas"/>
          <w:b w:val="false"/>
          <w:bCs w:val="false"/>
          <w:i w:val="false"/>
          <w:iCs w:val="false"/>
          <w:sz w:val="19"/>
          <w:szCs w:val="19"/>
        </w:rPr>
        <w:t xml:space="preserve">RunConfiguration3D</w:t>
      </w:r>
      <w:r>
        <w:rPr>
          <w:b w:val="false"/>
          <w:bCs w:val="false"/>
          <w:i w:val="false"/>
          <w:iCs w:val="false"/>
        </w:rPr>
        <w:t xml:space="preserve">, following srcSEP’s WP30 pattern. Startup prints the complete resolved configuration, the source layer of each value (default / file / CLI), and a fingerprint that covers:</w:t>
      </w:r>
    </w:p>
    <w:p>
      <w:pPr>
        <w:pStyle w:val="ListParagraph"/>
        <w:numPr>
          <w:ilvl w:val="0"/>
          <w:numId w:val="3"/>
        </w:numPr>
        <w:spacing w:after="60" w:line="264"/>
      </w:pPr>
      <w:r>
        <w:t xml:space="preserve">Domain, mesh, and every flux-tube specification.</w:t>
      </w:r>
    </w:p>
    <w:p>
      <w:pPr>
        <w:pStyle w:val="ListParagraph"/>
        <w:numPr>
          <w:ilvl w:val="0"/>
          <w:numId w:val="3"/>
        </w:numPr>
        <w:spacing w:after="60" w:line="264"/>
      </w:pPr>
      <w:r>
        <w:t xml:space="preserve">Background provider identity plus the provider’s own configuration digest (SWCME’s digest, or the external script’s SHA-256).</w:t>
      </w:r>
    </w:p>
    <w:p>
      <w:pPr>
        <w:pStyle w:val="ListParagraph"/>
        <w:numPr>
          <w:ilvl w:val="0"/>
          <w:numId w:val="3"/>
        </w:numPr>
        <w:spacing w:after="60" w:line="264"/>
      </w:pPr>
      <w:r>
        <w:t xml:space="preserve">Mover selection, equation mode, and the complete coefficient registry selection including the reserved perpendicular and drift slots.</w:t>
      </w:r>
    </w:p>
    <w:p>
      <w:pPr>
        <w:pStyle w:val="ListParagraph"/>
        <w:numPr>
          <w:ilvl w:val="0"/>
          <w:numId w:val="3"/>
        </w:numPr>
        <w:spacing w:after="60" w:line="264"/>
      </w:pPr>
      <w:r>
        <w:t xml:space="preserve">Timestep budget, species table, injection specification, and campaign seed.</w:t>
      </w:r>
    </w:p>
    <w:p>
      <w:pPr>
        <w:spacing w:after="120" w:line="264"/>
        <w:jc w:val="left"/>
      </w:pPr>
      <w:r>
        <w:t xml:space="preserve">A restart whose fingerprint differs from the checkpoint is rejected rather than silently adopting either value. Because the reserved slots are inside the fingerprint, a release-1 run and a future run with perpendicular diffusion enabled are distinguishable in the archive even if every other setting is identical.</w:t>
      </w:r>
    </w:p>
    <w:p>
      <w:r>
        <w:br w:type="page"/>
      </w:r>
    </w:p>
    <w:p>
      <w:pPr>
        <w:pStyle w:val="Heading1"/>
        <w:spacing w:after="160" w:before="360"/>
      </w:pPr>
      <w:r>
        <w:t xml:space="preserve">9. Sources, Sampling, and Output</w:t>
      </w:r>
    </w:p>
    <w:p>
      <w:pPr>
        <w:pStyle w:val="Heading2"/>
        <w:spacing w:after="120" w:before="280"/>
      </w:pPr>
      <w:r>
        <w:t xml:space="preserve">9.1 Particle sources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700"/>
        <w:gridCol w:w="6800"/>
        <w:gridCol w:w="1580"/>
      </w:tblGrid>
      <w:tr>
        <w:trPr>
          <w:tblHeader/>
        </w:trPr>
        <w:tc>
          <w:tcPr>
            <w:tcW w:type="dxa" w:w="1700"/>
            <w:shd w:fill="1F3864" w:val="clear"/>
            <w:tcMar>
              <w:top w:type="dxa" w:w="60"/>
              <w:left w:type="dxa" w:w="100"/>
              <w:bottom w:type="dxa" w:w="60"/>
              <w:right w:type="dxa" w:w="100"/>
            </w:tcMar>
          </w:tcPr>
          <w:p>
            <w:pPr>
              <w:spacing w:after="0" w:line="240"/>
            </w:pPr>
            <w:r>
              <w:rPr>
                <w:b/>
                <w:bCs/>
                <w:color w:val="FFFFFF"/>
                <w:sz w:val="18"/>
                <w:szCs w:val="18"/>
              </w:rPr>
              <w:t xml:space="preserve">Source</w:t>
            </w:r>
          </w:p>
        </w:tc>
        <w:tc>
          <w:tcPr>
            <w:tcW w:type="dxa" w:w="6800"/>
            <w:shd w:fill="1F3864" w:val="clear"/>
            <w:tcMar>
              <w:top w:type="dxa" w:w="60"/>
              <w:left w:type="dxa" w:w="100"/>
              <w:bottom w:type="dxa" w:w="60"/>
              <w:right w:type="dxa" w:w="100"/>
            </w:tcMar>
          </w:tcPr>
          <w:p>
            <w:pPr>
              <w:spacing w:after="0" w:line="240"/>
            </w:pPr>
            <w:r>
              <w:rPr>
                <w:b/>
                <w:bCs/>
                <w:color w:val="FFFFFF"/>
                <w:sz w:val="18"/>
                <w:szCs w:val="18"/>
              </w:rPr>
              <w:t xml:space="preserve">Description</w:t>
            </w:r>
          </w:p>
        </w:tc>
        <w:tc>
          <w:tcPr>
            <w:tcW w:type="dxa" w:w="1580"/>
            <w:shd w:fill="1F3864" w:val="clear"/>
            <w:tcMar>
              <w:top w:type="dxa" w:w="60"/>
              <w:left w:type="dxa" w:w="100"/>
              <w:bottom w:type="dxa" w:w="60"/>
              <w:right w:type="dxa" w:w="100"/>
            </w:tcMar>
          </w:tcPr>
          <w:p>
            <w:pPr>
              <w:spacing w:after="0" w:line="240"/>
            </w:pPr>
            <w:r>
              <w:rPr>
                <w:b/>
                <w:bCs/>
                <w:color w:val="FFFFFF"/>
                <w:sz w:val="18"/>
                <w:szCs w:val="18"/>
              </w:rPr>
              <w:t xml:space="preserve">Release</w:t>
            </w:r>
          </w:p>
        </w:tc>
      </w:tr>
      <w:tr>
        <w:tc>
          <w:tcPr>
            <w:tcW w:type="dxa" w:w="1700"/>
            <w:tcMar>
              <w:top w:type="dxa" w:w="60"/>
              <w:left w:type="dxa" w:w="100"/>
              <w:bottom w:type="dxa" w:w="60"/>
              <w:right w:type="dxa" w:w="100"/>
            </w:tcMar>
          </w:tcPr>
          <w:p>
            <w:pPr>
              <w:spacing w:after="0" w:line="240"/>
            </w:pPr>
            <w:r>
              <w:rPr>
                <w:b w:val="false"/>
                <w:bCs w:val="false"/>
                <w:sz w:val="18"/>
                <w:szCs w:val="18"/>
              </w:rPr>
              <w:t xml:space="preserve">inner-boundary</w:t>
            </w:r>
          </w:p>
        </w:tc>
        <w:tc>
          <w:tcPr>
            <w:tcW w:type="dxa" w:w="6800"/>
            <w:tcMar>
              <w:top w:type="dxa" w:w="60"/>
              <w:left w:type="dxa" w:w="100"/>
              <w:bottom w:type="dxa" w:w="60"/>
              <w:right w:type="dxa" w:w="100"/>
            </w:tcMar>
          </w:tcPr>
          <w:p>
            <w:pPr>
              <w:spacing w:after="0" w:line="240"/>
            </w:pPr>
            <w:r>
              <w:rPr>
                <w:b w:val="false"/>
                <w:bCs w:val="false"/>
                <w:sz w:val="18"/>
                <w:szCs w:val="18"/>
              </w:rPr>
              <w:t xml:space="preserve">Injection from the r_in sphere with a configurable spectrum, angular distribution, and spatial pattern (uniform, active-region cap, or a map read from file). Uses the existing AMPS internal-sphere injection machinery.</w:t>
            </w:r>
          </w:p>
        </w:tc>
        <w:tc>
          <w:tcPr>
            <w:tcW w:type="dxa" w:w="1580"/>
            <w:tcMar>
              <w:top w:type="dxa" w:w="60"/>
              <w:left w:type="dxa" w:w="100"/>
              <w:bottom w:type="dxa" w:w="60"/>
              <w:right w:type="dxa" w:w="100"/>
            </w:tcMar>
          </w:tcPr>
          <w:p>
            <w:pPr>
              <w:spacing w:after="0" w:line="240"/>
            </w:pPr>
            <w:r>
              <w:rPr>
                <w:b w:val="false"/>
                <w:bCs w:val="false"/>
                <w:sz w:val="18"/>
                <w:szCs w:val="18"/>
              </w:rPr>
              <w:t xml:space="preserve">1</w:t>
            </w:r>
          </w:p>
        </w:tc>
      </w:tr>
      <w:tr>
        <w:tc>
          <w:tcPr>
            <w:tcW w:type="dxa" w:w="1700"/>
            <w:shd w:fill="EEF1F6" w:val="clear"/>
            <w:tcMar>
              <w:top w:type="dxa" w:w="60"/>
              <w:left w:type="dxa" w:w="100"/>
              <w:bottom w:type="dxa" w:w="60"/>
              <w:right w:type="dxa" w:w="100"/>
            </w:tcMar>
          </w:tcPr>
          <w:p>
            <w:pPr>
              <w:spacing w:after="0" w:line="240"/>
            </w:pPr>
            <w:r>
              <w:rPr>
                <w:b w:val="false"/>
                <w:bCs w:val="false"/>
                <w:sz w:val="18"/>
                <w:szCs w:val="18"/>
              </w:rPr>
              <w:t xml:space="preserve">volumetric</w:t>
            </w:r>
          </w:p>
        </w:tc>
        <w:tc>
          <w:tcPr>
            <w:tcW w:type="dxa" w:w="6800"/>
            <w:shd w:fill="EEF1F6" w:val="clear"/>
            <w:tcMar>
              <w:top w:type="dxa" w:w="60"/>
              <w:left w:type="dxa" w:w="100"/>
              <w:bottom w:type="dxa" w:w="60"/>
              <w:right w:type="dxa" w:w="100"/>
            </w:tcMar>
          </w:tcPr>
          <w:p>
            <w:pPr>
              <w:spacing w:after="0" w:line="240"/>
            </w:pPr>
            <w:r>
              <w:rPr>
                <w:b w:val="false"/>
                <w:bCs w:val="false"/>
                <w:sz w:val="18"/>
                <w:szCs w:val="18"/>
              </w:rPr>
              <w:t xml:space="preserve">Prepopulation or continuous injection over a specified region; primarily a test and background-population facility.</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1</w:t>
            </w:r>
          </w:p>
        </w:tc>
      </w:tr>
      <w:tr>
        <w:tc>
          <w:tcPr>
            <w:tcW w:type="dxa" w:w="1700"/>
            <w:tcMar>
              <w:top w:type="dxa" w:w="60"/>
              <w:left w:type="dxa" w:w="100"/>
              <w:bottom w:type="dxa" w:w="60"/>
              <w:right w:type="dxa" w:w="100"/>
            </w:tcMar>
          </w:tcPr>
          <w:p>
            <w:pPr>
              <w:spacing w:after="0" w:line="240"/>
            </w:pPr>
            <w:r>
              <w:rPr>
                <w:b w:val="false"/>
                <w:bCs w:val="false"/>
                <w:sz w:val="18"/>
                <w:szCs w:val="18"/>
              </w:rPr>
              <w:t xml:space="preserve">file</w:t>
            </w:r>
          </w:p>
        </w:tc>
        <w:tc>
          <w:tcPr>
            <w:tcW w:type="dxa" w:w="6800"/>
            <w:tcMar>
              <w:top w:type="dxa" w:w="60"/>
              <w:left w:type="dxa" w:w="100"/>
              <w:bottom w:type="dxa" w:w="60"/>
              <w:right w:type="dxa" w:w="100"/>
            </w:tcMar>
          </w:tcPr>
          <w:p>
            <w:pPr>
              <w:spacing w:after="0" w:line="240"/>
            </w:pPr>
            <w:r>
              <w:rPr>
                <w:b w:val="false"/>
                <w:bCs w:val="false"/>
                <w:sz w:val="18"/>
                <w:szCs w:val="18"/>
              </w:rPr>
              <w:t xml:space="preserve">Read a particle list (position, momentum, μ, weight, species, time) from a CSV or binary file. This is the mechanism for driving srcSEP3D from an external accelerator model and for the Stage-3 comparison against srcSEP 1-D with an identical source.</w:t>
            </w:r>
          </w:p>
        </w:tc>
        <w:tc>
          <w:tcPr>
            <w:tcW w:type="dxa" w:w="1580"/>
            <w:tcMar>
              <w:top w:type="dxa" w:w="60"/>
              <w:left w:type="dxa" w:w="100"/>
              <w:bottom w:type="dxa" w:w="60"/>
              <w:right w:type="dxa" w:w="100"/>
            </w:tcMar>
          </w:tcPr>
          <w:p>
            <w:pPr>
              <w:spacing w:after="0" w:line="240"/>
            </w:pPr>
            <w:r>
              <w:rPr>
                <w:b w:val="false"/>
                <w:bCs w:val="false"/>
                <w:sz w:val="18"/>
                <w:szCs w:val="18"/>
              </w:rPr>
              <w:t xml:space="preserve">1</w:t>
            </w:r>
          </w:p>
        </w:tc>
      </w:tr>
      <w:tr>
        <w:tc>
          <w:tcPr>
            <w:tcW w:type="dxa" w:w="1700"/>
            <w:shd w:fill="EEF1F6" w:val="clear"/>
            <w:tcMar>
              <w:top w:type="dxa" w:w="60"/>
              <w:left w:type="dxa" w:w="100"/>
              <w:bottom w:type="dxa" w:w="60"/>
              <w:right w:type="dxa" w:w="100"/>
            </w:tcMar>
          </w:tcPr>
          <w:p>
            <w:pPr>
              <w:spacing w:after="0" w:line="240"/>
            </w:pPr>
            <w:r>
              <w:rPr>
                <w:b w:val="false"/>
                <w:bCs w:val="false"/>
                <w:sz w:val="18"/>
                <w:szCs w:val="18"/>
              </w:rPr>
              <w:t xml:space="preserve">shock</w:t>
            </w:r>
          </w:p>
        </w:tc>
        <w:tc>
          <w:tcPr>
            <w:tcW w:type="dxa" w:w="6800"/>
            <w:shd w:fill="EEF1F6" w:val="clear"/>
            <w:tcMar>
              <w:top w:type="dxa" w:w="60"/>
              <w:left w:type="dxa" w:w="100"/>
              <w:bottom w:type="dxa" w:w="60"/>
              <w:right w:type="dxa" w:w="100"/>
            </w:tcMar>
          </w:tcPr>
          <w:p>
            <w:pPr>
              <w:spacing w:after="0" w:line="240"/>
            </w:pPr>
            <w:r>
              <w:rPr>
                <w:b w:val="false"/>
                <w:bCs w:val="false"/>
                <w:sz w:val="18"/>
                <w:szCs w:val="18"/>
              </w:rPr>
              <w:t xml:space="preserve">Diffusive-shock-acceleration source on the SWCME shock surface, sampled by physical area using build_shock_surface_source() and sample_triangle_by_area() with a keyed variate. Weighting follows SWCME’s RelativeOnly or ReferenceDifferentialIntensity normalisation, which is carried through to the output units.</w:t>
            </w:r>
          </w:p>
        </w:tc>
        <w:tc>
          <w:tcPr>
            <w:tcW w:type="dxa" w:w="1580"/>
            <w:shd w:fill="EEF1F6" w:val="clear"/>
            <w:tcMar>
              <w:top w:type="dxa" w:w="60"/>
              <w:left w:type="dxa" w:w="100"/>
              <w:bottom w:type="dxa" w:w="60"/>
              <w:right w:type="dxa" w:w="100"/>
            </w:tcMar>
          </w:tcPr>
          <w:p>
            <w:pPr>
              <w:spacing w:after="0" w:line="240"/>
            </w:pPr>
            <w:r>
              <w:rPr>
                <w:b w:val="false"/>
                <w:bCs w:val="false"/>
                <w:sz w:val="18"/>
                <w:szCs w:val="18"/>
              </w:rPr>
              <w:t xml:space="preserve">1 (SWCME only)</w:t>
            </w:r>
          </w:p>
        </w:tc>
      </w:tr>
    </w:tbl>
    <w:p>
      <w:pPr>
        <w:spacing w:after="140"/>
      </w:pPr>
    </w:p>
    <w:p>
      <w:pPr>
        <w:spacing w:after="120" w:line="264"/>
        <w:jc w:val="left"/>
      </w:pPr>
      <w:r>
        <w:rPr>
          <w:b w:val="false"/>
          <w:bCs w:val="false"/>
          <w:i w:val="false"/>
          <w:iCs w:val="false"/>
        </w:rPr>
        <w:t xml:space="preserve">Injection spectra reuse srcSEP’s </w:t>
      </w:r>
      <w:r>
        <w:rPr>
          <w:rFonts w:ascii="Consolas" w:cs="Consolas" w:eastAsia="Consolas" w:hAnsi="Consolas"/>
          <w:b w:val="false"/>
          <w:bCs w:val="false"/>
          <w:i w:val="false"/>
          <w:iCs w:val="false"/>
          <w:sz w:val="19"/>
          <w:szCs w:val="19"/>
        </w:rPr>
        <w:t xml:space="preserve">sep_injection_spectrum</w:t>
      </w:r>
      <w:r>
        <w:rPr>
          <w:b w:val="false"/>
          <w:bCs w:val="false"/>
          <w:i w:val="false"/>
          <w:iCs w:val="false"/>
        </w:rPr>
        <w:t xml:space="preserve"> kernel so that a 1-D and a 3-D run given the same spectral parameters inject statistically identical populations — a prerequisite for the Stage-3 comparison to mean anything. The same applies to the species table: per-species abundance, signed charge, mass, nucleon count, and injection efficiency come from srcSEP’s </w:t>
      </w:r>
      <w:r>
        <w:rPr>
          <w:rFonts w:ascii="Consolas" w:cs="Consolas" w:eastAsia="Consolas" w:hAnsi="Consolas"/>
          <w:b w:val="false"/>
          <w:bCs w:val="false"/>
          <w:i w:val="false"/>
          <w:iCs w:val="false"/>
          <w:sz w:val="19"/>
          <w:szCs w:val="19"/>
        </w:rPr>
        <w:t xml:space="preserve">SpeciesSource</w:t>
      </w:r>
      <w:r>
        <w:rPr>
          <w:b w:val="false"/>
          <w:bCs w:val="false"/>
          <w:i w:val="false"/>
          <w:iCs w:val="false"/>
        </w:rPr>
        <w:t xml:space="preserve"> API.</w:t>
      </w:r>
    </w:p>
    <w:p>
      <w:pPr>
        <w:pStyle w:val="Heading2"/>
        <w:spacing w:after="120" w:before="280"/>
      </w:pPr>
      <w:r>
        <w:t xml:space="preserve">9.2 Sampling products</w:t>
      </w:r>
    </w:p>
    <w:p>
      <w:pPr>
        <w:spacing w:after="120" w:line="264"/>
        <w:jc w:val="left"/>
      </w:pPr>
      <w:r>
        <w:rPr>
          <w:b w:val="false"/>
          <w:bCs w:val="false"/>
          <w:i w:val="false"/>
          <w:iCs w:val="false"/>
        </w:rPr>
        <w:t xml:space="preserve">srcSEP’s Step 5 explicitly transferred volumetric sampling to the 3-D application. srcSEP3D therefore owns it. All products are unit-bearing and carry an effective sample size derived from Σw², following srcSEP’s WP28 contract.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600"/>
        <w:gridCol w:w="3400"/>
        <w:gridCol w:w="2000"/>
        <w:gridCol w:w="2080"/>
      </w:tblGrid>
      <w:tr>
        <w:trPr>
          <w:tblHeader/>
        </w:trPr>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Product</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Definition</w:t>
            </w:r>
          </w:p>
        </w:tc>
        <w:tc>
          <w:tcPr>
            <w:tcW w:type="dxa" w:w="2000"/>
            <w:shd w:fill="1F3864" w:val="clear"/>
            <w:tcMar>
              <w:top w:type="dxa" w:w="60"/>
              <w:left w:type="dxa" w:w="100"/>
              <w:bottom w:type="dxa" w:w="60"/>
              <w:right w:type="dxa" w:w="100"/>
            </w:tcMar>
          </w:tcPr>
          <w:p>
            <w:pPr>
              <w:spacing w:after="0" w:line="240"/>
            </w:pPr>
            <w:r>
              <w:rPr>
                <w:b/>
                <w:bCs/>
                <w:color w:val="FFFFFF"/>
                <w:sz w:val="18"/>
                <w:szCs w:val="18"/>
              </w:rPr>
              <w:t xml:space="preserve">Units</w:t>
            </w:r>
          </w:p>
        </w:tc>
        <w:tc>
          <w:tcPr>
            <w:tcW w:type="dxa" w:w="2080"/>
            <w:shd w:fill="1F3864" w:val="clear"/>
            <w:tcMar>
              <w:top w:type="dxa" w:w="60"/>
              <w:left w:type="dxa" w:w="100"/>
              <w:bottom w:type="dxa" w:w="60"/>
              <w:right w:type="dxa" w:w="100"/>
            </w:tcMar>
          </w:tcPr>
          <w:p>
            <w:pPr>
              <w:spacing w:after="0" w:line="240"/>
            </w:pPr>
            <w:r>
              <w:rPr>
                <w:b/>
                <w:bCs/>
                <w:color w:val="FFFFFF"/>
                <w:sz w:val="18"/>
                <w:szCs w:val="18"/>
              </w:rPr>
              <w:t xml:space="preserve">Geometry</w:t>
            </w:r>
          </w:p>
        </w:tc>
      </w:tr>
      <w:tr>
        <w:tc>
          <w:tcPr>
            <w:tcW w:type="dxa" w:w="2600"/>
            <w:tcMar>
              <w:top w:type="dxa" w:w="60"/>
              <w:left w:type="dxa" w:w="100"/>
              <w:bottom w:type="dxa" w:w="60"/>
              <w:right w:type="dxa" w:w="100"/>
            </w:tcMar>
          </w:tcPr>
          <w:p>
            <w:pPr>
              <w:spacing w:after="0" w:line="240"/>
            </w:pPr>
            <w:r>
              <w:rPr>
                <w:b w:val="false"/>
                <w:bCs w:val="false"/>
                <w:sz w:val="18"/>
                <w:szCs w:val="18"/>
              </w:rPr>
              <w:t xml:space="preserve">Number density</w:t>
            </w:r>
          </w:p>
        </w:tc>
        <w:tc>
          <w:tcPr>
            <w:tcW w:type="dxa" w:w="3400"/>
            <w:tcMar>
              <w:top w:type="dxa" w:w="60"/>
              <w:left w:type="dxa" w:w="100"/>
              <w:bottom w:type="dxa" w:w="60"/>
              <w:right w:type="dxa" w:w="100"/>
            </w:tcMar>
          </w:tcPr>
          <w:p>
            <w:pPr>
              <w:spacing w:after="0" w:line="240"/>
            </w:pPr>
            <w:r>
              <w:rPr>
                <w:b w:val="false"/>
                <w:bCs w:val="false"/>
                <w:sz w:val="18"/>
                <w:szCs w:val="18"/>
              </w:rPr>
              <w:t xml:space="preserve">Σ w / V_cell</w:t>
            </w:r>
          </w:p>
        </w:tc>
        <w:tc>
          <w:tcPr>
            <w:tcW w:type="dxa" w:w="2000"/>
            <w:tcMar>
              <w:top w:type="dxa" w:w="60"/>
              <w:left w:type="dxa" w:w="100"/>
              <w:bottom w:type="dxa" w:w="60"/>
              <w:right w:type="dxa" w:w="100"/>
            </w:tcMar>
          </w:tcPr>
          <w:p>
            <w:pPr>
              <w:spacing w:after="0" w:line="240"/>
            </w:pPr>
            <w:r>
              <w:rPr>
                <w:b w:val="false"/>
                <w:bCs w:val="false"/>
                <w:sz w:val="18"/>
                <w:szCs w:val="18"/>
              </w:rPr>
              <w:t xml:space="preserve">m⁻³</w:t>
            </w:r>
          </w:p>
        </w:tc>
        <w:tc>
          <w:tcPr>
            <w:tcW w:type="dxa" w:w="2080"/>
            <w:tcMar>
              <w:top w:type="dxa" w:w="60"/>
              <w:left w:type="dxa" w:w="100"/>
              <w:bottom w:type="dxa" w:w="60"/>
              <w:right w:type="dxa" w:w="100"/>
            </w:tcMar>
          </w:tcPr>
          <w:p>
            <w:pPr>
              <w:spacing w:after="0" w:line="240"/>
            </w:pPr>
            <w:r>
              <w:rPr>
                <w:b w:val="false"/>
                <w:bCs w:val="false"/>
                <w:sz w:val="18"/>
                <w:szCs w:val="18"/>
              </w:rPr>
              <w:t xml:space="preserve">per cell</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Omnidirectional differential intensity</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j(E) from the binned momentum distribution</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m⁻² s⁻¹ sr⁻¹ J⁻¹</w:t>
            </w:r>
          </w:p>
        </w:tc>
        <w:tc>
          <w:tcPr>
            <w:tcW w:type="dxa" w:w="2080"/>
            <w:shd w:fill="EEF1F6" w:val="clear"/>
            <w:tcMar>
              <w:top w:type="dxa" w:w="60"/>
              <w:left w:type="dxa" w:w="100"/>
              <w:bottom w:type="dxa" w:w="60"/>
              <w:right w:type="dxa" w:w="100"/>
            </w:tcMar>
          </w:tcPr>
          <w:p>
            <w:pPr>
              <w:spacing w:after="0" w:line="240"/>
            </w:pPr>
            <w:r>
              <w:rPr>
                <w:b w:val="false"/>
                <w:bCs w:val="false"/>
                <w:sz w:val="18"/>
                <w:szCs w:val="18"/>
              </w:rPr>
              <w:t xml:space="preserve">per cell or per probe volume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Directional flux</w:t>
            </w:r>
          </w:p>
        </w:tc>
        <w:tc>
          <w:tcPr>
            <w:tcW w:type="dxa" w:w="3400"/>
            <w:tcMar>
              <w:top w:type="dxa" w:w="60"/>
              <w:left w:type="dxa" w:w="100"/>
              <w:bottom w:type="dxa" w:w="60"/>
              <w:right w:type="dxa" w:w="100"/>
            </w:tcMar>
          </w:tcPr>
          <w:p>
            <w:pPr>
              <w:spacing w:after="0" w:line="240"/>
            </w:pPr>
            <w:r>
              <w:rPr>
                <w:b w:val="false"/>
                <w:bCs w:val="false"/>
                <w:sz w:val="18"/>
                <w:szCs w:val="18"/>
              </w:rPr>
              <w:t xml:space="preserve">crossing flux through a specified surface</w:t>
            </w:r>
          </w:p>
        </w:tc>
        <w:tc>
          <w:tcPr>
            <w:tcW w:type="dxa" w:w="2000"/>
            <w:tcMar>
              <w:top w:type="dxa" w:w="60"/>
              <w:left w:type="dxa" w:w="100"/>
              <w:bottom w:type="dxa" w:w="60"/>
              <w:right w:type="dxa" w:w="100"/>
            </w:tcMar>
          </w:tcPr>
          <w:p>
            <w:pPr>
              <w:spacing w:after="0" w:line="240"/>
            </w:pPr>
            <w:r>
              <w:rPr>
                <w:b w:val="false"/>
                <w:bCs w:val="false"/>
                <w:sz w:val="18"/>
                <w:szCs w:val="18"/>
              </w:rPr>
              <w:t xml:space="preserve">m⁻² s⁻¹</w:t>
            </w:r>
          </w:p>
        </w:tc>
        <w:tc>
          <w:tcPr>
            <w:tcW w:type="dxa" w:w="2080"/>
            <w:tcMar>
              <w:top w:type="dxa" w:w="60"/>
              <w:left w:type="dxa" w:w="100"/>
              <w:bottom w:type="dxa" w:w="60"/>
              <w:right w:type="dxa" w:w="100"/>
            </w:tcMar>
          </w:tcPr>
          <w:p>
            <w:pPr>
              <w:spacing w:after="0" w:line="240"/>
            </w:pPr>
            <w:r>
              <w:rPr>
                <w:b w:val="false"/>
                <w:bCs w:val="false"/>
                <w:sz w:val="18"/>
                <w:szCs w:val="18"/>
              </w:rPr>
              <w:t xml:space="preserve">sphere, plane, or triangle set</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Anisotropy</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first three Legendre moments of the μ distribution</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w:t>
            </w:r>
          </w:p>
        </w:tc>
        <w:tc>
          <w:tcPr>
            <w:tcW w:type="dxa" w:w="2080"/>
            <w:shd w:fill="EEF1F6" w:val="clear"/>
            <w:tcMar>
              <w:top w:type="dxa" w:w="60"/>
              <w:left w:type="dxa" w:w="100"/>
              <w:bottom w:type="dxa" w:w="60"/>
              <w:right w:type="dxa" w:w="100"/>
            </w:tcMar>
          </w:tcPr>
          <w:p>
            <w:pPr>
              <w:spacing w:after="0" w:line="240"/>
            </w:pPr>
            <w:r>
              <w:rPr>
                <w:b w:val="false"/>
                <w:bCs w:val="false"/>
                <w:sz w:val="18"/>
                <w:szCs w:val="18"/>
              </w:rPr>
              <w:t xml:space="preserve">per cell (fte3d only)</w:t>
            </w:r>
          </w:p>
        </w:tc>
      </w:tr>
      <w:tr>
        <w:tc>
          <w:tcPr>
            <w:tcW w:type="dxa" w:w="2600"/>
            <w:tcMar>
              <w:top w:type="dxa" w:w="60"/>
              <w:left w:type="dxa" w:w="100"/>
              <w:bottom w:type="dxa" w:w="60"/>
              <w:right w:type="dxa" w:w="100"/>
            </w:tcMar>
          </w:tcPr>
          <w:p>
            <w:pPr>
              <w:spacing w:after="0" w:line="240"/>
            </w:pPr>
            <w:r>
              <w:rPr>
                <w:b w:val="false"/>
                <w:bCs w:val="false"/>
                <w:sz w:val="18"/>
                <w:szCs w:val="18"/>
              </w:rPr>
              <w:t xml:space="preserve">Virtual spacecraft time series</w:t>
            </w:r>
          </w:p>
        </w:tc>
        <w:tc>
          <w:tcPr>
            <w:tcW w:type="dxa" w:w="3400"/>
            <w:tcMar>
              <w:top w:type="dxa" w:w="60"/>
              <w:left w:type="dxa" w:w="100"/>
              <w:bottom w:type="dxa" w:w="60"/>
              <w:right w:type="dxa" w:w="100"/>
            </w:tcMar>
          </w:tcPr>
          <w:p>
            <w:pPr>
              <w:spacing w:after="0" w:line="240"/>
            </w:pPr>
            <w:r>
              <w:rPr>
                <w:b w:val="false"/>
                <w:bCs w:val="false"/>
                <w:sz w:val="18"/>
                <w:szCs w:val="18"/>
              </w:rPr>
              <w:t xml:space="preserve">j(E,t) and anisotropy at a moving or fixed observer</w:t>
            </w:r>
          </w:p>
        </w:tc>
        <w:tc>
          <w:tcPr>
            <w:tcW w:type="dxa" w:w="2000"/>
            <w:tcMar>
              <w:top w:type="dxa" w:w="60"/>
              <w:left w:type="dxa" w:w="100"/>
              <w:bottom w:type="dxa" w:w="60"/>
              <w:right w:type="dxa" w:w="100"/>
            </w:tcMar>
          </w:tcPr>
          <w:p>
            <w:pPr>
              <w:spacing w:after="0" w:line="240"/>
            </w:pPr>
            <w:r>
              <w:rPr>
                <w:b w:val="false"/>
                <w:bCs w:val="false"/>
                <w:sz w:val="18"/>
                <w:szCs w:val="18"/>
              </w:rPr>
              <w:t xml:space="preserve">as above</w:t>
            </w:r>
          </w:p>
        </w:tc>
        <w:tc>
          <w:tcPr>
            <w:tcW w:type="dxa" w:w="2080"/>
            <w:tcMar>
              <w:top w:type="dxa" w:w="60"/>
              <w:left w:type="dxa" w:w="100"/>
              <w:bottom w:type="dxa" w:w="60"/>
              <w:right w:type="dxa" w:w="100"/>
            </w:tcMar>
          </w:tcPr>
          <w:p>
            <w:pPr>
              <w:spacing w:after="0" w:line="240"/>
            </w:pPr>
            <w:r>
              <w:rPr>
                <w:b w:val="false"/>
                <w:bCs w:val="false"/>
                <w:sz w:val="18"/>
                <w:szCs w:val="18"/>
              </w:rPr>
              <w:t xml:space="preserve">point + averaging radius</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Field-line-projected profile</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the above, reduced onto a traced field line for direct comparison with srcSEP</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as above</w:t>
            </w:r>
          </w:p>
        </w:tc>
        <w:tc>
          <w:tcPr>
            <w:tcW w:type="dxa" w:w="2080"/>
            <w:shd w:fill="EEF1F6" w:val="clear"/>
            <w:tcMar>
              <w:top w:type="dxa" w:w="60"/>
              <w:left w:type="dxa" w:w="100"/>
              <w:bottom w:type="dxa" w:w="60"/>
              <w:right w:type="dxa" w:w="100"/>
            </w:tcMar>
          </w:tcPr>
          <w:p>
            <w:pPr>
              <w:spacing w:after="0" w:line="240"/>
            </w:pPr>
            <w:r>
              <w:rPr>
                <w:b w:val="false"/>
                <w:bCs w:val="false"/>
                <w:sz w:val="18"/>
                <w:szCs w:val="18"/>
              </w:rPr>
              <w:t xml:space="preserve">traced line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Global energy distribution</w:t>
            </w:r>
          </w:p>
        </w:tc>
        <w:tc>
          <w:tcPr>
            <w:tcW w:type="dxa" w:w="3400"/>
            <w:tcMar>
              <w:top w:type="dxa" w:w="60"/>
              <w:left w:type="dxa" w:w="100"/>
              <w:bottom w:type="dxa" w:w="60"/>
              <w:right w:type="dxa" w:w="100"/>
            </w:tcMar>
          </w:tcPr>
          <w:p>
            <w:pPr>
              <w:spacing w:after="0" w:line="240"/>
            </w:pPr>
            <w:r>
              <w:rPr>
                <w:b w:val="false"/>
                <w:bCs w:val="false"/>
                <w:sz w:val="18"/>
                <w:szCs w:val="18"/>
              </w:rPr>
              <w:t xml:space="preserve">the existing SEP3D::GlobalEnergyDistribution, generalised to per-species and relativistic energy</w:t>
            </w:r>
          </w:p>
        </w:tc>
        <w:tc>
          <w:tcPr>
            <w:tcW w:type="dxa" w:w="2000"/>
            <w:tcMar>
              <w:top w:type="dxa" w:w="60"/>
              <w:left w:type="dxa" w:w="100"/>
              <w:bottom w:type="dxa" w:w="60"/>
              <w:right w:type="dxa" w:w="100"/>
            </w:tcMar>
          </w:tcPr>
          <w:p>
            <w:pPr>
              <w:spacing w:after="0" w:line="240"/>
            </w:pPr>
            <w:r>
              <w:rPr>
                <w:b w:val="false"/>
                <w:bCs w:val="false"/>
                <w:sz w:val="18"/>
                <w:szCs w:val="18"/>
              </w:rPr>
              <w:t xml:space="preserve">arbitrary / normalised</w:t>
            </w:r>
          </w:p>
        </w:tc>
        <w:tc>
          <w:tcPr>
            <w:tcW w:type="dxa" w:w="2080"/>
            <w:tcMar>
              <w:top w:type="dxa" w:w="60"/>
              <w:left w:type="dxa" w:w="100"/>
              <w:bottom w:type="dxa" w:w="60"/>
              <w:right w:type="dxa" w:w="100"/>
            </w:tcMar>
          </w:tcPr>
          <w:p>
            <w:pPr>
              <w:spacing w:after="0" w:line="240"/>
            </w:pPr>
            <w:r>
              <w:rPr>
                <w:b w:val="false"/>
                <w:bCs w:val="false"/>
                <w:sz w:val="18"/>
                <w:szCs w:val="18"/>
              </w:rPr>
              <w:t xml:space="preserve">whole domain</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Diagnostic counters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substeps, binding limits, boundary exits, invalid coefficients, max r_L/L_B</w:t>
            </w:r>
          </w:p>
        </w:tc>
        <w:tc>
          <w:tcPr>
            <w:tcW w:type="dxa" w:w="2000"/>
            <w:shd w:fill="EEF1F6" w:val="clear"/>
            <w:tcMar>
              <w:top w:type="dxa" w:w="60"/>
              <w:left w:type="dxa" w:w="100"/>
              <w:bottom w:type="dxa" w:w="60"/>
              <w:right w:type="dxa" w:w="100"/>
            </w:tcMar>
          </w:tcPr>
          <w:p>
            <w:pPr>
              <w:spacing w:after="0" w:line="240"/>
            </w:pPr>
            <w:r>
              <w:rPr>
                <w:b w:val="false"/>
                <w:bCs w:val="false"/>
                <w:sz w:val="18"/>
                <w:szCs w:val="18"/>
              </w:rPr>
              <w:t xml:space="preserve">—</w:t>
            </w:r>
          </w:p>
        </w:tc>
        <w:tc>
          <w:tcPr>
            <w:tcW w:type="dxa" w:w="2080"/>
            <w:shd w:fill="EEF1F6" w:val="clear"/>
            <w:tcMar>
              <w:top w:type="dxa" w:w="60"/>
              <w:left w:type="dxa" w:w="100"/>
              <w:bottom w:type="dxa" w:w="60"/>
              <w:right w:type="dxa" w:w="100"/>
            </w:tcMar>
          </w:tcPr>
          <w:p>
            <w:pPr>
              <w:spacing w:after="0" w:line="240"/>
            </w:pPr>
            <w:r>
              <w:rPr>
                <w:b w:val="false"/>
                <w:bCs w:val="false"/>
                <w:sz w:val="18"/>
                <w:szCs w:val="18"/>
              </w:rPr>
              <w:t xml:space="preserve">global</w:t>
            </w:r>
          </w:p>
        </w:tc>
      </w:tr>
    </w:tbl>
    <w:p>
      <w:pPr>
        <w:spacing w:after="140"/>
      </w:pPr>
    </w:p>
    <w:p>
      <w:pPr>
        <w:spacing w:after="120" w:line="264"/>
        <w:jc w:val="left"/>
      </w:pPr>
      <w:r>
        <w:rPr>
          <w:b w:val="false"/>
          <w:bCs w:val="false"/>
          <w:i w:val="false"/>
          <w:iCs w:val="false"/>
        </w:rPr>
        <w:t xml:space="preserve">The virtual-spacecraft sampler is the key new capability relative to srcSEP: it places an observer at an arbitrary Cartesian position (Earth, Mars, PSP, STEREO-A, or an arbitrary trajectory read from a file), collects particles within a configurable radius, and produces the intensity-time profiles that the observational validation cases need. The field-line-projected profile exists specifically so that a 3-D result and a 1-D srcSEP result can be plotted on the same axes without either side reformatting anything.</w:t>
      </w:r>
    </w:p>
    <w:p>
      <w:pPr>
        <w:pStyle w:val="Heading2"/>
        <w:spacing w:after="120" w:before="280"/>
      </w:pPr>
      <w:r>
        <w:t xml:space="preserve">9.3 Output</w:t>
      </w:r>
    </w:p>
    <w:p>
      <w:pPr>
        <w:pStyle w:val="ListParagraph"/>
        <w:numPr>
          <w:ilvl w:val="0"/>
          <w:numId w:val="3"/>
        </w:numPr>
        <w:spacing w:after="60" w:line="264"/>
      </w:pPr>
      <w:r>
        <w:rPr>
          <w:b w:val="false"/>
          <w:bCs w:val="false"/>
          <w:i w:val="false"/>
          <w:iCs w:val="false"/>
        </w:rPr>
        <w:t xml:space="preserve">All writers are transactional: write to a uniquely named staging file in the destination directory, validate every formatted write plus flush plus close, then atomically rename. This is SWCME’s OUT02/OUT03 contract and it should be copied rather than re-derived — a partially written Tecplot file in the middle of a 10-hour campaign is an expensive way to learn the lesson.</w:t>
      </w:r>
    </w:p>
    <w:p>
      <w:pPr>
        <w:pStyle w:val="ListParagraph"/>
        <w:numPr>
          <w:ilvl w:val="0"/>
          <w:numId w:val="3"/>
        </w:numPr>
        <w:spacing w:after="60" w:line="264"/>
      </w:pPr>
      <w:r>
        <w:rPr>
          <w:b w:val="false"/>
          <w:bCs w:val="false"/>
          <w:i w:val="false"/>
          <w:iCs w:val="false"/>
        </w:rPr>
        <w:t xml:space="preserve">Formats: Tecplot for mesh-resolved fields and sampled moments; CSV for time series and for the machine-readable handoff records; JSON and JUnit for test summaries; a single </w:t>
      </w:r>
      <w:r>
        <w:rPr>
          <w:rFonts w:ascii="Consolas" w:cs="Consolas" w:eastAsia="Consolas" w:hAnsi="Consolas"/>
          <w:b w:val="false"/>
          <w:bCs w:val="false"/>
          <w:i w:val="false"/>
          <w:iCs w:val="false"/>
          <w:sz w:val="19"/>
          <w:szCs w:val="19"/>
        </w:rPr>
        <w:t xml:space="preserve">manifest.json</w:t>
      </w:r>
      <w:r>
        <w:rPr>
          <w:b w:val="false"/>
          <w:bCs w:val="false"/>
          <w:i w:val="false"/>
          <w:iCs w:val="false"/>
        </w:rPr>
        <w:t xml:space="preserve"> per run containing the resolved configuration, the fingerprint, the provider manifests, the source-tree hash, the compiler identity, the rank and thread counts, and the artifact inventory with hashes.</w:t>
      </w:r>
    </w:p>
    <w:p>
      <w:pPr>
        <w:pStyle w:val="ListParagraph"/>
        <w:numPr>
          <w:ilvl w:val="0"/>
          <w:numId w:val="3"/>
        </w:numPr>
        <w:spacing w:after="60" w:line="264"/>
      </w:pPr>
      <w:r>
        <w:rPr>
          <w:b w:val="false"/>
          <w:bCs w:val="false"/>
          <w:i w:val="false"/>
          <w:iCs w:val="false"/>
        </w:rPr>
        <w:t xml:space="preserve">Variable names in all Tecplot products carry units, following SWCME’s OUT01 schema convention (</w:t>
      </w:r>
      <w:r>
        <w:rPr>
          <w:rFonts w:ascii="Consolas" w:cs="Consolas" w:eastAsia="Consolas" w:hAnsi="Consolas"/>
          <w:b w:val="false"/>
          <w:bCs w:val="false"/>
          <w:i w:val="false"/>
          <w:iCs w:val="false"/>
          <w:sz w:val="19"/>
          <w:szCs w:val="19"/>
        </w:rPr>
        <w:t xml:space="preserve">X[m]</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B[T]</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j[m^-2 s^-1 sr^-1 J^-1]</w:t>
      </w:r>
      <w:r>
        <w:rPr>
          <w:b w:val="false"/>
          <w:bCs w:val="false"/>
          <w:i w:val="false"/>
          <w:iCs w:val="false"/>
        </w:rPr>
        <w:t xml:space="preserve">).</w:t>
      </w:r>
    </w:p>
    <w:p>
      <w:pPr>
        <w:pStyle w:val="ListParagraph"/>
        <w:numPr>
          <w:ilvl w:val="0"/>
          <w:numId w:val="3"/>
        </w:numPr>
        <w:spacing w:after="60" w:line="264"/>
      </w:pPr>
      <w:r>
        <w:rPr>
          <w:b w:val="false"/>
          <w:bCs w:val="false"/>
          <w:i w:val="false"/>
          <w:iCs w:val="false"/>
        </w:rPr>
        <w:t xml:space="preserve">Restart writes the particle buffer, the background snapshot generation, the RNG key state, the accumulated diagnostic counters, and the configuration fingerprint. A restart is bit-identical to an uninterrupted run; this is asserted by a Stage-2 test.</w:t>
      </w:r>
    </w:p>
    <w:p>
      <w:r>
        <w:br w:type="page"/>
      </w:r>
    </w:p>
    <w:p>
      <w:pPr>
        <w:pStyle w:val="Heading1"/>
        <w:spacing w:after="160" w:before="360"/>
      </w:pPr>
      <w:r>
        <w:t xml:space="preserve">10. Verification and Validation Program</w:t>
      </w:r>
    </w:p>
    <w:p>
      <w:pPr>
        <w:spacing w:after="120" w:line="264"/>
        <w:jc w:val="left"/>
      </w:pPr>
      <w:r>
        <w:rPr>
          <w:b w:val="false"/>
          <w:bCs w:val="false"/>
          <w:i w:val="false"/>
          <w:iCs w:val="false"/>
        </w:rPr>
        <w:t xml:space="preserve">The campaign is staged exactly as requested. Stage 1 exercises srcSEP3D without linking to the rest of AMPS. Stage 2 adds the linked application. Stage 3 adds comparison against the srcSEP 1-D model and against observations. The design principle borrowed from srcSEP’s Step 15 campaign is that </w:t>
      </w:r>
      <w:r>
        <w:rPr>
          <w:b/>
          <w:bCs/>
          <w:i w:val="false"/>
          <w:iCs w:val="false"/>
        </w:rPr>
        <w:t xml:space="preserve">evidence classes are reported separately</w:t>
      </w:r>
      <w:r>
        <w:rPr>
          <w:b w:val="false"/>
          <w:bCs w:val="false"/>
          <w:i w:val="false"/>
          <w:iCs w:val="false"/>
        </w:rPr>
        <w:t xml:space="preserve">: passing a manufactured solution is not called coupled validation, and passing coupled code is not called observational validation.</w:t>
      </w:r>
    </w:p>
    <w:p>
      <w:pPr>
        <w:pStyle w:val="Heading2"/>
        <w:spacing w:after="120" w:before="280"/>
      </w:pPr>
      <w:r>
        <w:t xml:space="preserve">10.1 The harness</w:t>
      </w:r>
    </w:p>
    <w:p>
      <w:pPr>
        <w:spacing w:after="120" w:line="264"/>
        <w:jc w:val="left"/>
      </w:pPr>
      <w:r>
        <w:rPr>
          <w:b w:val="false"/>
          <w:bCs w:val="false"/>
          <w:i w:val="false"/>
          <w:iCs w:val="false"/>
        </w:rPr>
        <w:t xml:space="preserve">All three stages use srcSEP’s existing test registry (</w:t>
      </w:r>
      <w:r>
        <w:rPr>
          <w:rFonts w:ascii="Consolas" w:cs="Consolas" w:eastAsia="Consolas" w:hAnsi="Consolas"/>
          <w:b w:val="false"/>
          <w:bCs w:val="false"/>
          <w:i w:val="false"/>
          <w:iCs w:val="false"/>
          <w:sz w:val="19"/>
          <w:szCs w:val="19"/>
        </w:rPr>
        <w:t xml:space="preserve">SEP::Testing::Registry</w:t>
      </w:r>
      <w:r>
        <w:rPr>
          <w:b w:val="false"/>
          <w:bCs w:val="false"/>
          <w:i w:val="false"/>
          <w:iCs w:val="false"/>
        </w:rPr>
        <w:t xml:space="preserve">) unchanged. A test is a descriptor carrying an ID, name, group, description, initialisation level, supported build modes, runtime class (routine or extended), seed policy, and state-isolation statement, plus a callback returning a </w:t>
      </w:r>
      <w:r>
        <w:rPr>
          <w:rFonts w:ascii="Consolas" w:cs="Consolas" w:eastAsia="Consolas" w:hAnsi="Consolas"/>
          <w:b w:val="false"/>
          <w:bCs w:val="false"/>
          <w:i w:val="false"/>
          <w:iCs w:val="false"/>
          <w:sz w:val="19"/>
          <w:szCs w:val="19"/>
        </w:rPr>
        <w:t xml:space="preserve">Result</w:t>
      </w:r>
      <w:r>
        <w:rPr>
          <w:b w:val="false"/>
          <w:bCs w:val="false"/>
          <w:i w:val="false"/>
          <w:iCs w:val="false"/>
        </w:rPr>
        <w:t xml:space="preserve"> with status, message, elapsed time, seed, effective configuration, metrics, and artifacts. Status is Pass / Fail / Skip / Error — never a bare boolean, because "the prerequisite was unavailable" and "the physics was wrong" have different meanings in a campaign.</w:t>
      </w:r>
    </w:p>
    <w:p>
      <w:pPr>
        <w:spacing w:after="120" w:line="264"/>
        <w:jc w:val="left"/>
      </w:pPr>
      <w:r>
        <w:rPr>
          <w:b w:val="false"/>
          <w:bCs w:val="false"/>
          <w:i w:val="false"/>
          <w:iCs w:val="false"/>
        </w:rPr>
        <w:t xml:space="preserve">Reused verbatim: the refinement-order estimator (p = log(e_c/e_f)/log(h_c/h_f), reported with both ratios so p can be reproduced from the record), the JSON and JUnit writers, the case-insensitive de-duplicated selector, and the exit-code policy in which Skip is a success and Fail or Error is a non-zero exit.</w:t>
      </w:r>
    </w:p>
    <w:p>
      <w:pPr>
        <w:pStyle w:val="Heading2"/>
        <w:spacing w:after="120" w:before="280"/>
      </w:pPr>
      <w:r>
        <w:t xml:space="preserve">10.2 Stage 1 — standalone, no AMPS link</w:t>
      </w:r>
    </w:p>
    <w:p>
      <w:pPr>
        <w:spacing w:after="120" w:line="264"/>
        <w:jc w:val="left"/>
      </w:pPr>
      <w:r>
        <w:rPr>
          <w:b w:val="false"/>
          <w:bCs w:val="false"/>
          <w:i w:val="false"/>
          <w:iCs w:val="false"/>
        </w:rPr>
        <w:t xml:space="preserve">Stage 1 is possible only because of the L0/L1 layering in Section 3. The Stage-1 binaries compile </w:t>
      </w:r>
      <w:r>
        <w:rPr>
          <w:rFonts w:ascii="Consolas" w:cs="Consolas" w:eastAsia="Consolas" w:hAnsi="Consolas"/>
          <w:b w:val="false"/>
          <w:bCs w:val="false"/>
          <w:i w:val="false"/>
          <w:iCs w:val="false"/>
          <w:sz w:val="19"/>
          <w:szCs w:val="19"/>
        </w:rPr>
        <w:t xml:space="preserve">srcSEP3D/core/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srcSEP3D/background/</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srcSEP/util/</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src/models/swcme/</w:t>
      </w:r>
      <w:r>
        <w:rPr>
          <w:b w:val="false"/>
          <w:bCs w:val="false"/>
          <w:i w:val="false"/>
          <w:iCs w:val="false"/>
        </w:rPr>
        <w:t xml:space="preserve"> — no </w:t>
      </w:r>
      <w:r>
        <w:rPr>
          <w:rFonts w:ascii="Consolas" w:cs="Consolas" w:eastAsia="Consolas" w:hAnsi="Consolas"/>
          <w:b w:val="false"/>
          <w:bCs w:val="false"/>
          <w:i w:val="false"/>
          <w:iCs w:val="false"/>
          <w:sz w:val="19"/>
          <w:szCs w:val="19"/>
        </w:rPr>
        <w:t xml:space="preserve">pic.h</w:t>
      </w:r>
      <w:r>
        <w:rPr>
          <w:b w:val="false"/>
          <w:bCs w:val="false"/>
          <w:i w:val="false"/>
          <w:iCs w:val="false"/>
        </w:rPr>
        <w:t xml:space="preserve">, no MPI, no mesh allocation. A full Stage-1 run should complete in under two minutes on a laptop, which is what makes it useful during development rather than only in CI.</w:t>
      </w:r>
    </w:p>
    <w:p>
      <w:pPr>
        <w:pStyle w:val="Heading3"/>
        <w:spacing w:after="100" w:before="220"/>
      </w:pPr>
      <w:r>
        <w:t xml:space="preserve">10.2.1 Group CLI3D — command-line contract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5400"/>
        <w:gridCol w:w="34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5400"/>
            <w:shd w:fill="1F3864" w:val="clear"/>
            <w:tcMar>
              <w:top w:type="dxa" w:w="60"/>
              <w:left w:type="dxa" w:w="100"/>
              <w:bottom w:type="dxa" w:w="60"/>
              <w:right w:type="dxa" w:w="100"/>
            </w:tcMar>
          </w:tcPr>
          <w:p>
            <w:pPr>
              <w:spacing w:after="0" w:line="240"/>
            </w:pPr>
            <w:r>
              <w:rPr>
                <w:b/>
                <w:bCs/>
                <w:color w:val="FFFFFF"/>
                <w:sz w:val="18"/>
                <w:szCs w:val="18"/>
              </w:rPr>
              <w:t xml:space="preserve">Assertion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Reference / 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CLI3D01</w:t>
            </w:r>
          </w:p>
        </w:tc>
        <w:tc>
          <w:tcPr>
            <w:tcW w:type="dxa" w:w="5400"/>
            <w:tcMar>
              <w:top w:type="dxa" w:w="60"/>
              <w:left w:type="dxa" w:w="100"/>
              <w:bottom w:type="dxa" w:w="60"/>
              <w:right w:type="dxa" w:w="100"/>
            </w:tcMar>
          </w:tcPr>
          <w:p>
            <w:pPr>
              <w:spacing w:after="0" w:line="240"/>
            </w:pPr>
            <w:r>
              <w:rPr>
                <w:b w:val="false"/>
                <w:bCs w:val="false"/>
                <w:sz w:val="18"/>
                <w:szCs w:val="18"/>
              </w:rPr>
              <w:t xml:space="preserve">Both --name value and --name=value forms parse identically; values are case-insensitive; repeated options are last-wins</w:t>
            </w:r>
          </w:p>
        </w:tc>
        <w:tc>
          <w:tcPr>
            <w:tcW w:type="dxa" w:w="3480"/>
            <w:tcMar>
              <w:top w:type="dxa" w:w="60"/>
              <w:left w:type="dxa" w:w="100"/>
              <w:bottom w:type="dxa" w:w="60"/>
              <w:right w:type="dxa" w:w="100"/>
            </w:tcMar>
          </w:tcPr>
          <w:p>
            <w:pPr>
              <w:spacing w:after="0" w:line="240"/>
            </w:pPr>
            <w:r>
              <w:rPr>
                <w:b w:val="false"/>
                <w:bCs w:val="false"/>
                <w:sz w:val="18"/>
                <w:szCs w:val="18"/>
              </w:rPr>
              <w:t xml:space="preserve">Exact equality of the resolved RunConfiguration3D</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CLI3D02</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--help, --list-movers, --list-tests, --list-background-providers each exit before any initialisation and list the exact documented set</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Exactly 2 movers, 5 providers; no side effects</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CLI3D03</w:t>
            </w:r>
          </w:p>
        </w:tc>
        <w:tc>
          <w:tcPr>
            <w:tcW w:type="dxa" w:w="5400"/>
            <w:tcMar>
              <w:top w:type="dxa" w:w="60"/>
              <w:left w:type="dxa" w:w="100"/>
              <w:bottom w:type="dxa" w:w="60"/>
              <w:right w:type="dxa" w:w="100"/>
            </w:tcMar>
          </w:tcPr>
          <w:p>
            <w:pPr>
              <w:spacing w:after="0" w:line="240"/>
            </w:pPr>
            <w:r>
              <w:rPr>
                <w:b w:val="false"/>
                <w:bCs w:val="false"/>
                <w:sz w:val="18"/>
                <w:szCs w:val="18"/>
              </w:rPr>
              <w:t xml:space="preserve">Every retired or reserved name fails before initialisation with a stable diagnostic naming its replacement or its reserved status</w:t>
            </w:r>
          </w:p>
        </w:tc>
        <w:tc>
          <w:tcPr>
            <w:tcW w:type="dxa" w:w="3480"/>
            <w:tcMar>
              <w:top w:type="dxa" w:w="60"/>
              <w:left w:type="dxa" w:w="100"/>
              <w:bottom w:type="dxa" w:w="60"/>
              <w:right w:type="dxa" w:w="100"/>
            </w:tcMar>
          </w:tcPr>
          <w:p>
            <w:pPr>
              <w:spacing w:after="0" w:line="240"/>
            </w:pPr>
            <w:r>
              <w:rPr>
                <w:b w:val="false"/>
                <w:bCs w:val="false"/>
                <w:sz w:val="18"/>
                <w:szCs w:val="18"/>
              </w:rPr>
              <w:t xml:space="preserve">parker, fte-dmumu, fte-mfp, fte3d-mfp, axisymmetric, nlgc, constant-ratio, …</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CLI3D04</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Invalid values, out-of-range tolerances, conversion cycles, and incompatible source/model pairs are rejected before initialisation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from-dmumu + from-spatial is a cycle; swcme source + external field is rejected</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CLI3D05</w:t>
            </w:r>
          </w:p>
        </w:tc>
        <w:tc>
          <w:tcPr>
            <w:tcW w:type="dxa" w:w="5400"/>
            <w:tcMar>
              <w:top w:type="dxa" w:w="60"/>
              <w:left w:type="dxa" w:w="100"/>
              <w:bottom w:type="dxa" w:w="60"/>
              <w:right w:type="dxa" w:w="100"/>
            </w:tcMar>
          </w:tcPr>
          <w:p>
            <w:pPr>
              <w:spacing w:after="0" w:line="240"/>
            </w:pPr>
            <w:r>
              <w:rPr>
                <w:b w:val="false"/>
                <w:bCs w:val="false"/>
                <w:sz w:val="18"/>
                <w:szCs w:val="18"/>
              </w:rPr>
              <w:t xml:space="preserve">The configuration fingerprint changes when and only when a physics-relevant value changes, including the reserved perpendicular and drift slots</w:t>
            </w:r>
          </w:p>
        </w:tc>
        <w:tc>
          <w:tcPr>
            <w:tcW w:type="dxa" w:w="3480"/>
            <w:tcMar>
              <w:top w:type="dxa" w:w="60"/>
              <w:left w:type="dxa" w:w="100"/>
              <w:bottom w:type="dxa" w:w="60"/>
              <w:right w:type="dxa" w:w="100"/>
            </w:tcMar>
          </w:tcPr>
          <w:p>
            <w:pPr>
              <w:spacing w:after="0" w:line="240"/>
            </w:pPr>
            <w:r>
              <w:rPr>
                <w:b w:val="false"/>
                <w:bCs w:val="false"/>
                <w:sz w:val="18"/>
                <w:szCs w:val="18"/>
              </w:rPr>
              <w:t xml:space="preserve">Byte-stable across runs; distinct for every pair in a 40-case matrix</w:t>
            </w:r>
          </w:p>
        </w:tc>
      </w:tr>
    </w:tbl>
    <w:p>
      <w:pPr>
        <w:spacing w:after="140"/>
      </w:pPr>
    </w:p>
    <w:p>
      <w:pPr>
        <w:pStyle w:val="Heading3"/>
        <w:spacing w:after="100" w:before="220"/>
      </w:pPr>
      <w:r>
        <w:t xml:space="preserve">10.2.2 Group MSH3D — mesh resolution law</w:t>
      </w:r>
    </w:p>
    <w:p>
      <w:pPr>
        <w:spacing w:after="120" w:line="264"/>
        <w:jc w:val="left"/>
      </w:pPr>
      <w:r>
        <w:rPr>
          <w:b w:val="false"/>
          <w:bCs w:val="false"/>
          <w:i w:val="false"/>
          <w:iCs w:val="false"/>
        </w:rPr>
        <w:t xml:space="preserve">These tests run entirely against </w:t>
      </w:r>
      <w:r>
        <w:rPr>
          <w:rFonts w:ascii="Consolas" w:cs="Consolas" w:eastAsia="Consolas" w:hAnsi="Consolas"/>
          <w:b w:val="false"/>
          <w:bCs w:val="false"/>
          <w:i w:val="false"/>
          <w:iCs w:val="false"/>
          <w:sz w:val="19"/>
          <w:szCs w:val="19"/>
        </w:rPr>
        <w:t xml:space="preserve">core/sep3d_mesh_resolution</w:t>
      </w:r>
      <w:r>
        <w:rPr>
          <w:b w:val="false"/>
          <w:bCs w:val="false"/>
          <w:i w:val="false"/>
          <w:iCs w:val="false"/>
        </w:rPr>
        <w:t xml:space="preserve"> and its standalone octree emulator. They are the reason the emulator is worth building.</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5400"/>
        <w:gridCol w:w="34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5400"/>
            <w:shd w:fill="1F3864" w:val="clear"/>
            <w:tcMar>
              <w:top w:type="dxa" w:w="60"/>
              <w:left w:type="dxa" w:w="100"/>
              <w:bottom w:type="dxa" w:w="60"/>
              <w:right w:type="dxa" w:w="100"/>
            </w:tcMar>
          </w:tcPr>
          <w:p>
            <w:pPr>
              <w:spacing w:after="0" w:line="240"/>
            </w:pPr>
            <w:r>
              <w:rPr>
                <w:b/>
                <w:bCs/>
                <w:color w:val="FFFFFF"/>
                <w:sz w:val="18"/>
                <w:szCs w:val="18"/>
              </w:rPr>
              <w:t xml:space="preserve">Assertion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Reference / 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MSH3D01</w:t>
            </w:r>
          </w:p>
        </w:tc>
        <w:tc>
          <w:tcPr>
            <w:tcW w:type="dxa" w:w="5400"/>
            <w:tcMar>
              <w:top w:type="dxa" w:w="60"/>
              <w:left w:type="dxa" w:w="100"/>
              <w:bottom w:type="dxa" w:w="60"/>
              <w:right w:type="dxa" w:w="100"/>
            </w:tcMar>
          </w:tcPr>
          <w:p>
            <w:pPr>
              <w:spacing w:after="0" w:line="240"/>
            </w:pPr>
            <w:r>
              <w:rPr>
                <w:b w:val="false"/>
                <w:bCs w:val="false"/>
                <w:sz w:val="18"/>
                <w:szCs w:val="18"/>
              </w:rPr>
              <w:t xml:space="preserve">Δ_req is finite, positive, and within [Δ_floor, Δ_bg] at 10⁶ deterministic sample points spanning the domain including the axes, the poles, and the inner boundary</w:t>
            </w:r>
          </w:p>
        </w:tc>
        <w:tc>
          <w:tcPr>
            <w:tcW w:type="dxa" w:w="3480"/>
            <w:tcMar>
              <w:top w:type="dxa" w:w="60"/>
              <w:left w:type="dxa" w:w="100"/>
              <w:bottom w:type="dxa" w:w="60"/>
              <w:right w:type="dxa" w:w="100"/>
            </w:tcMar>
          </w:tcPr>
          <w:p>
            <w:pPr>
              <w:spacing w:after="0" w:line="240"/>
            </w:pPr>
            <w:r>
              <w:rPr>
                <w:b w:val="false"/>
                <w:bCs w:val="false"/>
                <w:sz w:val="18"/>
                <w:szCs w:val="18"/>
              </w:rPr>
              <w:t xml:space="preserve">Exact bounds; no NaN</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MSH3D02</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radial law reproduces its closed forms: Δ_sun(R☉) = Δ₀; the transition radius equals R☉(Δ_bg/Δ₀)^{1/α}; with α = 1 the level decreases by exactly one per radial octave</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Relative error &lt; 10⁻¹² on the closed forms; exact on the level count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MSH3D03</w:t>
            </w:r>
          </w:p>
        </w:tc>
        <w:tc>
          <w:tcPr>
            <w:tcW w:type="dxa" w:w="5400"/>
            <w:tcMar>
              <w:top w:type="dxa" w:w="60"/>
              <w:left w:type="dxa" w:w="100"/>
              <w:bottom w:type="dxa" w:w="60"/>
              <w:right w:type="dxa" w:w="100"/>
            </w:tcMar>
          </w:tcPr>
          <w:p>
            <w:pPr>
              <w:spacing w:after="0" w:line="240"/>
            </w:pPr>
            <w:r>
              <w:rPr>
                <w:b w:val="false"/>
                <w:bCs w:val="false"/>
                <w:sz w:val="18"/>
                <w:szCs w:val="18"/>
              </w:rPr>
              <w:t xml:space="preserve">The predicted cell count from the closed-form integral matches the emulator’s leaf count for five (Δ₀, α) pairs</w:t>
            </w:r>
          </w:p>
        </w:tc>
        <w:tc>
          <w:tcPr>
            <w:tcW w:type="dxa" w:w="3480"/>
            <w:tcMar>
              <w:top w:type="dxa" w:w="60"/>
              <w:left w:type="dxa" w:w="100"/>
              <w:bottom w:type="dxa" w:w="60"/>
              <w:right w:type="dxa" w:w="100"/>
            </w:tcMar>
          </w:tcPr>
          <w:p>
            <w:pPr>
              <w:spacing w:after="0" w:line="240"/>
            </w:pPr>
            <w:r>
              <w:rPr>
                <w:b w:val="false"/>
                <w:bCs w:val="false"/>
                <w:sz w:val="18"/>
                <w:szCs w:val="18"/>
              </w:rPr>
              <w:t xml:space="preserve">Within 25%, which is the expected spread from power-of-two quantisation</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MSH3D04</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tube distance function returns exactly zero on the analytic centreline at 10⁴ radii, and is invariant under rotation about the solar rotation axis combined with the corresponding φ shift</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d &lt; 10⁻⁹ × r; rotation invariance to 10⁻¹²</w:t>
            </w:r>
          </w:p>
        </w:tc>
      </w:tr>
      <w:tr>
        <w:tc>
          <w:tcPr>
            <w:tcW w:type="dxa" w:w="1200"/>
            <w:tcMar>
              <w:top w:type="dxa" w:w="60"/>
              <w:left w:type="dxa" w:w="100"/>
              <w:bottom w:type="dxa" w:w="60"/>
              <w:right w:type="dxa" w:w="100"/>
            </w:tcMar>
          </w:tcPr>
          <w:p>
            <w:pPr>
              <w:spacing w:after="0" w:line="240"/>
            </w:pPr>
            <w:r>
              <w:rPr>
                <w:b w:val="false"/>
                <w:bCs w:val="false"/>
                <w:sz w:val="18"/>
                <w:szCs w:val="18"/>
              </w:rPr>
              <w:t xml:space="preserve">MSH3D05</w:t>
            </w:r>
          </w:p>
        </w:tc>
        <w:tc>
          <w:tcPr>
            <w:tcW w:type="dxa" w:w="5400"/>
            <w:tcMar>
              <w:top w:type="dxa" w:w="60"/>
              <w:left w:type="dxa" w:w="100"/>
              <w:bottom w:type="dxa" w:w="60"/>
              <w:right w:type="dxa" w:w="100"/>
            </w:tcMar>
          </w:tcPr>
          <w:p>
            <w:pPr>
              <w:spacing w:after="0" w:line="240"/>
            </w:pPr>
            <w:r>
              <w:rPr>
                <w:b w:val="false"/>
                <w:bCs w:val="false"/>
                <w:sz w:val="18"/>
                <w:szCs w:val="18"/>
              </w:rPr>
              <w:t xml:space="preserve">The fast and exact distance measures agree to O(d²/r): their difference divided by d²/r is bounded and converges as the offset shrinks</w:t>
            </w:r>
          </w:p>
        </w:tc>
        <w:tc>
          <w:tcPr>
            <w:tcW w:type="dxa" w:w="3480"/>
            <w:tcMar>
              <w:top w:type="dxa" w:w="60"/>
              <w:left w:type="dxa" w:w="100"/>
              <w:bottom w:type="dxa" w:w="60"/>
              <w:right w:type="dxa" w:w="100"/>
            </w:tcMar>
          </w:tcPr>
          <w:p>
            <w:pPr>
              <w:spacing w:after="0" w:line="240"/>
            </w:pPr>
            <w:r>
              <w:rPr>
                <w:b w:val="false"/>
                <w:bCs w:val="false"/>
                <w:sz w:val="18"/>
                <w:szCs w:val="18"/>
              </w:rPr>
              <w:t xml:space="preserve">Observed order ≥ 1.9</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MSH3D06</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Profile geometry: full refinement for d &lt; 0.80 w, ambient for d &gt; 1.20 w, monotone in between, at the default shoulder</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 level equality at the stated radii</w:t>
            </w:r>
          </w:p>
        </w:tc>
      </w:tr>
      <w:tr>
        <w:tc>
          <w:tcPr>
            <w:tcW w:type="dxa" w:w="1200"/>
            <w:tcMar>
              <w:top w:type="dxa" w:w="60"/>
              <w:left w:type="dxa" w:w="100"/>
              <w:bottom w:type="dxa" w:w="60"/>
              <w:right w:type="dxa" w:w="100"/>
            </w:tcMar>
          </w:tcPr>
          <w:p>
            <w:pPr>
              <w:spacing w:after="0" w:line="240"/>
            </w:pPr>
            <w:r>
              <w:rPr>
                <w:b w:val="false"/>
                <w:bCs w:val="false"/>
                <w:sz w:val="18"/>
                <w:szCs w:val="18"/>
              </w:rPr>
              <w:t xml:space="preserve">MSH3D07</w:t>
            </w:r>
          </w:p>
        </w:tc>
        <w:tc>
          <w:tcPr>
            <w:tcW w:type="dxa" w:w="5400"/>
            <w:tcMar>
              <w:top w:type="dxa" w:w="60"/>
              <w:left w:type="dxa" w:w="100"/>
              <w:bottom w:type="dxa" w:w="60"/>
              <w:right w:type="dxa" w:w="100"/>
            </w:tcMar>
          </w:tcPr>
          <w:p>
            <w:pPr>
              <w:spacing w:after="0" w:line="240"/>
            </w:pPr>
            <w:r>
              <w:rPr>
                <w:b w:val="false"/>
                <w:bCs w:val="false"/>
                <w:sz w:val="18"/>
                <w:szCs w:val="18"/>
              </w:rPr>
              <w:t xml:space="preserve">The emulated level map never changes by more than one level between neighbouring blocks; a deliberately under-width shoulder is detected and reported as widened rather than silently accepted</w:t>
            </w:r>
          </w:p>
        </w:tc>
        <w:tc>
          <w:tcPr>
            <w:tcW w:type="dxa" w:w="3480"/>
            <w:tcMar>
              <w:top w:type="dxa" w:w="60"/>
              <w:left w:type="dxa" w:w="100"/>
              <w:bottom w:type="dxa" w:w="60"/>
              <w:right w:type="dxa" w:w="100"/>
            </w:tcMar>
          </w:tcPr>
          <w:p>
            <w:pPr>
              <w:spacing w:after="0" w:line="240"/>
            </w:pPr>
            <w:r>
              <w:rPr>
                <w:b w:val="false"/>
                <w:bCs w:val="false"/>
                <w:sz w:val="18"/>
                <w:szCs w:val="18"/>
              </w:rPr>
              <w:t xml:space="preserve">Max jump = 1; the negative control must report widening</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MSH3D08</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Multiple tubes compose by minimum; two overlapping tubes give the deeper refinement, and a tube outside the domain is a no-op</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MSH3D09</w:t>
            </w:r>
          </w:p>
        </w:tc>
        <w:tc>
          <w:tcPr>
            <w:tcW w:type="dxa" w:w="5400"/>
            <w:tcMar>
              <w:top w:type="dxa" w:w="60"/>
              <w:left w:type="dxa" w:w="100"/>
              <w:bottom w:type="dxa" w:w="60"/>
              <w:right w:type="dxa" w:w="100"/>
            </w:tcMar>
          </w:tcPr>
          <w:p>
            <w:pPr>
              <w:spacing w:after="0" w:line="240"/>
            </w:pPr>
            <w:r>
              <w:rPr>
                <w:b w:val="false"/>
                <w:bCs w:val="false"/>
                <w:sz w:val="18"/>
                <w:szCs w:val="18"/>
              </w:rPr>
              <w:t xml:space="preserve">The level map is bit-identical across repeated runs, across thread counts, and independent of the order in which tubes are specified</w:t>
            </w:r>
          </w:p>
        </w:tc>
        <w:tc>
          <w:tcPr>
            <w:tcW w:type="dxa" w:w="3480"/>
            <w:tcMar>
              <w:top w:type="dxa" w:w="60"/>
              <w:left w:type="dxa" w:w="100"/>
              <w:bottom w:type="dxa" w:w="60"/>
              <w:right w:type="dxa" w:w="100"/>
            </w:tcMar>
          </w:tcPr>
          <w:p>
            <w:pPr>
              <w:spacing w:after="0" w:line="240"/>
            </w:pPr>
            <w:r>
              <w:rPr>
                <w:b w:val="false"/>
                <w:bCs w:val="false"/>
                <w:sz w:val="18"/>
                <w:szCs w:val="18"/>
              </w:rPr>
              <w:t xml:space="preserve">Exact</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MSH3D10</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memory estimate matches a direct count of stored doubles for a reference configuration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w:t>
            </w:r>
          </w:p>
        </w:tc>
      </w:tr>
    </w:tbl>
    <w:p>
      <w:pPr>
        <w:spacing w:after="140"/>
      </w:pPr>
    </w:p>
    <w:p>
      <w:pPr>
        <w:pStyle w:val="Heading3"/>
        <w:spacing w:after="100" w:before="220"/>
      </w:pPr>
      <w:r>
        <w:t xml:space="preserve">10.2.3 Group BG3D — background providers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5400"/>
        <w:gridCol w:w="34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5400"/>
            <w:shd w:fill="1F3864" w:val="clear"/>
            <w:tcMar>
              <w:top w:type="dxa" w:w="60"/>
              <w:left w:type="dxa" w:w="100"/>
              <w:bottom w:type="dxa" w:w="60"/>
              <w:right w:type="dxa" w:w="100"/>
            </w:tcMar>
          </w:tcPr>
          <w:p>
            <w:pPr>
              <w:spacing w:after="0" w:line="240"/>
            </w:pPr>
            <w:r>
              <w:rPr>
                <w:b/>
                <w:bCs/>
                <w:color w:val="FFFFFF"/>
                <w:sz w:val="18"/>
                <w:szCs w:val="18"/>
              </w:rPr>
              <w:t xml:space="preserve">Assertion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Reference / 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BG3D01</w:t>
            </w:r>
          </w:p>
        </w:tc>
        <w:tc>
          <w:tcPr>
            <w:tcW w:type="dxa" w:w="5400"/>
            <w:tcMar>
              <w:top w:type="dxa" w:w="60"/>
              <w:left w:type="dxa" w:w="100"/>
              <w:bottom w:type="dxa" w:w="60"/>
              <w:right w:type="dxa" w:w="100"/>
            </w:tcMar>
          </w:tcPr>
          <w:p>
            <w:pPr>
              <w:spacing w:after="0" w:line="240"/>
            </w:pPr>
            <w:r>
              <w:rPr>
                <w:b w:val="false"/>
                <w:bCs w:val="false"/>
                <w:sz w:val="18"/>
                <w:szCs w:val="18"/>
              </w:rPr>
              <w:t xml:space="preserve">Analytic Parker ∇·B = 0, evaluated with a converged fourth-order stencil at 1,024 deterministic points across four rotation axes, both polarities, and zero and finite source radius</w:t>
            </w:r>
          </w:p>
        </w:tc>
        <w:tc>
          <w:tcPr>
            <w:tcW w:type="dxa" w:w="3480"/>
            <w:tcMar>
              <w:top w:type="dxa" w:w="60"/>
              <w:left w:type="dxa" w:w="100"/>
              <w:bottom w:type="dxa" w:w="60"/>
              <w:right w:type="dxa" w:w="100"/>
            </w:tcMar>
          </w:tcPr>
          <w:p>
            <w:pPr>
              <w:spacing w:after="0" w:line="240"/>
            </w:pPr>
            <w:r>
              <w:rPr>
                <w:b w:val="false"/>
                <w:bCs w:val="false"/>
                <w:sz w:val="18"/>
                <w:szCs w:val="18"/>
              </w:rPr>
              <w:t xml:space="preserve">Median normalised |∇·B| &lt; 10⁻⁸, max &lt; 10⁻⁶ (SWCME PAR04 thresholds)</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BG3D02</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B_φ/B_r = −Ω(r − r_b)sinθ/V_sw and B_r ∝ r⁻² at 10³ random points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Relative error &lt; 10⁻¹²</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BG3D03</w:t>
            </w:r>
          </w:p>
        </w:tc>
        <w:tc>
          <w:tcPr>
            <w:tcW w:type="dxa" w:w="5400"/>
            <w:tcMar>
              <w:top w:type="dxa" w:w="60"/>
              <w:left w:type="dxa" w:w="100"/>
              <w:bottom w:type="dxa" w:w="60"/>
              <w:right w:type="dxa" w:w="100"/>
            </w:tcMar>
          </w:tcPr>
          <w:p>
            <w:pPr>
              <w:spacing w:after="0" w:line="240"/>
            </w:pPr>
            <w:r>
              <w:rPr>
                <w:b w:val="false"/>
                <w:bCs w:val="false"/>
                <w:sz w:val="18"/>
                <w:szCs w:val="18"/>
              </w:rPr>
              <w:t xml:space="preserve">The traced Parker field line is everywhere tangent (or antitangent for negative polarity) to B</w:t>
            </w:r>
          </w:p>
        </w:tc>
        <w:tc>
          <w:tcPr>
            <w:tcW w:type="dxa" w:w="3480"/>
            <w:tcMar>
              <w:top w:type="dxa" w:w="60"/>
              <w:left w:type="dxa" w:w="100"/>
              <w:bottom w:type="dxa" w:w="60"/>
              <w:right w:type="dxa" w:w="100"/>
            </w:tcMar>
          </w:tcPr>
          <w:p>
            <w:pPr>
              <w:spacing w:after="0" w:line="240"/>
            </w:pPr>
            <w:r>
              <w:rPr>
                <w:b w:val="false"/>
                <w:bCs w:val="false"/>
                <w:sz w:val="18"/>
                <w:szCs w:val="18"/>
              </w:rPr>
              <w:t xml:space="preserve">Angle &lt; 10⁻⁸ rad (SWCME PAR05)</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BG3D04</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closed-form focusing length equals a converged fourth-order numerical −1/(d ln|B|/ds)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Relative error &lt; 10⁻⁷ (SWCME PAR06)</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BG3D05</w:t>
            </w:r>
          </w:p>
        </w:tc>
        <w:tc>
          <w:tcPr>
            <w:tcW w:type="dxa" w:w="5400"/>
            <w:tcMar>
              <w:top w:type="dxa" w:w="60"/>
              <w:left w:type="dxa" w:w="100"/>
              <w:bottom w:type="dxa" w:w="60"/>
              <w:right w:type="dxa" w:w="100"/>
            </w:tcMar>
          </w:tcPr>
          <w:p>
            <w:pPr>
              <w:spacing w:after="0" w:line="240"/>
            </w:pPr>
            <w:r>
              <w:rPr>
                <w:b w:val="false"/>
                <w:bCs w:val="false"/>
                <w:sz w:val="18"/>
                <w:szCs w:val="18"/>
              </w:rPr>
              <w:t xml:space="preserve">Polar limit: the azimuthal component vanishes as O(sinθ) and the magnitude becomes longitude-independent, down to 10⁻¹² rad from the axis</w:t>
            </w:r>
          </w:p>
        </w:tc>
        <w:tc>
          <w:tcPr>
            <w:tcW w:type="dxa" w:w="3480"/>
            <w:tcMar>
              <w:top w:type="dxa" w:w="60"/>
              <w:left w:type="dxa" w:w="100"/>
              <w:bottom w:type="dxa" w:w="60"/>
              <w:right w:type="dxa" w:w="100"/>
            </w:tcMar>
          </w:tcPr>
          <w:p>
            <w:pPr>
              <w:spacing w:after="0" w:line="240"/>
            </w:pPr>
            <w:r>
              <w:rPr>
                <w:b w:val="false"/>
                <w:bCs w:val="false"/>
                <w:sz w:val="18"/>
                <w:szCs w:val="18"/>
              </w:rPr>
              <w:t xml:space="preserve">SWCME PAR03 thresholds</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BG3D06</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analytic gradient tensor equals a converged numerical difference of the analytic field</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Observed order ≥ 1.9; relative error &lt; 10⁻⁸ at the finest step</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BG3D07</w:t>
            </w:r>
          </w:p>
        </w:tc>
        <w:tc>
          <w:tcPr>
            <w:tcW w:type="dxa" w:w="5400"/>
            <w:tcMar>
              <w:top w:type="dxa" w:w="60"/>
              <w:left w:type="dxa" w:w="100"/>
              <w:bottom w:type="dxa" w:w="60"/>
              <w:right w:type="dxa" w:w="100"/>
            </w:tcMar>
          </w:tcPr>
          <w:p>
            <w:pPr>
              <w:spacing w:after="0" w:line="240"/>
            </w:pPr>
            <w:r>
              <w:rPr>
                <w:b w:val="false"/>
                <w:bCs w:val="false"/>
                <w:sz w:val="18"/>
                <w:szCs w:val="18"/>
              </w:rPr>
              <w:t xml:space="preserve">The SWCME shim is transparent: BackgroundSample fields equal direct checked swcme3d calls at identical positions and times</w:t>
            </w:r>
          </w:p>
        </w:tc>
        <w:tc>
          <w:tcPr>
            <w:tcW w:type="dxa" w:w="3480"/>
            <w:tcMar>
              <w:top w:type="dxa" w:w="60"/>
              <w:left w:type="dxa" w:w="100"/>
              <w:bottom w:type="dxa" w:w="60"/>
              <w:right w:type="dxa" w:w="100"/>
            </w:tcMar>
          </w:tcPr>
          <w:p>
            <w:pPr>
              <w:spacing w:after="0" w:line="240"/>
            </w:pPr>
            <w:r>
              <w:rPr>
                <w:b w:val="false"/>
                <w:bCs w:val="false"/>
                <w:sz w:val="18"/>
                <w:szCs w:val="18"/>
              </w:rPr>
              <w:t xml:space="preserve">Bitwise for every scalar (SWCME PST07 method)</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BG3D08</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SWCME provider propagates prepared-state ownership, configuration-mismatch, and stale-state rejections without modifying the caller’s output</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Status codes match; output object unchanged</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BG3D09</w:t>
            </w:r>
          </w:p>
        </w:tc>
        <w:tc>
          <w:tcPr>
            <w:tcW w:type="dxa" w:w="5400"/>
            <w:tcMar>
              <w:top w:type="dxa" w:w="60"/>
              <w:left w:type="dxa" w:w="100"/>
              <w:bottom w:type="dxa" w:w="60"/>
              <w:right w:type="dxa" w:w="100"/>
            </w:tcMar>
          </w:tcPr>
          <w:p>
            <w:pPr>
              <w:spacing w:after="0" w:line="240"/>
            </w:pPr>
            <w:r>
              <w:rPr>
                <w:b w:val="false"/>
                <w:bCs w:val="false"/>
                <w:sz w:val="18"/>
                <w:szCs w:val="18"/>
              </w:rPr>
              <w:t xml:space="preserve">Provider selection rejects mixing two authoritative providers; a reference provider is accepted in a read-only role</w:t>
            </w:r>
          </w:p>
        </w:tc>
        <w:tc>
          <w:tcPr>
            <w:tcW w:type="dxa" w:w="3480"/>
            <w:tcMar>
              <w:top w:type="dxa" w:w="60"/>
              <w:left w:type="dxa" w:w="100"/>
              <w:bottom w:type="dxa" w:w="60"/>
              <w:right w:type="dxa" w:w="100"/>
            </w:tcMar>
          </w:tcPr>
          <w:p>
            <w:pPr>
              <w:spacing w:after="0" w:line="240"/>
            </w:pPr>
            <w:r>
              <w:rPr>
                <w:b w:val="false"/>
                <w:bCs w:val="false"/>
                <w:sz w:val="18"/>
                <w:szCs w:val="18"/>
              </w:rPr>
              <w:t xml:space="preserve">Parse-time rejection</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BG3D10</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derived scalars ∇·b̂, (b̂·∇)b̂, and b̂b̂:∇U computed from analytic Parker + radial wind match closed forms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Relative error &lt; 10⁻¹⁰</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BG3D11</w:t>
            </w:r>
          </w:p>
        </w:tc>
        <w:tc>
          <w:tcPr>
            <w:tcW w:type="dxa" w:w="5400"/>
            <w:tcMar>
              <w:top w:type="dxa" w:w="60"/>
              <w:left w:type="dxa" w:w="100"/>
              <w:bottom w:type="dxa" w:w="60"/>
              <w:right w:type="dxa" w:w="100"/>
            </w:tcMar>
          </w:tcPr>
          <w:p>
            <w:pPr>
              <w:spacing w:after="0" w:line="240"/>
            </w:pPr>
            <w:r>
              <w:rPr>
                <w:b w:val="false"/>
                <w:bCs w:val="false"/>
                <w:sz w:val="18"/>
                <w:szCs w:val="18"/>
              </w:rPr>
              <w:t xml:space="preserve">Trilinear interpolation of a stored analytic field converges at second order in cell size on a uniform emulated grid</w:t>
            </w:r>
          </w:p>
        </w:tc>
        <w:tc>
          <w:tcPr>
            <w:tcW w:type="dxa" w:w="3480"/>
            <w:tcMar>
              <w:top w:type="dxa" w:w="60"/>
              <w:left w:type="dxa" w:w="100"/>
              <w:bottom w:type="dxa" w:w="60"/>
              <w:right w:type="dxa" w:w="100"/>
            </w:tcMar>
          </w:tcPr>
          <w:p>
            <w:pPr>
              <w:spacing w:after="0" w:line="240"/>
            </w:pPr>
            <w:r>
              <w:rPr>
                <w:b w:val="false"/>
                <w:bCs w:val="false"/>
                <w:sz w:val="18"/>
                <w:szCs w:val="18"/>
              </w:rPr>
              <w:t xml:space="preserve">Observed order ≥ 1.9</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BG3D12</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Validity flags propagate: an invalid cell in a stencil yields valid = false, and no numerical value is invented</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BGX01–BGX07</w:t>
            </w:r>
          </w:p>
        </w:tc>
        <w:tc>
          <w:tcPr>
            <w:tcW w:type="dxa" w:w="5400"/>
            <w:tcMar>
              <w:top w:type="dxa" w:w="60"/>
              <w:left w:type="dxa" w:w="100"/>
              <w:bottom w:type="dxa" w:w="60"/>
              <w:right w:type="dxa" w:w="100"/>
            </w:tcMar>
          </w:tcPr>
          <w:p>
            <w:pPr>
              <w:spacing w:after="0" w:line="240"/>
            </w:pPr>
            <w:r>
              <w:rPr>
                <w:b w:val="false"/>
                <w:bCs w:val="false"/>
                <w:sz w:val="18"/>
                <w:szCs w:val="18"/>
              </w:rPr>
              <w:t xml:space="preserve">External-script file formats, ordering, checksums, units, missing-value policies, timeout, and caching, against the bundled stub script</w:t>
            </w:r>
          </w:p>
        </w:tc>
        <w:tc>
          <w:tcPr>
            <w:tcW w:type="dxa" w:w="3480"/>
            <w:tcMar>
              <w:top w:type="dxa" w:w="60"/>
              <w:left w:type="dxa" w:w="100"/>
              <w:bottom w:type="dxa" w:w="60"/>
              <w:right w:type="dxa" w:w="100"/>
            </w:tcMar>
          </w:tcPr>
          <w:p>
            <w:pPr>
              <w:spacing w:after="0" w:line="240"/>
            </w:pPr>
            <w:r>
              <w:rPr>
                <w:b w:val="false"/>
                <w:bCs w:val="false"/>
                <w:sz w:val="18"/>
                <w:szCs w:val="18"/>
              </w:rPr>
              <w:t xml:space="preserve">SKIP in release 1; the tests exist and compile</w:t>
            </w:r>
          </w:p>
        </w:tc>
      </w:tr>
    </w:tbl>
    <w:p>
      <w:pPr>
        <w:spacing w:after="140"/>
      </w:pPr>
    </w:p>
    <w:p>
      <w:pPr>
        <w:pStyle w:val="Heading3"/>
        <w:spacing w:after="100" w:before="220"/>
      </w:pPr>
      <w:r>
        <w:t xml:space="preserve">10.2.4 Group COEF3D — coefficients and tensor assembly</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5400"/>
        <w:gridCol w:w="34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5400"/>
            <w:shd w:fill="1F3864" w:val="clear"/>
            <w:tcMar>
              <w:top w:type="dxa" w:w="60"/>
              <w:left w:type="dxa" w:w="100"/>
              <w:bottom w:type="dxa" w:w="60"/>
              <w:right w:type="dxa" w:w="100"/>
            </w:tcMar>
          </w:tcPr>
          <w:p>
            <w:pPr>
              <w:spacing w:after="0" w:line="240"/>
            </w:pPr>
            <w:r>
              <w:rPr>
                <w:b/>
                <w:bCs/>
                <w:color w:val="FFFFFF"/>
                <w:sz w:val="18"/>
                <w:szCs w:val="18"/>
              </w:rPr>
              <w:t xml:space="preserve">Assertion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Reference / 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COEF3D01</w:t>
            </w:r>
          </w:p>
        </w:tc>
        <w:tc>
          <w:tcPr>
            <w:tcW w:type="dxa" w:w="5400"/>
            <w:tcMar>
              <w:top w:type="dxa" w:w="60"/>
              <w:left w:type="dxa" w:w="100"/>
              <w:bottom w:type="dxa" w:w="60"/>
              <w:right w:type="dxa" w:w="100"/>
            </w:tcMar>
          </w:tcPr>
          <w:p>
            <w:pPr>
              <w:spacing w:after="0" w:line="240"/>
            </w:pPr>
            <w:r>
              <w:rPr>
                <w:b w:val="false"/>
                <w:bCs w:val="false"/>
                <w:sz w:val="18"/>
                <w:szCs w:val="18"/>
              </w:rPr>
              <w:t xml:space="preserve">κ∥ ↔ λ∥ ↔ D_μμ conversions round-trip under the stated isotropic closure across six decades of momentum</w:t>
            </w:r>
          </w:p>
        </w:tc>
        <w:tc>
          <w:tcPr>
            <w:tcW w:type="dxa" w:w="3480"/>
            <w:tcMar>
              <w:top w:type="dxa" w:w="60"/>
              <w:left w:type="dxa" w:w="100"/>
              <w:bottom w:type="dxa" w:w="60"/>
              <w:right w:type="dxa" w:w="100"/>
            </w:tcMar>
          </w:tcPr>
          <w:p>
            <w:pPr>
              <w:spacing w:after="0" w:line="240"/>
            </w:pPr>
            <w:r>
              <w:rPr>
                <w:b w:val="false"/>
                <w:bCs w:val="false"/>
                <w:sz w:val="18"/>
                <w:szCs w:val="18"/>
              </w:rPr>
              <w:t xml:space="preserve">Relative error &lt; 10⁻¹²</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COEF3D02</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Every named parallel and pitch-angle provider reproduces the srcSEP 1-D implementation at matched inputs, by direct call into srcSEP/util</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Bitwise (the same kernel is linked)</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COEF3D03</w:t>
            </w:r>
          </w:p>
        </w:tc>
        <w:tc>
          <w:tcPr>
            <w:tcW w:type="dxa" w:w="5400"/>
            <w:tcMar>
              <w:top w:type="dxa" w:w="60"/>
              <w:left w:type="dxa" w:w="100"/>
              <w:bottom w:type="dxa" w:w="60"/>
              <w:right w:type="dxa" w:w="100"/>
            </w:tcMar>
          </w:tcPr>
          <w:p>
            <w:pPr>
              <w:spacing w:after="0" w:line="240"/>
            </w:pPr>
            <w:r>
              <w:rPr>
                <w:b w:val="false"/>
                <w:bCs w:val="false"/>
                <w:sz w:val="18"/>
                <w:szCs w:val="18"/>
              </w:rPr>
              <w:t xml:space="preserve">Tensor assembly with κ⊥ = 0 gives κ·n̂ = κ∥(b̂·n̂)b̂ for 10³ random n̂</w:t>
            </w:r>
          </w:p>
        </w:tc>
        <w:tc>
          <w:tcPr>
            <w:tcW w:type="dxa" w:w="3480"/>
            <w:tcMar>
              <w:top w:type="dxa" w:w="60"/>
              <w:left w:type="dxa" w:w="100"/>
              <w:bottom w:type="dxa" w:w="60"/>
              <w:right w:type="dxa" w:w="100"/>
            </w:tcMar>
          </w:tcPr>
          <w:p>
            <w:pPr>
              <w:spacing w:after="0" w:line="240"/>
            </w:pPr>
            <w:r>
              <w:rPr>
                <w:b w:val="false"/>
                <w:bCs w:val="false"/>
                <w:sz w:val="18"/>
                <w:szCs w:val="18"/>
              </w:rPr>
              <w:t xml:space="preserve">Relative error &lt; 10⁻¹⁴</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COEF3D04</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The analytic ∇·κ expression equals the numerical divergence of the assembled tensor for analytic Parker + QLT</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Observed order ≥ 1.9</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COEF3D05</w:t>
            </w:r>
          </w:p>
        </w:tc>
        <w:tc>
          <w:tcPr>
            <w:tcW w:type="dxa" w:w="5400"/>
            <w:tcMar>
              <w:top w:type="dxa" w:w="60"/>
              <w:left w:type="dxa" w:w="100"/>
              <w:bottom w:type="dxa" w:w="60"/>
              <w:right w:type="dxa" w:w="100"/>
            </w:tcMar>
          </w:tcPr>
          <w:p>
            <w:pPr>
              <w:spacing w:after="0" w:line="240"/>
            </w:pPr>
            <w:r>
              <w:rPr>
                <w:b w:val="false"/>
                <w:bCs w:val="false"/>
                <w:sz w:val="18"/>
                <w:szCs w:val="18"/>
              </w:rPr>
              <w:t xml:space="preserve">The triad (b̂, ê₁, ê₂) is orthonormal and right-handed everywhere, including within 10⁻¹² rad of the rotation pole, and is continuous along a traced Parker line</w:t>
            </w:r>
          </w:p>
        </w:tc>
        <w:tc>
          <w:tcPr>
            <w:tcW w:type="dxa" w:w="3480"/>
            <w:tcMar>
              <w:top w:type="dxa" w:w="60"/>
              <w:left w:type="dxa" w:w="100"/>
              <w:bottom w:type="dxa" w:w="60"/>
              <w:right w:type="dxa" w:w="100"/>
            </w:tcMar>
          </w:tcPr>
          <w:p>
            <w:pPr>
              <w:spacing w:after="0" w:line="240"/>
            </w:pPr>
            <w:r>
              <w:rPr>
                <w:b w:val="false"/>
                <w:bCs w:val="false"/>
                <w:sz w:val="18"/>
                <w:szCs w:val="18"/>
              </w:rPr>
              <w:t xml:space="preserve">Orthonormality &lt; 10⁻¹⁴; no discontinuity above 10⁻⁶ between adjacent samples</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COEF3D06</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Every reserved perpendicular and drift provider name is rejected before initialisation; only "none" is accepted</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 diagnostic text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COEF3D07</w:t>
            </w:r>
          </w:p>
        </w:tc>
        <w:tc>
          <w:tcPr>
            <w:tcW w:type="dxa" w:w="5400"/>
            <w:tcMar>
              <w:top w:type="dxa" w:w="60"/>
              <w:left w:type="dxa" w:w="100"/>
              <w:bottom w:type="dxa" w:w="60"/>
              <w:right w:type="dxa" w:w="100"/>
            </w:tcMar>
          </w:tcPr>
          <w:p>
            <w:pPr>
              <w:spacing w:after="0" w:line="240"/>
            </w:pPr>
            <w:r>
              <w:rPr>
                <w:b w:val="false"/>
                <w:bCs w:val="false"/>
                <w:sz w:val="18"/>
                <w:szCs w:val="18"/>
              </w:rPr>
              <w:t xml:space="preserve">Resonance-gap and spectrum-extension policies behave as documented for a 100 keV electron whose resonant k lies outside the configured band</w:t>
            </w:r>
          </w:p>
        </w:tc>
        <w:tc>
          <w:tcPr>
            <w:tcW w:type="dxa" w:w="3480"/>
            <w:tcMar>
              <w:top w:type="dxa" w:w="60"/>
              <w:left w:type="dxa" w:w="100"/>
              <w:bottom w:type="dxa" w:w="60"/>
              <w:right w:type="dxa" w:w="100"/>
            </w:tcMar>
          </w:tcPr>
          <w:p>
            <w:pPr>
              <w:spacing w:after="0" w:line="240"/>
            </w:pPr>
            <w:r>
              <w:rPr>
                <w:b w:val="false"/>
                <w:bCs w:val="false"/>
                <w:sz w:val="18"/>
                <w:szCs w:val="18"/>
              </w:rPr>
              <w:t xml:space="preserve">reject fails; extend-power-law and dissipation-range produce documented finite values</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COEF3D08</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invalid-coefficient-policy ballistic produces the exact λ = +∞ zero-rate state, never a finite clamp</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isinf() true; event rate exactly 0</w:t>
            </w:r>
          </w:p>
        </w:tc>
      </w:tr>
    </w:tbl>
    <w:p>
      <w:pPr>
        <w:spacing w:after="140"/>
      </w:pPr>
    </w:p>
    <w:p>
      <w:pPr>
        <w:pStyle w:val="Heading3"/>
        <w:spacing w:after="100" w:before="220"/>
      </w:pPr>
      <w:r>
        <w:t xml:space="preserve">10.2.5 Group PRK3D — the Parker mover core</w:t>
      </w:r>
    </w:p>
    <w:p>
      <w:pPr>
        <w:spacing w:after="120" w:line="264"/>
        <w:jc w:val="left"/>
      </w:pPr>
      <w:r>
        <w:t xml:space="preserve">All of these run the 3-D core directly on analytic backgrounds with ensembles of 10⁴–10⁶ pseudo-particles and fixed seeds. Each reports its metric with an explicit tolerance and its observed convergence order where a refinement study applies.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2700"/>
        <w:gridCol w:w="3900"/>
        <w:gridCol w:w="22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2700"/>
            <w:shd w:fill="1F3864" w:val="clear"/>
            <w:tcMar>
              <w:top w:type="dxa" w:w="60"/>
              <w:left w:type="dxa" w:w="100"/>
              <w:bottom w:type="dxa" w:w="60"/>
              <w:right w:type="dxa" w:w="100"/>
            </w:tcMar>
          </w:tcPr>
          <w:p>
            <w:pPr>
              <w:spacing w:after="0" w:line="240"/>
            </w:pPr>
            <w:r>
              <w:rPr>
                <w:b/>
                <w:bCs/>
                <w:color w:val="FFFFFF"/>
                <w:sz w:val="18"/>
                <w:szCs w:val="18"/>
              </w:rPr>
              <w:t xml:space="preserve">Configuration</w:t>
            </w:r>
          </w:p>
        </w:tc>
        <w:tc>
          <w:tcPr>
            <w:tcW w:type="dxa" w:w="3900"/>
            <w:shd w:fill="1F3864" w:val="clear"/>
            <w:tcMar>
              <w:top w:type="dxa" w:w="60"/>
              <w:left w:type="dxa" w:w="100"/>
              <w:bottom w:type="dxa" w:w="60"/>
              <w:right w:type="dxa" w:w="100"/>
            </w:tcMar>
          </w:tcPr>
          <w:p>
            <w:pPr>
              <w:spacing w:after="0" w:line="240"/>
            </w:pPr>
            <w:r>
              <w:rPr>
                <w:b/>
                <w:bCs/>
                <w:color w:val="FFFFFF"/>
                <w:sz w:val="18"/>
                <w:szCs w:val="18"/>
              </w:rPr>
              <w:t xml:space="preserve">Analytic reference</w:t>
            </w:r>
          </w:p>
        </w:tc>
        <w:tc>
          <w:tcPr>
            <w:tcW w:type="dxa" w:w="2280"/>
            <w:shd w:fill="1F3864" w:val="clear"/>
            <w:tcMar>
              <w:top w:type="dxa" w:w="60"/>
              <w:left w:type="dxa" w:w="100"/>
              <w:bottom w:type="dxa" w:w="60"/>
              <w:right w:type="dxa" w:w="100"/>
            </w:tcMar>
          </w:tcPr>
          <w:p>
            <w:pPr>
              <w:spacing w:after="0" w:line="240"/>
            </w:pPr>
            <w:r>
              <w:rPr>
                <w:b/>
                <w:bCs/>
                <w:color w:val="FFFFFF"/>
                <w:sz w:val="18"/>
                <w:szCs w:val="18"/>
              </w:rPr>
              <w:t xml:space="preserve">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PRK3D01</w:t>
            </w:r>
          </w:p>
        </w:tc>
        <w:tc>
          <w:tcPr>
            <w:tcW w:type="dxa" w:w="2700"/>
            <w:tcMar>
              <w:top w:type="dxa" w:w="60"/>
              <w:left w:type="dxa" w:w="100"/>
              <w:bottom w:type="dxa" w:w="60"/>
              <w:right w:type="dxa" w:w="100"/>
            </w:tcMar>
          </w:tcPr>
          <w:p>
            <w:pPr>
              <w:spacing w:after="0" w:line="240"/>
            </w:pPr>
            <w:r>
              <w:rPr>
                <w:b w:val="false"/>
                <w:bCs w:val="false"/>
                <w:sz w:val="18"/>
                <w:szCs w:val="18"/>
              </w:rPr>
              <w:t xml:space="preserve">Uniform B along ẑ, U = 0, constant κ∥</w:t>
            </w:r>
          </w:p>
        </w:tc>
        <w:tc>
          <w:tcPr>
            <w:tcW w:type="dxa" w:w="3900"/>
            <w:tcMar>
              <w:top w:type="dxa" w:w="60"/>
              <w:left w:type="dxa" w:w="100"/>
              <w:bottom w:type="dxa" w:w="60"/>
              <w:right w:type="dxa" w:w="100"/>
            </w:tcMar>
          </w:tcPr>
          <w:p>
            <w:pPr>
              <w:spacing w:after="0" w:line="240"/>
            </w:pPr>
            <w:r>
              <w:rPr>
                <w:b w:val="false"/>
                <w:bCs w:val="false"/>
                <w:sz w:val="18"/>
                <w:szCs w:val="18"/>
              </w:rPr>
              <w:t xml:space="preserve">⟨Δz²⟩ = 2κ∥t exactly; ⟨Δx²⟩ = ⟨Δy²⟩ = 0; the Δz distribution is Gaussian</w:t>
            </w:r>
          </w:p>
        </w:tc>
        <w:tc>
          <w:tcPr>
            <w:tcW w:type="dxa" w:w="2280"/>
            <w:tcMar>
              <w:top w:type="dxa" w:w="60"/>
              <w:left w:type="dxa" w:w="100"/>
              <w:bottom w:type="dxa" w:w="60"/>
              <w:right w:type="dxa" w:w="100"/>
            </w:tcMar>
          </w:tcPr>
          <w:p>
            <w:pPr>
              <w:spacing w:after="0" w:line="240"/>
            </w:pPr>
            <w:r>
              <w:rPr>
                <w:b w:val="false"/>
                <w:bCs w:val="false"/>
                <w:sz w:val="18"/>
                <w:szCs w:val="18"/>
              </w:rPr>
              <w:t xml:space="preserve">3σ on the moment; Kolmogorov–Smirnov p &gt; 0.01</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PRK3D02</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Uniform B, constant U, κ = 0</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x(t) = x₀ + Ut exactly</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Relative error &lt; 10⁻¹⁴</w:t>
            </w:r>
          </w:p>
        </w:tc>
      </w:tr>
      <w:tr>
        <w:tc>
          <w:tcPr>
            <w:tcW w:type="dxa" w:w="1200"/>
            <w:tcMar>
              <w:top w:type="dxa" w:w="60"/>
              <w:left w:type="dxa" w:w="100"/>
              <w:bottom w:type="dxa" w:w="60"/>
              <w:right w:type="dxa" w:w="100"/>
            </w:tcMar>
          </w:tcPr>
          <w:p>
            <w:pPr>
              <w:spacing w:after="0" w:line="240"/>
            </w:pPr>
            <w:r>
              <w:rPr>
                <w:b w:val="false"/>
                <w:bCs w:val="false"/>
                <w:sz w:val="18"/>
                <w:szCs w:val="18"/>
              </w:rPr>
              <w:t xml:space="preserve">PRK3D03</w:t>
            </w:r>
          </w:p>
        </w:tc>
        <w:tc>
          <w:tcPr>
            <w:tcW w:type="dxa" w:w="2700"/>
            <w:tcMar>
              <w:top w:type="dxa" w:w="60"/>
              <w:left w:type="dxa" w:w="100"/>
              <w:bottom w:type="dxa" w:w="60"/>
              <w:right w:type="dxa" w:w="100"/>
            </w:tcMar>
          </w:tcPr>
          <w:p>
            <w:pPr>
              <w:spacing w:after="0" w:line="240"/>
            </w:pPr>
            <w:r>
              <w:rPr>
                <w:b w:val="false"/>
                <w:bCs w:val="false"/>
                <w:sz w:val="18"/>
                <w:szCs w:val="18"/>
              </w:rPr>
              <w:t xml:space="preserve">Uniform B tilted to all three axes, constant κ∥</w:t>
            </w:r>
          </w:p>
        </w:tc>
        <w:tc>
          <w:tcPr>
            <w:tcW w:type="dxa" w:w="3900"/>
            <w:tcMar>
              <w:top w:type="dxa" w:w="60"/>
              <w:left w:type="dxa" w:w="100"/>
              <w:bottom w:type="dxa" w:w="60"/>
              <w:right w:type="dxa" w:w="100"/>
            </w:tcMar>
          </w:tcPr>
          <w:p>
            <w:pPr>
              <w:spacing w:after="0" w:line="240"/>
            </w:pPr>
            <w:r>
              <w:rPr>
                <w:b w:val="false"/>
                <w:bCs w:val="false"/>
                <w:sz w:val="18"/>
                <w:szCs w:val="18"/>
              </w:rPr>
              <w:t xml:space="preserve">Displacement variance is 2κ∥t along b̂ and 0 in the plane, for 20 random orientations</w:t>
            </w:r>
          </w:p>
        </w:tc>
        <w:tc>
          <w:tcPr>
            <w:tcW w:type="dxa" w:w="2280"/>
            <w:tcMar>
              <w:top w:type="dxa" w:w="60"/>
              <w:left w:type="dxa" w:w="100"/>
              <w:bottom w:type="dxa" w:w="60"/>
              <w:right w:type="dxa" w:w="100"/>
            </w:tcMar>
          </w:tcPr>
          <w:p>
            <w:pPr>
              <w:spacing w:after="0" w:line="240"/>
            </w:pPr>
            <w:r>
              <w:rPr>
                <w:b w:val="false"/>
                <w:bCs w:val="false"/>
                <w:sz w:val="18"/>
                <w:szCs w:val="18"/>
              </w:rPr>
              <w:t xml:space="preserve">3σ; plane variance &lt; 10⁻¹² of the parallel value</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PRK3D04</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Analytic Parker field; numerical vs analytic ∂∥κ∥</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The two modes agree; the numerical mode converges at second order in h</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Observed order ≥ 1.9</w:t>
            </w:r>
          </w:p>
        </w:tc>
      </w:tr>
      <w:tr>
        <w:tc>
          <w:tcPr>
            <w:tcW w:type="dxa" w:w="1200"/>
            <w:tcMar>
              <w:top w:type="dxa" w:w="60"/>
              <w:left w:type="dxa" w:w="100"/>
              <w:bottom w:type="dxa" w:w="60"/>
              <w:right w:type="dxa" w:w="100"/>
            </w:tcMar>
          </w:tcPr>
          <w:p>
            <w:pPr>
              <w:spacing w:after="0" w:line="240"/>
            </w:pPr>
            <w:r>
              <w:rPr>
                <w:b w:val="false"/>
                <w:bCs w:val="false"/>
                <w:sz w:val="18"/>
                <w:szCs w:val="18"/>
              </w:rPr>
              <w:t xml:space="preserve">PRK3D05</w:t>
            </w:r>
          </w:p>
        </w:tc>
        <w:tc>
          <w:tcPr>
            <w:tcW w:type="dxa" w:w="2700"/>
            <w:tcMar>
              <w:top w:type="dxa" w:w="60"/>
              <w:left w:type="dxa" w:w="100"/>
              <w:bottom w:type="dxa" w:w="60"/>
              <w:right w:type="dxa" w:w="100"/>
            </w:tcMar>
          </w:tcPr>
          <w:p>
            <w:pPr>
              <w:spacing w:after="0" w:line="240"/>
            </w:pPr>
            <w:r>
              <w:rPr>
                <w:b w:val="false"/>
                <w:bCs w:val="false"/>
                <w:sz w:val="18"/>
                <w:szCs w:val="18"/>
              </w:rPr>
              <w:t xml:space="preserve">Spatially varying κ∥(s), no flow, uniform initial density in a periodic slab</w:t>
            </w:r>
          </w:p>
        </w:tc>
        <w:tc>
          <w:tcPr>
            <w:tcW w:type="dxa" w:w="3900"/>
            <w:tcMar>
              <w:top w:type="dxa" w:w="60"/>
              <w:left w:type="dxa" w:w="100"/>
              <w:bottom w:type="dxa" w:w="60"/>
              <w:right w:type="dxa" w:w="100"/>
            </w:tcMar>
          </w:tcPr>
          <w:p>
            <w:pPr>
              <w:spacing w:after="0" w:line="240"/>
            </w:pPr>
            <w:r>
              <w:rPr>
                <w:b w:val="false"/>
                <w:bCs w:val="false"/>
                <w:sz w:val="18"/>
                <w:szCs w:val="18"/>
              </w:rPr>
              <w:t xml:space="preserve">A uniform density is a stationary solution — the ∇·κ drift test. Any systematic migration is a sign error in the drift term</w:t>
            </w:r>
          </w:p>
        </w:tc>
        <w:tc>
          <w:tcPr>
            <w:tcW w:type="dxa" w:w="2280"/>
            <w:tcMar>
              <w:top w:type="dxa" w:w="60"/>
              <w:left w:type="dxa" w:w="100"/>
              <w:bottom w:type="dxa" w:w="60"/>
              <w:right w:type="dxa" w:w="100"/>
            </w:tcMar>
          </w:tcPr>
          <w:p>
            <w:pPr>
              <w:spacing w:after="0" w:line="240"/>
            </w:pPr>
            <w:r>
              <w:rPr>
                <w:b w:val="false"/>
                <w:bCs w:val="false"/>
                <w:sz w:val="18"/>
                <w:szCs w:val="18"/>
              </w:rPr>
              <w:t xml:space="preserve">Density non-uniformity &lt; 1% after 10⁵ steps; a deliberately sign-flipped control must fail</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PRK3D06</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Spherically symmetric wind U = V r̂, κ = 0</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p(t) = p₀ exp(−(2/3)∫V dt/r) along the exact characteristic</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Relative error &lt; 10⁻⁸; observed order ≥ 1.9 in Δt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PRK3D07</w:t>
            </w:r>
          </w:p>
        </w:tc>
        <w:tc>
          <w:tcPr>
            <w:tcW w:type="dxa" w:w="2700"/>
            <w:tcMar>
              <w:top w:type="dxa" w:w="60"/>
              <w:left w:type="dxa" w:w="100"/>
              <w:bottom w:type="dxa" w:w="60"/>
              <w:right w:type="dxa" w:w="100"/>
            </w:tcMar>
          </w:tcPr>
          <w:p>
            <w:pPr>
              <w:spacing w:after="0" w:line="240"/>
            </w:pPr>
            <w:r>
              <w:rPr>
                <w:b w:val="false"/>
                <w:bCs w:val="false"/>
                <w:sz w:val="18"/>
                <w:szCs w:val="18"/>
              </w:rPr>
              <w:t xml:space="preserve">Constant drift plus constant diffusion with an absorbing plane</w:t>
            </w:r>
          </w:p>
        </w:tc>
        <w:tc>
          <w:tcPr>
            <w:tcW w:type="dxa" w:w="3900"/>
            <w:tcMar>
              <w:top w:type="dxa" w:w="60"/>
              <w:left w:type="dxa" w:w="100"/>
              <w:bottom w:type="dxa" w:w="60"/>
              <w:right w:type="dxa" w:w="100"/>
            </w:tcMar>
          </w:tcPr>
          <w:p>
            <w:pPr>
              <w:spacing w:after="0" w:line="240"/>
            </w:pPr>
            <w:r>
              <w:rPr>
                <w:b w:val="false"/>
                <w:bCs w:val="false"/>
                <w:sz w:val="18"/>
                <w:szCs w:val="18"/>
              </w:rPr>
              <w:t xml:space="preserve">First-passage time is inverse-Gaussian with known mean and variance</w:t>
            </w:r>
          </w:p>
        </w:tc>
        <w:tc>
          <w:tcPr>
            <w:tcW w:type="dxa" w:w="2280"/>
            <w:tcMar>
              <w:top w:type="dxa" w:w="60"/>
              <w:left w:type="dxa" w:w="100"/>
              <w:bottom w:type="dxa" w:w="60"/>
              <w:right w:type="dxa" w:w="100"/>
            </w:tcMar>
          </w:tcPr>
          <w:p>
            <w:pPr>
              <w:spacing w:after="0" w:line="240"/>
            </w:pPr>
            <w:r>
              <w:rPr>
                <w:b w:val="false"/>
                <w:bCs w:val="false"/>
                <w:sz w:val="18"/>
                <w:szCs w:val="18"/>
              </w:rPr>
              <w:t xml:space="preserve">3σ on both moments; Anderson–Darling p &gt; 0.01</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PRK3D08</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Radial field, κ∥ ∝ r^b, point injection at r_in</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Compare against an independently coded conservative radial finite-volume solver of the Parker equation</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L1 difference of the radial profile &lt; 3% at three times</w:t>
            </w:r>
          </w:p>
        </w:tc>
      </w:tr>
      <w:tr>
        <w:tc>
          <w:tcPr>
            <w:tcW w:type="dxa" w:w="1200"/>
            <w:tcMar>
              <w:top w:type="dxa" w:w="60"/>
              <w:left w:type="dxa" w:w="100"/>
              <w:bottom w:type="dxa" w:w="60"/>
              <w:right w:type="dxa" w:w="100"/>
            </w:tcMar>
          </w:tcPr>
          <w:p>
            <w:pPr>
              <w:spacing w:after="0" w:line="240"/>
            </w:pPr>
            <w:r>
              <w:rPr>
                <w:b w:val="false"/>
                <w:bCs w:val="false"/>
                <w:sz w:val="18"/>
                <w:szCs w:val="18"/>
              </w:rPr>
              <w:t xml:space="preserve">PRK3D09</w:t>
            </w:r>
          </w:p>
        </w:tc>
        <w:tc>
          <w:tcPr>
            <w:tcW w:type="dxa" w:w="2700"/>
            <w:tcMar>
              <w:top w:type="dxa" w:w="60"/>
              <w:left w:type="dxa" w:w="100"/>
              <w:bottom w:type="dxa" w:w="60"/>
              <w:right w:type="dxa" w:w="100"/>
            </w:tcMar>
          </w:tcPr>
          <w:p>
            <w:pPr>
              <w:spacing w:after="0" w:line="240"/>
            </w:pPr>
            <w:r>
              <w:rPr>
                <w:b w:val="false"/>
                <w:bCs w:val="false"/>
                <w:sz w:val="18"/>
                <w:szCs w:val="18"/>
              </w:rPr>
              <w:t xml:space="preserve">Timestep budget stress: each named limit is made binding in turn</w:t>
            </w:r>
          </w:p>
        </w:tc>
        <w:tc>
          <w:tcPr>
            <w:tcW w:type="dxa" w:w="3900"/>
            <w:tcMar>
              <w:top w:type="dxa" w:w="60"/>
              <w:left w:type="dxa" w:w="100"/>
              <w:bottom w:type="dxa" w:w="60"/>
              <w:right w:type="dxa" w:w="100"/>
            </w:tcMar>
          </w:tcPr>
          <w:p>
            <w:pPr>
              <w:spacing w:after="0" w:line="240"/>
            </w:pPr>
            <w:r>
              <w:rPr>
                <w:b w:val="false"/>
                <w:bCs w:val="false"/>
                <w:sz w:val="18"/>
                <w:szCs w:val="18"/>
              </w:rPr>
              <w:t xml:space="preserve">The selector reports the correct binding name and count; a forced underflow returns StepUnderflow, not a clamp</w:t>
            </w:r>
          </w:p>
        </w:tc>
        <w:tc>
          <w:tcPr>
            <w:tcW w:type="dxa" w:w="2280"/>
            <w:tcMar>
              <w:top w:type="dxa" w:w="60"/>
              <w:left w:type="dxa" w:w="100"/>
              <w:bottom w:type="dxa" w:w="60"/>
              <w:right w:type="dxa" w:w="100"/>
            </w:tcMar>
          </w:tcPr>
          <w:p>
            <w:pPr>
              <w:spacing w:after="0" w:line="240"/>
            </w:pPr>
            <w:r>
              <w:rPr>
                <w:b w:val="false"/>
                <w:bCs w:val="false"/>
                <w:sz w:val="18"/>
                <w:szCs w:val="18"/>
              </w:rPr>
              <w:t xml:space="preserve">Exact</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PRK3D10</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Reproducibility</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Identical results for 1/2/4/8 threads and for two orderings of the particle list, at a fixed campaign seed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Bitwise</w:t>
            </w:r>
          </w:p>
        </w:tc>
      </w:tr>
    </w:tbl>
    <w:p>
      <w:pPr>
        <w:spacing w:after="140"/>
      </w:pPr>
    </w:p>
    <w:p>
      <w:pPr>
        <w:pStyle w:val="Heading3"/>
        <w:spacing w:after="100" w:before="220"/>
      </w:pPr>
      <w:r>
        <w:t xml:space="preserve">10.2.6 Group FTE3D — the focused-transport mover core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2700"/>
        <w:gridCol w:w="3900"/>
        <w:gridCol w:w="22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2700"/>
            <w:shd w:fill="1F3864" w:val="clear"/>
            <w:tcMar>
              <w:top w:type="dxa" w:w="60"/>
              <w:left w:type="dxa" w:w="100"/>
              <w:bottom w:type="dxa" w:w="60"/>
              <w:right w:type="dxa" w:w="100"/>
            </w:tcMar>
          </w:tcPr>
          <w:p>
            <w:pPr>
              <w:spacing w:after="0" w:line="240"/>
            </w:pPr>
            <w:r>
              <w:rPr>
                <w:b/>
                <w:bCs/>
                <w:color w:val="FFFFFF"/>
                <w:sz w:val="18"/>
                <w:szCs w:val="18"/>
              </w:rPr>
              <w:t xml:space="preserve">Configuration</w:t>
            </w:r>
          </w:p>
        </w:tc>
        <w:tc>
          <w:tcPr>
            <w:tcW w:type="dxa" w:w="3900"/>
            <w:shd w:fill="1F3864" w:val="clear"/>
            <w:tcMar>
              <w:top w:type="dxa" w:w="60"/>
              <w:left w:type="dxa" w:w="100"/>
              <w:bottom w:type="dxa" w:w="60"/>
              <w:right w:type="dxa" w:w="100"/>
            </w:tcMar>
          </w:tcPr>
          <w:p>
            <w:pPr>
              <w:spacing w:after="0" w:line="240"/>
            </w:pPr>
            <w:r>
              <w:rPr>
                <w:b/>
                <w:bCs/>
                <w:color w:val="FFFFFF"/>
                <w:sz w:val="18"/>
                <w:szCs w:val="18"/>
              </w:rPr>
              <w:t xml:space="preserve">Analytic reference</w:t>
            </w:r>
          </w:p>
        </w:tc>
        <w:tc>
          <w:tcPr>
            <w:tcW w:type="dxa" w:w="2280"/>
            <w:shd w:fill="1F3864" w:val="clear"/>
            <w:tcMar>
              <w:top w:type="dxa" w:w="60"/>
              <w:left w:type="dxa" w:w="100"/>
              <w:bottom w:type="dxa" w:w="60"/>
              <w:right w:type="dxa" w:w="100"/>
            </w:tcMar>
          </w:tcPr>
          <w:p>
            <w:pPr>
              <w:spacing w:after="0" w:line="240"/>
            </w:pPr>
            <w:r>
              <w:rPr>
                <w:b/>
                <w:bCs/>
                <w:color w:val="FFFFFF"/>
                <w:sz w:val="18"/>
                <w:szCs w:val="18"/>
              </w:rPr>
              <w:t xml:space="preserve">Tolerance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FTE3D01</w:t>
            </w:r>
          </w:p>
        </w:tc>
        <w:tc>
          <w:tcPr>
            <w:tcW w:type="dxa" w:w="2700"/>
            <w:tcMar>
              <w:top w:type="dxa" w:w="60"/>
              <w:left w:type="dxa" w:w="100"/>
              <w:bottom w:type="dxa" w:w="60"/>
              <w:right w:type="dxa" w:w="100"/>
            </w:tcMar>
          </w:tcPr>
          <w:p>
            <w:pPr>
              <w:spacing w:after="0" w:line="240"/>
            </w:pPr>
            <w:r>
              <w:rPr>
                <w:b w:val="false"/>
                <w:bCs w:val="false"/>
                <w:sz w:val="18"/>
                <w:szCs w:val="18"/>
              </w:rPr>
              <w:t xml:space="preserve">Uniform B, U = 0, D_μμ = 0</w:t>
            </w:r>
          </w:p>
        </w:tc>
        <w:tc>
          <w:tcPr>
            <w:tcW w:type="dxa" w:w="3900"/>
            <w:tcMar>
              <w:top w:type="dxa" w:w="60"/>
              <w:left w:type="dxa" w:w="100"/>
              <w:bottom w:type="dxa" w:w="60"/>
              <w:right w:type="dxa" w:w="100"/>
            </w:tcMar>
          </w:tcPr>
          <w:p>
            <w:pPr>
              <w:spacing w:after="0" w:line="240"/>
            </w:pPr>
            <w:r>
              <w:rPr>
                <w:b w:val="false"/>
                <w:bCs w:val="false"/>
                <w:sz w:val="18"/>
                <w:szCs w:val="18"/>
              </w:rPr>
              <w:t xml:space="preserve">Straight-line streaming at μv; μ exactly constant</w:t>
            </w:r>
          </w:p>
        </w:tc>
        <w:tc>
          <w:tcPr>
            <w:tcW w:type="dxa" w:w="2280"/>
            <w:tcMar>
              <w:top w:type="dxa" w:w="60"/>
              <w:left w:type="dxa" w:w="100"/>
              <w:bottom w:type="dxa" w:w="60"/>
              <w:right w:type="dxa" w:w="100"/>
            </w:tcMar>
          </w:tcPr>
          <w:p>
            <w:pPr>
              <w:spacing w:after="0" w:line="240"/>
            </w:pPr>
            <w:r>
              <w:rPr>
                <w:b w:val="false"/>
                <w:bCs w:val="false"/>
                <w:sz w:val="18"/>
                <w:szCs w:val="18"/>
              </w:rPr>
              <w:t xml:space="preserve">Relative error &lt; 10⁻¹⁴</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FTE3D02</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Converging/diverging axial field, no scattering</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Magnetic-moment conservation: (1−μ²)/|B| is invariant along the trajectory</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Relative drift &lt; 10⁻⁸ over 10⁵ steps; observed order ≥ 1.9 in Δt</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FTE3D03</w:t>
            </w:r>
          </w:p>
        </w:tc>
        <w:tc>
          <w:tcPr>
            <w:tcW w:type="dxa" w:w="2700"/>
            <w:tcMar>
              <w:top w:type="dxa" w:w="60"/>
              <w:left w:type="dxa" w:w="100"/>
              <w:bottom w:type="dxa" w:w="60"/>
              <w:right w:type="dxa" w:w="100"/>
            </w:tcMar>
          </w:tcPr>
          <w:p>
            <w:pPr>
              <w:spacing w:after="0" w:line="240"/>
            </w:pPr>
            <w:r>
              <w:rPr>
                <w:b w:val="false"/>
                <w:bCs w:val="false"/>
                <w:sz w:val="18"/>
                <w:szCs w:val="18"/>
              </w:rPr>
              <w:t xml:space="preserve">Analytic Parker field, no scattering</w:t>
            </w:r>
          </w:p>
        </w:tc>
        <w:tc>
          <w:tcPr>
            <w:tcW w:type="dxa" w:w="3900"/>
            <w:tcMar>
              <w:top w:type="dxa" w:w="60"/>
              <w:left w:type="dxa" w:w="100"/>
              <w:bottom w:type="dxa" w:w="60"/>
              <w:right w:type="dxa" w:w="100"/>
            </w:tcMar>
          </w:tcPr>
          <w:p>
            <w:pPr>
              <w:spacing w:after="0" w:line="240"/>
            </w:pPr>
            <w:r>
              <w:rPr>
                <w:b w:val="false"/>
                <w:bCs w:val="false"/>
                <w:sz w:val="18"/>
                <w:szCs w:val="18"/>
              </w:rPr>
              <w:t xml:space="preserve">μ(s) follows the exact focusing characteristic using the closed-form L_B; mirror points match</w:t>
            </w:r>
          </w:p>
        </w:tc>
        <w:tc>
          <w:tcPr>
            <w:tcW w:type="dxa" w:w="2280"/>
            <w:tcMar>
              <w:top w:type="dxa" w:w="60"/>
              <w:left w:type="dxa" w:w="100"/>
              <w:bottom w:type="dxa" w:w="60"/>
              <w:right w:type="dxa" w:w="100"/>
            </w:tcMar>
          </w:tcPr>
          <w:p>
            <w:pPr>
              <w:spacing w:after="0" w:line="240"/>
            </w:pPr>
            <w:r>
              <w:rPr>
                <w:b w:val="false"/>
                <w:bCs w:val="false"/>
                <w:sz w:val="18"/>
                <w:szCs w:val="18"/>
              </w:rPr>
              <w:t xml:space="preserve">Relative error &lt; 10⁻⁶</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FTE3D04</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Uniform B, D_μμ = D₀(1−μ²), initial Legendre mode l</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Mode amplitude decays as exp(−l(l+1)D₀t) for l = 1…6</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Fitted rate within 2% for each mode (mirrors srcSEP CV06)</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FTE3D05</w:t>
            </w:r>
          </w:p>
        </w:tc>
        <w:tc>
          <w:tcPr>
            <w:tcW w:type="dxa" w:w="2700"/>
            <w:tcMar>
              <w:top w:type="dxa" w:w="60"/>
              <w:left w:type="dxa" w:w="100"/>
              <w:bottom w:type="dxa" w:w="60"/>
              <w:right w:type="dxa" w:w="100"/>
            </w:tcMar>
          </w:tcPr>
          <w:p>
            <w:pPr>
              <w:spacing w:after="0" w:line="240"/>
            </w:pPr>
            <w:r>
              <w:rPr>
                <w:b w:val="false"/>
                <w:bCs w:val="false"/>
                <w:sz w:val="18"/>
                <w:szCs w:val="18"/>
              </w:rPr>
              <w:t xml:space="preserve">Strong scattering with μ-dependent D_μμ</w:t>
            </w:r>
          </w:p>
        </w:tc>
        <w:tc>
          <w:tcPr>
            <w:tcW w:type="dxa" w:w="3900"/>
            <w:tcMar>
              <w:top w:type="dxa" w:w="60"/>
              <w:left w:type="dxa" w:w="100"/>
              <w:bottom w:type="dxa" w:w="60"/>
              <w:right w:type="dxa" w:w="100"/>
            </w:tcMar>
          </w:tcPr>
          <w:p>
            <w:pPr>
              <w:spacing w:after="0" w:line="240"/>
            </w:pPr>
            <w:r>
              <w:rPr>
                <w:b w:val="false"/>
                <w:bCs w:val="false"/>
                <w:sz w:val="18"/>
                <w:szCs w:val="18"/>
              </w:rPr>
              <w:t xml:space="preserve">No probability leaks past μ = ±1; the equilibrium μ distribution is uniform; μ = 0 shows no artificial depletion</w:t>
            </w:r>
          </w:p>
        </w:tc>
        <w:tc>
          <w:tcPr>
            <w:tcW w:type="dxa" w:w="2280"/>
            <w:tcMar>
              <w:top w:type="dxa" w:w="60"/>
              <w:left w:type="dxa" w:w="100"/>
              <w:bottom w:type="dxa" w:w="60"/>
              <w:right w:type="dxa" w:w="100"/>
            </w:tcMar>
          </w:tcPr>
          <w:p>
            <w:pPr>
              <w:spacing w:after="0" w:line="240"/>
            </w:pPr>
            <w:r>
              <w:rPr>
                <w:b w:val="false"/>
                <w:bCs w:val="false"/>
                <w:sz w:val="18"/>
                <w:szCs w:val="18"/>
              </w:rPr>
              <w:t xml:space="preserve">Uniformity χ² p &gt; 0.01 over 64 bins</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FTE3D06</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Spherical wind, full gyrotropic coefficients</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Momentum follows the exact characteristic for dp/dt; the pitch-angle-averaged rate reduces to −(p/3)∇·U</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Relative error &lt; 10⁻⁷</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FTE3D07</w:t>
            </w:r>
          </w:p>
        </w:tc>
        <w:tc>
          <w:tcPr>
            <w:tcW w:type="dxa" w:w="2700"/>
            <w:tcMar>
              <w:top w:type="dxa" w:w="60"/>
              <w:left w:type="dxa" w:w="100"/>
              <w:bottom w:type="dxa" w:w="60"/>
              <w:right w:type="dxa" w:w="100"/>
            </w:tcMar>
          </w:tcPr>
          <w:p>
            <w:pPr>
              <w:spacing w:after="0" w:line="240"/>
            </w:pPr>
            <w:r>
              <w:rPr>
                <w:b w:val="false"/>
                <w:bCs w:val="false"/>
                <w:sz w:val="18"/>
                <w:szCs w:val="18"/>
              </w:rPr>
              <w:t xml:space="preserve">Scattering-limit consistency</w:t>
            </w:r>
          </w:p>
        </w:tc>
        <w:tc>
          <w:tcPr>
            <w:tcW w:type="dxa" w:w="3900"/>
            <w:tcMar>
              <w:top w:type="dxa" w:w="60"/>
              <w:left w:type="dxa" w:w="100"/>
              <w:bottom w:type="dxa" w:w="60"/>
              <w:right w:type="dxa" w:w="100"/>
            </w:tcMar>
          </w:tcPr>
          <w:p>
            <w:pPr>
              <w:spacing w:after="0" w:line="240"/>
            </w:pPr>
            <w:r>
              <w:rPr>
                <w:b w:val="false"/>
                <w:bCs w:val="false"/>
                <w:sz w:val="18"/>
                <w:szCs w:val="18"/>
              </w:rPr>
              <w:t xml:space="preserve">With λ∥ ≪ the system scale, the fte3d ensemble reproduces the parker3d ensemble with κ∥ = vλ∥/3: mean and variance of the displacement agree</w:t>
            </w:r>
          </w:p>
        </w:tc>
        <w:tc>
          <w:tcPr>
            <w:tcW w:type="dxa" w:w="2280"/>
            <w:tcMar>
              <w:top w:type="dxa" w:w="60"/>
              <w:left w:type="dxa" w:w="100"/>
              <w:bottom w:type="dxa" w:w="60"/>
              <w:right w:type="dxa" w:w="100"/>
            </w:tcMar>
          </w:tcPr>
          <w:p>
            <w:pPr>
              <w:spacing w:after="0" w:line="240"/>
            </w:pPr>
            <w:r>
              <w:rPr>
                <w:b w:val="false"/>
                <w:bCs w:val="false"/>
                <w:sz w:val="18"/>
                <w:szCs w:val="18"/>
              </w:rPr>
              <w:t xml:space="preserve">5% on the variance; 3σ on the mean</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FTE3D08</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Zero-κ⊥ identity</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The release-1 path with the perpendicular hooks present but κ⊥ = 0 is bitwise identical to a parallel-only reference build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Bitwise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FTE3D09</w:t>
            </w:r>
          </w:p>
        </w:tc>
        <w:tc>
          <w:tcPr>
            <w:tcW w:type="dxa" w:w="2700"/>
            <w:tcMar>
              <w:top w:type="dxa" w:w="60"/>
              <w:left w:type="dxa" w:w="100"/>
              <w:bottom w:type="dxa" w:w="60"/>
              <w:right w:type="dxa" w:w="100"/>
            </w:tcMar>
          </w:tcPr>
          <w:p>
            <w:pPr>
              <w:spacing w:after="0" w:line="240"/>
            </w:pPr>
            <w:r>
              <w:rPr>
                <w:b w:val="false"/>
                <w:bCs w:val="false"/>
                <w:sz w:val="18"/>
                <w:szCs w:val="18"/>
              </w:rPr>
              <w:t xml:space="preserve">Reduced vs full equation mode</w:t>
            </w:r>
          </w:p>
        </w:tc>
        <w:tc>
          <w:tcPr>
            <w:tcW w:type="dxa" w:w="3900"/>
            <w:tcMar>
              <w:top w:type="dxa" w:w="60"/>
              <w:left w:type="dxa" w:w="100"/>
              <w:bottom w:type="dxa" w:w="60"/>
              <w:right w:type="dxa" w:w="100"/>
            </w:tcMar>
          </w:tcPr>
          <w:p>
            <w:pPr>
              <w:spacing w:after="0" w:line="240"/>
            </w:pPr>
            <w:r>
              <w:rPr>
                <w:b w:val="false"/>
                <w:bCs w:val="false"/>
                <w:sz w:val="18"/>
                <w:szCs w:val="18"/>
              </w:rPr>
              <w:t xml:space="preserve">The two modes differ by exactly the transverse-expansion terms in a known expanding flow; the reduced mode is correctly tagged in the manifest</w:t>
            </w:r>
          </w:p>
        </w:tc>
        <w:tc>
          <w:tcPr>
            <w:tcW w:type="dxa" w:w="2280"/>
            <w:tcMar>
              <w:top w:type="dxa" w:w="60"/>
              <w:left w:type="dxa" w:w="100"/>
              <w:bottom w:type="dxa" w:w="60"/>
              <w:right w:type="dxa" w:w="100"/>
            </w:tcMar>
          </w:tcPr>
          <w:p>
            <w:pPr>
              <w:spacing w:after="0" w:line="240"/>
            </w:pPr>
            <w:r>
              <w:rPr>
                <w:b w:val="false"/>
                <w:bCs w:val="false"/>
                <w:sz w:val="18"/>
                <w:szCs w:val="18"/>
              </w:rPr>
              <w:t xml:space="preserve">Analytic difference matched to 10⁻⁸</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FTE3D10</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Milstein vs Euler–Maruyama</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Both converge to the same distribution; Milstein shows the better weak order for state-dependent D_μμ</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Observed weak order reported; Milstein ≥ Euler</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FTE3D11</w:t>
            </w:r>
          </w:p>
        </w:tc>
        <w:tc>
          <w:tcPr>
            <w:tcW w:type="dxa" w:w="2700"/>
            <w:tcMar>
              <w:top w:type="dxa" w:w="60"/>
              <w:left w:type="dxa" w:w="100"/>
              <w:bottom w:type="dxa" w:w="60"/>
              <w:right w:type="dxa" w:w="100"/>
            </w:tcMar>
          </w:tcPr>
          <w:p>
            <w:pPr>
              <w:spacing w:after="0" w:line="240"/>
            </w:pPr>
            <w:r>
              <w:rPr>
                <w:b w:val="false"/>
                <w:bCs w:val="false"/>
                <w:sz w:val="18"/>
                <w:szCs w:val="18"/>
              </w:rPr>
              <w:t xml:space="preserve">Electron configuration</w:t>
            </w:r>
          </w:p>
        </w:tc>
        <w:tc>
          <w:tcPr>
            <w:tcW w:type="dxa" w:w="3900"/>
            <w:tcMar>
              <w:top w:type="dxa" w:w="60"/>
              <w:left w:type="dxa" w:w="100"/>
              <w:bottom w:type="dxa" w:w="60"/>
              <w:right w:type="dxa" w:w="100"/>
            </w:tcMar>
          </w:tcPr>
          <w:p>
            <w:pPr>
              <w:spacing w:after="0" w:line="240"/>
            </w:pPr>
            <w:r>
              <w:rPr>
                <w:b w:val="false"/>
                <w:bCs w:val="false"/>
                <w:sz w:val="18"/>
                <w:szCs w:val="18"/>
              </w:rPr>
              <w:t xml:space="preserve">A 300 keV electron in a Parker field with an extended spectrum: r_L/L_B stays below the guiding-centre threshold; the resonant k is inside the configured band</w:t>
            </w:r>
          </w:p>
        </w:tc>
        <w:tc>
          <w:tcPr>
            <w:tcW w:type="dxa" w:w="2280"/>
            <w:tcMar>
              <w:top w:type="dxa" w:w="60"/>
              <w:left w:type="dxa" w:w="100"/>
              <w:bottom w:type="dxa" w:w="60"/>
              <w:right w:type="dxa" w:w="100"/>
            </w:tcMar>
          </w:tcPr>
          <w:p>
            <w:pPr>
              <w:spacing w:after="0" w:line="240"/>
            </w:pPr>
            <w:r>
              <w:rPr>
                <w:b w:val="false"/>
                <w:bCs w:val="false"/>
                <w:sz w:val="18"/>
                <w:szCs w:val="18"/>
              </w:rPr>
              <w:t xml:space="preserve">Counter-based; threshold configurable</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FTE3D12</w:t>
            </w:r>
          </w:p>
        </w:tc>
        <w:tc>
          <w:tcPr>
            <w:tcW w:type="dxa" w:w="2700"/>
            <w:shd w:fill="EEF1F6" w:val="clear"/>
            <w:tcMar>
              <w:top w:type="dxa" w:w="60"/>
              <w:left w:type="dxa" w:w="100"/>
              <w:bottom w:type="dxa" w:w="60"/>
              <w:right w:type="dxa" w:w="100"/>
            </w:tcMar>
          </w:tcPr>
          <w:p>
            <w:pPr>
              <w:spacing w:after="0" w:line="240"/>
            </w:pPr>
            <w:r>
              <w:rPr>
                <w:b w:val="false"/>
                <w:bCs w:val="false"/>
                <w:sz w:val="18"/>
                <w:szCs w:val="18"/>
              </w:rPr>
              <w:t xml:space="preserve">Reproducibility</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As PRK3D10, plus: enabling the reserved perpendicular purpose tags does not perturb the parallel or pitch streams</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Bitwise</w:t>
            </w:r>
          </w:p>
        </w:tc>
      </w:tr>
    </w:tbl>
    <w:p>
      <w:pPr>
        <w:spacing w:after="140"/>
      </w:pPr>
    </w:p>
    <w:p>
      <w:pPr>
        <w:pStyle w:val="Heading3"/>
        <w:spacing w:after="100" w:before="220"/>
      </w:pPr>
      <w:r>
        <w:t xml:space="preserve">10.2.7 Groups SMP3D and REP3D</w:t>
      </w:r>
    </w:p>
    <w:p>
      <w:pPr>
        <w:pStyle w:val="ListParagraph"/>
        <w:numPr>
          <w:ilvl w:val="0"/>
          <w:numId w:val="3"/>
        </w:numPr>
        <w:spacing w:after="60" w:line="264"/>
      </w:pPr>
      <w:r>
        <w:t xml:space="preserve">SMP3D01–SMP3D05: binning correctness with half-open bins and separate underflow/overflow/invalid counters; effective sample size from Σw²; unit consistency of density, differential intensity, and crossing flux against an analytic mono-energetic beam; Legendre moment extraction against a known anisotropy; virtual-spacecraft averaging-volume convergence.</w:t>
      </w:r>
    </w:p>
    <w:p>
      <w:pPr>
        <w:pStyle w:val="ListParagraph"/>
        <w:numPr>
          <w:ilvl w:val="0"/>
          <w:numId w:val="3"/>
        </w:numPr>
        <w:spacing w:after="60" w:line="264"/>
      </w:pPr>
      <w:r>
        <w:t xml:space="preserve">REP3D01–REP3D04: keyed-stream independence across purposes; identical streams for identical keys regardless of call order; a swapped key tuple produces a different stream; the campaign seed is honoured and a zero seed is explicit rather than accidental.</w:t>
      </w:r>
    </w:p>
    <w:p>
      <w:pPr>
        <w:pStyle w:val="Heading3"/>
        <w:spacing w:after="100" w:before="220"/>
      </w:pPr>
      <w:r>
        <w:t xml:space="preserve">10.2.8 Stage-1 build targets</w:t>
      </w:r>
    </w:p>
    <w:p>
      <w:pPr>
        <w:pBdr>
          <w:left w:val="single" w:color="C6CBD4" w:sz="12" w:space="6"/>
        </w:pBdr>
        <w:shd w:fill="F2F4F7" w:val="clear"/>
        <w:spacing w:after="0" w:before="60" w:line="240"/>
        <w:ind w:left="180" w:right="180"/>
      </w:pPr>
      <w:r>
        <w:rPr>
          <w:rFonts w:ascii="Consolas" w:cs="Consolas" w:eastAsia="Consolas" w:hAnsi="Consolas"/>
          <w:sz w:val="18"/>
          <w:szCs w:val="18"/>
        </w:rPr>
        <w:t xml:space="preserve">make test-stage1                 # everything below, ~2 minutes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test-cli3d-unit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test-mesh3d-unit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test-background3d-unit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test-coefficients3d-unit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test-parker3d-unit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test-fte3d-unit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test-sampling3d-unit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test-reproducibility3d-unit</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test-stage1-sanitizer       # -fsanitize=address,undefined</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test-stage1-stochastic      # repeat the stochastic cases over 10 seeds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make print-mesh-budget CONFIG=... # level map and memory, no AMPS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 Selection within the standalone runner</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./test/stage1 --list-tests</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./test/stage1 --test PRK3D05 --test-json evidence/PRK3D05.json</w:t>
      </w:r>
    </w:p>
    <w:p>
      <w:pPr>
        <w:pBdr>
          <w:left w:val="single" w:color="C6CBD4" w:sz="12" w:space="6"/>
        </w:pBdr>
        <w:shd w:fill="F2F4F7" w:val="clear"/>
        <w:spacing w:after="0" w:before="0" w:line="240"/>
        <w:ind w:left="180" w:right="180"/>
      </w:pPr>
      <w:r>
        <w:rPr>
          <w:rFonts w:ascii="Consolas" w:cs="Consolas" w:eastAsia="Consolas" w:hAnsi="Consolas"/>
          <w:sz w:val="18"/>
          <w:szCs w:val="18"/>
        </w:rPr>
        <w:t xml:space="preserve">./test/stage1 --test-group MSH3D</w:t>
      </w:r>
    </w:p>
    <w:p>
      <w:pPr>
        <w:pBdr>
          <w:left w:val="single" w:color="C6CBD4" w:sz="12" w:space="6"/>
        </w:pBdr>
        <w:shd w:fill="F2F4F7" w:val="clear"/>
        <w:spacing w:after="140" w:before="0" w:line="240"/>
        <w:ind w:left="180" w:right="180"/>
      </w:pPr>
      <w:r>
        <w:rPr>
          <w:rFonts w:ascii="Consolas" w:cs="Consolas" w:eastAsia="Consolas" w:hAnsi="Consolas"/>
          <w:sz w:val="18"/>
          <w:szCs w:val="18"/>
        </w:rPr>
        <w:t xml:space="preserve">./test/stage1 --all-tests --test-junit evidence/stage1.xml</w:t>
      </w:r>
    </w:p>
    <w:p>
      <w:pPr>
        <w:pStyle w:val="Heading2"/>
        <w:spacing w:after="120" w:before="280"/>
      </w:pPr>
      <w:r>
        <w:t xml:space="preserve">10.3 Stage 2 — linked with AMPS</w:t>
      </w:r>
    </w:p>
    <w:p>
      <w:pPr>
        <w:spacing w:after="120" w:line="264"/>
        <w:jc w:val="left"/>
      </w:pPr>
      <w:r>
        <w:t xml:space="preserve">Stage 2 tests require the built application and exercise everything that the standalone layer cannot: real mesh generation, real cell-centred storage, real particle lists, MPI decomposition, restart, and output. They are registered in the same registry with initialisation level FieldModel and are selected on the linked executable exactly as srcSEP’s linked cases are.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300"/>
        <w:gridCol w:w="5300"/>
        <w:gridCol w:w="3480"/>
      </w:tblGrid>
      <w:tr>
        <w:trPr>
          <w:tblHeader/>
        </w:trPr>
        <w:tc>
          <w:tcPr>
            <w:tcW w:type="dxa" w:w="13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5300"/>
            <w:shd w:fill="1F3864" w:val="clear"/>
            <w:tcMar>
              <w:top w:type="dxa" w:w="60"/>
              <w:left w:type="dxa" w:w="100"/>
              <w:bottom w:type="dxa" w:w="60"/>
              <w:right w:type="dxa" w:w="100"/>
            </w:tcMar>
          </w:tcPr>
          <w:p>
            <w:pPr>
              <w:spacing w:after="0" w:line="240"/>
            </w:pPr>
            <w:r>
              <w:rPr>
                <w:b/>
                <w:bCs/>
                <w:color w:val="FFFFFF"/>
                <w:sz w:val="18"/>
                <w:szCs w:val="18"/>
              </w:rPr>
              <w:t xml:space="preserve">Assertion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Acceptance</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NAT3D01</w:t>
            </w:r>
          </w:p>
        </w:tc>
        <w:tc>
          <w:tcPr>
            <w:tcW w:type="dxa" w:w="5300"/>
            <w:tcMar>
              <w:top w:type="dxa" w:w="60"/>
              <w:left w:type="dxa" w:w="100"/>
              <w:bottom w:type="dxa" w:w="60"/>
              <w:right w:type="dxa" w:w="100"/>
            </w:tcMar>
          </w:tcPr>
          <w:p>
            <w:pPr>
              <w:spacing w:after="0" w:line="240"/>
            </w:pPr>
            <w:r>
              <w:rPr>
                <w:b w:val="false"/>
                <w:bCs w:val="false"/>
                <w:sz w:val="18"/>
                <w:szCs w:val="18"/>
              </w:rPr>
              <w:t xml:space="preserve">The mesh AMPS builds has the same leaf count and the same per-level histogram as the standalone emulator predicted for the same configuration</w:t>
            </w:r>
          </w:p>
        </w:tc>
        <w:tc>
          <w:tcPr>
            <w:tcW w:type="dxa" w:w="3480"/>
            <w:tcMar>
              <w:top w:type="dxa" w:w="60"/>
              <w:left w:type="dxa" w:w="100"/>
              <w:bottom w:type="dxa" w:w="60"/>
              <w:right w:type="dxa" w:w="100"/>
            </w:tcMar>
          </w:tcPr>
          <w:p>
            <w:pPr>
              <w:spacing w:after="0" w:line="240"/>
            </w:pPr>
            <w:r>
              <w:rPr>
                <w:b w:val="false"/>
                <w:bCs w:val="false"/>
                <w:sz w:val="18"/>
                <w:szCs w:val="18"/>
              </w:rPr>
              <w:t xml:space="preserve">Exact match on leaf count; max level jump = 1</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NAT3D02</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Background values stored at cell centres equal direct provider evaluations at those coordinates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Bitwise for the analytic provider; within round-off for SWCME</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NAT3D03</w:t>
            </w:r>
          </w:p>
        </w:tc>
        <w:tc>
          <w:tcPr>
            <w:tcW w:type="dxa" w:w="5300"/>
            <w:tcMar>
              <w:top w:type="dxa" w:w="60"/>
              <w:left w:type="dxa" w:w="100"/>
              <w:bottom w:type="dxa" w:w="60"/>
              <w:right w:type="dxa" w:w="100"/>
            </w:tcMar>
          </w:tcPr>
          <w:p>
            <w:pPr>
              <w:spacing w:after="0" w:line="240"/>
            </w:pPr>
            <w:r>
              <w:rPr>
                <w:b w:val="false"/>
                <w:bCs w:val="false"/>
                <w:sz w:val="18"/>
                <w:szCs w:val="18"/>
              </w:rPr>
              <w:t xml:space="preserve">Generated ∇|B| matches the analytic gradient on a Parker background, and the discontinuity of ∇·b̂ across refinement boundaries is below the declared threshold</w:t>
            </w:r>
          </w:p>
        </w:tc>
        <w:tc>
          <w:tcPr>
            <w:tcW w:type="dxa" w:w="3480"/>
            <w:tcMar>
              <w:top w:type="dxa" w:w="60"/>
              <w:left w:type="dxa" w:w="100"/>
              <w:bottom w:type="dxa" w:w="60"/>
              <w:right w:type="dxa" w:w="100"/>
            </w:tcMar>
          </w:tcPr>
          <w:p>
            <w:pPr>
              <w:spacing w:after="0" w:line="240"/>
            </w:pPr>
            <w:r>
              <w:rPr>
                <w:b w:val="false"/>
                <w:bCs w:val="false"/>
                <w:sz w:val="18"/>
                <w:szCs w:val="18"/>
              </w:rPr>
              <w:t xml:space="preserve">Relative error &lt; 1% in the interior; boundary jump &lt; 5%, reported as a metric</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NAT3D04</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A single particle traversing many blocks and several refinement jumps has a continuous trajectory, with no step rejected and no position discontinuity</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Max inter-step position jump ≤ the substep bound</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NAT3D05</w:t>
            </w:r>
          </w:p>
        </w:tc>
        <w:tc>
          <w:tcPr>
            <w:tcW w:type="dxa" w:w="5300"/>
            <w:tcMar>
              <w:top w:type="dxa" w:w="60"/>
              <w:left w:type="dxa" w:w="100"/>
              <w:bottom w:type="dxa" w:w="60"/>
              <w:right w:type="dxa" w:w="100"/>
            </w:tcMar>
          </w:tcPr>
          <w:p>
            <w:pPr>
              <w:spacing w:after="0" w:line="240"/>
            </w:pPr>
            <w:r>
              <w:rPr>
                <w:b w:val="false"/>
                <w:bCs w:val="false"/>
                <w:sz w:val="18"/>
                <w:szCs w:val="18"/>
              </w:rPr>
              <w:t xml:space="preserve">Particle number is conserved: injected = in-domain + absorbed-inner + escaped-outer + deleted-invalid, per species per iteration</w:t>
            </w:r>
          </w:p>
        </w:tc>
        <w:tc>
          <w:tcPr>
            <w:tcW w:type="dxa" w:w="3480"/>
            <w:tcMar>
              <w:top w:type="dxa" w:w="60"/>
              <w:left w:type="dxa" w:w="100"/>
              <w:bottom w:type="dxa" w:w="60"/>
              <w:right w:type="dxa" w:w="100"/>
            </w:tcMar>
          </w:tcPr>
          <w:p>
            <w:pPr>
              <w:spacing w:after="0" w:line="240"/>
            </w:pPr>
            <w:r>
              <w:rPr>
                <w:b w:val="false"/>
                <w:bCs w:val="false"/>
                <w:sz w:val="18"/>
                <w:szCs w:val="18"/>
              </w:rPr>
              <w:t xml:space="preserve">Exact integer identity</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NAT3D06</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Sampled moments are bit-identical on 1, 2, 4, 8, and 64 ranks and on 1/2/4/8 threads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Bitwise</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NAT3D07</w:t>
            </w:r>
          </w:p>
        </w:tc>
        <w:tc>
          <w:tcPr>
            <w:tcW w:type="dxa" w:w="5300"/>
            <w:tcMar>
              <w:top w:type="dxa" w:w="60"/>
              <w:left w:type="dxa" w:w="100"/>
              <w:bottom w:type="dxa" w:w="60"/>
              <w:right w:type="dxa" w:w="100"/>
            </w:tcMar>
          </w:tcPr>
          <w:p>
            <w:pPr>
              <w:spacing w:after="0" w:line="240"/>
            </w:pPr>
            <w:r>
              <w:rPr>
                <w:b w:val="false"/>
                <w:bCs w:val="false"/>
                <w:sz w:val="18"/>
                <w:szCs w:val="18"/>
              </w:rPr>
              <w:t xml:space="preserve">A restart from iteration N reproduces the uninterrupted run at iteration 2N</w:t>
            </w:r>
          </w:p>
        </w:tc>
        <w:tc>
          <w:tcPr>
            <w:tcW w:type="dxa" w:w="3480"/>
            <w:tcMar>
              <w:top w:type="dxa" w:w="60"/>
              <w:left w:type="dxa" w:w="100"/>
              <w:bottom w:type="dxa" w:w="60"/>
              <w:right w:type="dxa" w:w="100"/>
            </w:tcMar>
          </w:tcPr>
          <w:p>
            <w:pPr>
              <w:spacing w:after="0" w:line="240"/>
            </w:pPr>
            <w:r>
              <w:rPr>
                <w:b w:val="false"/>
                <w:bCs w:val="false"/>
                <w:sz w:val="18"/>
                <w:szCs w:val="18"/>
              </w:rPr>
              <w:t xml:space="preserve">Bitwise on particle state and sampled moments</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NAT3D08</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A configuration-fingerprint mismatch on restart is rejected, naming both fingerprints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NAT3D09</w:t>
            </w:r>
          </w:p>
        </w:tc>
        <w:tc>
          <w:tcPr>
            <w:tcW w:type="dxa" w:w="5300"/>
            <w:tcMar>
              <w:top w:type="dxa" w:w="60"/>
              <w:left w:type="dxa" w:w="100"/>
              <w:bottom w:type="dxa" w:w="60"/>
              <w:right w:type="dxa" w:w="100"/>
            </w:tcMar>
          </w:tcPr>
          <w:p>
            <w:pPr>
              <w:spacing w:after="0" w:line="240"/>
            </w:pPr>
            <w:r>
              <w:rPr>
                <w:b w:val="false"/>
                <w:bCs w:val="false"/>
                <w:sz w:val="18"/>
                <w:szCs w:val="18"/>
              </w:rPr>
              <w:t xml:space="preserve">Load balance: the per-rank particle count spread stays within a declared bound over a full run with a strongly non-uniform mesh</w:t>
            </w:r>
          </w:p>
        </w:tc>
        <w:tc>
          <w:tcPr>
            <w:tcW w:type="dxa" w:w="3480"/>
            <w:tcMar>
              <w:top w:type="dxa" w:w="60"/>
              <w:left w:type="dxa" w:w="100"/>
              <w:bottom w:type="dxa" w:w="60"/>
              <w:right w:type="dxa" w:w="100"/>
            </w:tcMar>
          </w:tcPr>
          <w:p>
            <w:pPr>
              <w:spacing w:after="0" w:line="240"/>
            </w:pPr>
            <w:r>
              <w:rPr>
                <w:b w:val="false"/>
                <w:bCs w:val="false"/>
                <w:sz w:val="18"/>
                <w:szCs w:val="18"/>
              </w:rPr>
              <w:t xml:space="preserve">Max/mean &lt; 2.0, reported as a metric</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NAT3D10</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Memory and wall-clock budgets for the reference configuration are met</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Declared budgets, reported as metrics</w:t>
            </w:r>
          </w:p>
        </w:tc>
      </w:tr>
      <w:tr>
        <w:tc>
          <w:tcPr>
            <w:tcW w:type="dxa" w:w="1300"/>
            <w:tcMar>
              <w:top w:type="dxa" w:w="60"/>
              <w:left w:type="dxa" w:w="100"/>
              <w:bottom w:type="dxa" w:w="60"/>
              <w:right w:type="dxa" w:w="100"/>
            </w:tcMar>
          </w:tcPr>
          <w:p>
            <w:pPr>
              <w:spacing w:after="0" w:line="240"/>
            </w:pPr>
            <w:r>
              <w:rPr>
                <w:b w:val="false"/>
                <w:bCs w:val="false"/>
                <w:sz w:val="18"/>
                <w:szCs w:val="18"/>
              </w:rPr>
              <w:t xml:space="preserve">NAT3D11</w:t>
            </w:r>
          </w:p>
        </w:tc>
        <w:tc>
          <w:tcPr>
            <w:tcW w:type="dxa" w:w="5300"/>
            <w:tcMar>
              <w:top w:type="dxa" w:w="60"/>
              <w:left w:type="dxa" w:w="100"/>
              <w:bottom w:type="dxa" w:w="60"/>
              <w:right w:type="dxa" w:w="100"/>
            </w:tcMar>
          </w:tcPr>
          <w:p>
            <w:pPr>
              <w:spacing w:after="0" w:line="240"/>
            </w:pPr>
            <w:r>
              <w:rPr>
                <w:b w:val="false"/>
                <w:bCs w:val="false"/>
                <w:sz w:val="18"/>
                <w:szCs w:val="18"/>
              </w:rPr>
              <w:t xml:space="preserve">The SWCME background updates on schedule, the Curr/Next interpolation is continuous in time, and a shock crossing is detected at the analytically expected time</w:t>
            </w:r>
          </w:p>
        </w:tc>
        <w:tc>
          <w:tcPr>
            <w:tcW w:type="dxa" w:w="3480"/>
            <w:tcMar>
              <w:top w:type="dxa" w:w="60"/>
              <w:left w:type="dxa" w:w="100"/>
              <w:bottom w:type="dxa" w:w="60"/>
              <w:right w:type="dxa" w:w="100"/>
            </w:tcMar>
          </w:tcPr>
          <w:p>
            <w:pPr>
              <w:spacing w:after="0" w:line="240"/>
            </w:pPr>
            <w:r>
              <w:rPr>
                <w:b w:val="false"/>
                <w:bCs w:val="false"/>
                <w:sz w:val="18"/>
                <w:szCs w:val="18"/>
              </w:rPr>
              <w:t xml:space="preserve">Crossing time within one substep</w:t>
            </w:r>
          </w:p>
        </w:tc>
      </w:tr>
      <w:tr>
        <w:tc>
          <w:tcPr>
            <w:tcW w:type="dxa" w:w="1300"/>
            <w:shd w:fill="EEF1F6" w:val="clear"/>
            <w:tcMar>
              <w:top w:type="dxa" w:w="60"/>
              <w:left w:type="dxa" w:w="100"/>
              <w:bottom w:type="dxa" w:w="60"/>
              <w:right w:type="dxa" w:w="100"/>
            </w:tcMar>
          </w:tcPr>
          <w:p>
            <w:pPr>
              <w:spacing w:after="0" w:line="240"/>
            </w:pPr>
            <w:r>
              <w:rPr>
                <w:b w:val="false"/>
                <w:bCs w:val="false"/>
                <w:sz w:val="18"/>
                <w:szCs w:val="18"/>
              </w:rPr>
              <w:t xml:space="preserve">NAT3D12</w:t>
            </w:r>
          </w:p>
        </w:tc>
        <w:tc>
          <w:tcPr>
            <w:tcW w:type="dxa" w:w="5300"/>
            <w:shd w:fill="EEF1F6" w:val="clear"/>
            <w:tcMar>
              <w:top w:type="dxa" w:w="60"/>
              <w:left w:type="dxa" w:w="100"/>
              <w:bottom w:type="dxa" w:w="60"/>
              <w:right w:type="dxa" w:w="100"/>
            </w:tcMar>
          </w:tcPr>
          <w:p>
            <w:pPr>
              <w:spacing w:after="0" w:line="240"/>
            </w:pPr>
            <w:r>
              <w:rPr>
                <w:b w:val="false"/>
                <w:bCs w:val="false"/>
                <w:sz w:val="18"/>
                <w:szCs w:val="18"/>
              </w:rPr>
              <w:t xml:space="preserve">All Tecplot and CSV products parse under an independently written grammar with the declared unit-bearing variable names, and a staging file never survives a successful or failed write</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Exact schema; no orphan staging files</w:t>
            </w:r>
          </w:p>
        </w:tc>
      </w:tr>
    </w:tbl>
    <w:p>
      <w:pPr>
        <w:spacing w:after="140"/>
      </w:pPr>
    </w:p>
    <w:p>
      <w:pPr>
        <w:pStyle w:val="Heading2"/>
        <w:spacing w:after="120" w:before="280"/>
      </w:pPr>
      <w:r>
        <w:t xml:space="preserve">10.4 Stage 3 — cross-model and observational validation</w:t>
      </w:r>
    </w:p>
    <w:p>
      <w:pPr>
        <w:spacing w:after="120" w:line="264"/>
        <w:jc w:val="left"/>
      </w:pPr>
      <w:r>
        <w:rPr>
          <w:b w:val="false"/>
          <w:bCs w:val="false"/>
          <w:i w:val="false"/>
          <w:iCs w:val="false"/>
        </w:rPr>
        <w:t xml:space="preserve">Stage 3 reuses srcSEP’s validation directory structure: a case registry, per-case runners, a campaign schema, reviewed inputs, independent references, declared metrics, figures, logs, and provenance. The cases below are new; the machinery is not.</w:t>
      </w:r>
    </w:p>
    <w:p>
      <w:pPr>
        <w:pStyle w:val="Heading3"/>
        <w:spacing w:after="100" w:before="220"/>
      </w:pPr>
      <w:r>
        <w:t xml:space="preserve">10.4.1 Cross-model against srcSEP 1-D (group XM3D)</w:t>
      </w:r>
    </w:p>
    <w:p>
      <w:pPr>
        <w:spacing w:after="120" w:line="264"/>
        <w:jc w:val="left"/>
      </w:pPr>
      <w:r>
        <w:rPr>
          <w:b w:val="false"/>
          <w:bCs w:val="false"/>
          <w:i w:val="false"/>
          <w:iCs w:val="false"/>
        </w:rPr>
        <w:t xml:space="preserve">This is the most valuable Stage-3 evidence because both models are under the same control. The comparison is made meaningful by three deliberate design choices already made above: both models link the same coefficient kernels, both use the same injection-spectrum kernel, and srcSEP3D can project its sampled products onto a traced field line.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2900"/>
        <w:gridCol w:w="3500"/>
        <w:gridCol w:w="24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2900"/>
            <w:shd w:fill="1F3864" w:val="clear"/>
            <w:tcMar>
              <w:top w:type="dxa" w:w="60"/>
              <w:left w:type="dxa" w:w="100"/>
              <w:bottom w:type="dxa" w:w="60"/>
              <w:right w:type="dxa" w:w="100"/>
            </w:tcMar>
          </w:tcPr>
          <w:p>
            <w:pPr>
              <w:spacing w:after="0" w:line="240"/>
            </w:pPr>
            <w:r>
              <w:rPr>
                <w:b/>
                <w:bCs/>
                <w:color w:val="FFFFFF"/>
                <w:sz w:val="18"/>
                <w:szCs w:val="18"/>
              </w:rPr>
              <w:t xml:space="preserve">Setup</w:t>
            </w:r>
          </w:p>
        </w:tc>
        <w:tc>
          <w:tcPr>
            <w:tcW w:type="dxa" w:w="3500"/>
            <w:shd w:fill="1F3864" w:val="clear"/>
            <w:tcMar>
              <w:top w:type="dxa" w:w="60"/>
              <w:left w:type="dxa" w:w="100"/>
              <w:bottom w:type="dxa" w:w="60"/>
              <w:right w:type="dxa" w:w="100"/>
            </w:tcMar>
          </w:tcPr>
          <w:p>
            <w:pPr>
              <w:spacing w:after="0" w:line="240"/>
            </w:pPr>
            <w:r>
              <w:rPr>
                <w:b/>
                <w:bCs/>
                <w:color w:val="FFFFFF"/>
                <w:sz w:val="18"/>
                <w:szCs w:val="18"/>
              </w:rPr>
              <w:t xml:space="preserve">Comparison</w:t>
            </w:r>
          </w:p>
        </w:tc>
        <w:tc>
          <w:tcPr>
            <w:tcW w:type="dxa" w:w="2480"/>
            <w:shd w:fill="1F3864" w:val="clear"/>
            <w:tcMar>
              <w:top w:type="dxa" w:w="60"/>
              <w:left w:type="dxa" w:w="100"/>
              <w:bottom w:type="dxa" w:w="60"/>
              <w:right w:type="dxa" w:w="100"/>
            </w:tcMar>
          </w:tcPr>
          <w:p>
            <w:pPr>
              <w:spacing w:after="0" w:line="240"/>
            </w:pPr>
            <w:r>
              <w:rPr>
                <w:b/>
                <w:bCs/>
                <w:color w:val="FFFFFF"/>
                <w:sz w:val="18"/>
                <w:szCs w:val="18"/>
              </w:rPr>
              <w:t xml:space="preserve">Acceptance role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XM3D01</w:t>
            </w:r>
          </w:p>
        </w:tc>
        <w:tc>
          <w:tcPr>
            <w:tcW w:type="dxa" w:w="2900"/>
            <w:tcMar>
              <w:top w:type="dxa" w:w="60"/>
              <w:left w:type="dxa" w:w="100"/>
              <w:bottom w:type="dxa" w:w="60"/>
              <w:right w:type="dxa" w:w="100"/>
            </w:tcMar>
          </w:tcPr>
          <w:p>
            <w:pPr>
              <w:spacing w:after="0" w:line="240"/>
            </w:pPr>
            <w:r>
              <w:rPr>
                <w:b w:val="false"/>
                <w:bCs w:val="false"/>
                <w:sz w:val="18"/>
                <w:szCs w:val="18"/>
              </w:rPr>
              <w:t xml:space="preserve">Analytic Parker background; a single field line; identical κ∥ model; identical point source at the inner boundary; parker3d vs srcSEP parker</w:t>
            </w:r>
          </w:p>
        </w:tc>
        <w:tc>
          <w:tcPr>
            <w:tcW w:type="dxa" w:w="3500"/>
            <w:tcMar>
              <w:top w:type="dxa" w:w="60"/>
              <w:left w:type="dxa" w:w="100"/>
              <w:bottom w:type="dxa" w:w="60"/>
              <w:right w:type="dxa" w:w="100"/>
            </w:tcMar>
          </w:tcPr>
          <w:p>
            <w:pPr>
              <w:spacing w:after="0" w:line="240"/>
            </w:pPr>
            <w:r>
              <w:rPr>
                <w:b w:val="false"/>
                <w:bCs w:val="false"/>
                <w:sz w:val="18"/>
                <w:szCs w:val="18"/>
              </w:rPr>
              <w:t xml:space="preserve">Intensity-time profiles at three radii, and the radial profile at three times, projected onto the same line</w:t>
            </w:r>
          </w:p>
        </w:tc>
        <w:tc>
          <w:tcPr>
            <w:tcW w:type="dxa" w:w="2480"/>
            <w:tcMar>
              <w:top w:type="dxa" w:w="60"/>
              <w:left w:type="dxa" w:w="100"/>
              <w:bottom w:type="dxa" w:w="60"/>
              <w:right w:type="dxa" w:w="100"/>
            </w:tcMar>
          </w:tcPr>
          <w:p>
            <w:pPr>
              <w:spacing w:after="0" w:line="240"/>
            </w:pPr>
            <w:r>
              <w:rPr>
                <w:b w:val="false"/>
                <w:bCs w:val="false"/>
                <w:sz w:val="18"/>
                <w:szCs w:val="18"/>
              </w:rPr>
              <w:t xml:space="preserve">Release gate. L1 difference &lt; 10% where the 1-D model is valid</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XM3D02</w:t>
            </w:r>
          </w:p>
        </w:tc>
        <w:tc>
          <w:tcPr>
            <w:tcW w:type="dxa" w:w="2900"/>
            <w:shd w:fill="EEF1F6" w:val="clear"/>
            <w:tcMar>
              <w:top w:type="dxa" w:w="60"/>
              <w:left w:type="dxa" w:w="100"/>
              <w:bottom w:type="dxa" w:w="60"/>
              <w:right w:type="dxa" w:w="100"/>
            </w:tcMar>
          </w:tcPr>
          <w:p>
            <w:pPr>
              <w:spacing w:after="0" w:line="240"/>
            </w:pPr>
            <w:r>
              <w:rPr>
                <w:b w:val="false"/>
                <w:bCs w:val="false"/>
                <w:sz w:val="18"/>
                <w:szCs w:val="18"/>
              </w:rPr>
              <w:t xml:space="preserve">As XM3D01 but focused transport: fte3d vs srcSEP fte-dmumu with identical D_μμ</w:t>
            </w:r>
          </w:p>
        </w:tc>
        <w:tc>
          <w:tcPr>
            <w:tcW w:type="dxa" w:w="3500"/>
            <w:shd w:fill="EEF1F6" w:val="clear"/>
            <w:tcMar>
              <w:top w:type="dxa" w:w="60"/>
              <w:left w:type="dxa" w:w="100"/>
              <w:bottom w:type="dxa" w:w="60"/>
              <w:right w:type="dxa" w:w="100"/>
            </w:tcMar>
          </w:tcPr>
          <w:p>
            <w:pPr>
              <w:spacing w:after="0" w:line="240"/>
            </w:pPr>
            <w:r>
              <w:rPr>
                <w:b w:val="false"/>
                <w:bCs w:val="false"/>
                <w:sz w:val="18"/>
                <w:szCs w:val="18"/>
              </w:rPr>
              <w:t xml:space="preserve">Onset time, time-to-maximum, peak intensity, and the first two anisotropy moments</w:t>
            </w:r>
          </w:p>
        </w:tc>
        <w:tc>
          <w:tcPr>
            <w:tcW w:type="dxa" w:w="2480"/>
            <w:shd w:fill="EEF1F6" w:val="clear"/>
            <w:tcMar>
              <w:top w:type="dxa" w:w="60"/>
              <w:left w:type="dxa" w:w="100"/>
              <w:bottom w:type="dxa" w:w="60"/>
              <w:right w:type="dxa" w:w="100"/>
            </w:tcMar>
          </w:tcPr>
          <w:p>
            <w:pPr>
              <w:spacing w:after="0" w:line="240"/>
            </w:pPr>
            <w:r>
              <w:rPr>
                <w:b w:val="false"/>
                <w:bCs w:val="false"/>
                <w:sz w:val="18"/>
                <w:szCs w:val="18"/>
              </w:rPr>
              <w:t xml:space="preserve">Release gate. Onset within one output interval; peak within 15%</w:t>
            </w:r>
          </w:p>
        </w:tc>
      </w:tr>
      <w:tr>
        <w:tc>
          <w:tcPr>
            <w:tcW w:type="dxa" w:w="1200"/>
            <w:tcMar>
              <w:top w:type="dxa" w:w="60"/>
              <w:left w:type="dxa" w:w="100"/>
              <w:bottom w:type="dxa" w:w="60"/>
              <w:right w:type="dxa" w:w="100"/>
            </w:tcMar>
          </w:tcPr>
          <w:p>
            <w:pPr>
              <w:spacing w:after="0" w:line="240"/>
            </w:pPr>
            <w:r>
              <w:rPr>
                <w:b w:val="false"/>
                <w:bCs w:val="false"/>
                <w:sz w:val="18"/>
                <w:szCs w:val="18"/>
              </w:rPr>
              <w:t xml:space="preserve">XM3D03</w:t>
            </w:r>
          </w:p>
        </w:tc>
        <w:tc>
          <w:tcPr>
            <w:tcW w:type="dxa" w:w="2900"/>
            <w:tcMar>
              <w:top w:type="dxa" w:w="60"/>
              <w:left w:type="dxa" w:w="100"/>
              <w:bottom w:type="dxa" w:w="60"/>
              <w:right w:type="dxa" w:w="100"/>
            </w:tcMar>
          </w:tcPr>
          <w:p>
            <w:pPr>
              <w:spacing w:after="0" w:line="240"/>
            </w:pPr>
            <w:r>
              <w:rPr>
                <w:b w:val="false"/>
                <w:bCs w:val="false"/>
                <w:sz w:val="18"/>
                <w:szCs w:val="18"/>
              </w:rPr>
              <w:t xml:space="preserve">Deliberate 3-D effect: source displaced in longitude from the observer’s footpoint</w:t>
            </w:r>
          </w:p>
        </w:tc>
        <w:tc>
          <w:tcPr>
            <w:tcW w:type="dxa" w:w="3500"/>
            <w:tcMar>
              <w:top w:type="dxa" w:w="60"/>
              <w:left w:type="dxa" w:w="100"/>
              <w:bottom w:type="dxa" w:w="60"/>
              <w:right w:type="dxa" w:w="100"/>
            </w:tcMar>
          </w:tcPr>
          <w:p>
            <w:pPr>
              <w:spacing w:after="0" w:line="240"/>
            </w:pPr>
            <w:r>
              <w:rPr>
                <w:b w:val="false"/>
                <w:bCs w:val="false"/>
                <w:sz w:val="18"/>
                <w:szCs w:val="18"/>
              </w:rPr>
              <w:t xml:space="preserve">The 1-D model cannot reproduce it; the 3-D model must show the expected zero response with κ⊥ = 0 and a finite response once κ⊥ is enabled</w:t>
            </w:r>
          </w:p>
        </w:tc>
        <w:tc>
          <w:tcPr>
            <w:tcW w:type="dxa" w:w="2480"/>
            <w:tcMar>
              <w:top w:type="dxa" w:w="60"/>
              <w:left w:type="dxa" w:w="100"/>
              <w:bottom w:type="dxa" w:w="60"/>
              <w:right w:type="dxa" w:w="100"/>
            </w:tcMar>
          </w:tcPr>
          <w:p>
            <w:pPr>
              <w:spacing w:after="0" w:line="240"/>
            </w:pPr>
            <w:r>
              <w:rPr>
                <w:b w:val="false"/>
                <w:bCs w:val="false"/>
                <w:sz w:val="18"/>
                <w:szCs w:val="18"/>
              </w:rPr>
              <w:t xml:space="preserve">Diagnostic. Documents the physics gap that motivates the model</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XM3D04</w:t>
            </w:r>
          </w:p>
        </w:tc>
        <w:tc>
          <w:tcPr>
            <w:tcW w:type="dxa" w:w="2900"/>
            <w:shd w:fill="EEF1F6" w:val="clear"/>
            <w:tcMar>
              <w:top w:type="dxa" w:w="60"/>
              <w:left w:type="dxa" w:w="100"/>
              <w:bottom w:type="dxa" w:w="60"/>
              <w:right w:type="dxa" w:w="100"/>
            </w:tcMar>
          </w:tcPr>
          <w:p>
            <w:pPr>
              <w:spacing w:after="0" w:line="240"/>
            </w:pPr>
            <w:r>
              <w:rPr>
                <w:b w:val="false"/>
                <w:bCs w:val="false"/>
                <w:sz w:val="18"/>
                <w:szCs w:val="18"/>
              </w:rPr>
              <w:t xml:space="preserve">SWCME shock source; 1-D radial reduction vs 3-D spherical limit</w:t>
            </w:r>
          </w:p>
        </w:tc>
        <w:tc>
          <w:tcPr>
            <w:tcW w:type="dxa" w:w="3500"/>
            <w:shd w:fill="EEF1F6" w:val="clear"/>
            <w:tcMar>
              <w:top w:type="dxa" w:w="60"/>
              <w:left w:type="dxa" w:w="100"/>
              <w:bottom w:type="dxa" w:w="60"/>
              <w:right w:type="dxa" w:w="100"/>
            </w:tcMar>
          </w:tcPr>
          <w:p>
            <w:pPr>
              <w:spacing w:after="0" w:line="240"/>
            </w:pPr>
            <w:r>
              <w:rPr>
                <w:b w:val="false"/>
                <w:bCs w:val="false"/>
                <w:sz w:val="18"/>
                <w:szCs w:val="18"/>
              </w:rPr>
              <w:t xml:space="preserve">Source records must be byte-identical (SWCME SEP03 already asserts this at the interface); transported spectra compared at the shock and at 1 AU</w:t>
            </w:r>
          </w:p>
        </w:tc>
        <w:tc>
          <w:tcPr>
            <w:tcW w:type="dxa" w:w="2480"/>
            <w:shd w:fill="EEF1F6" w:val="clear"/>
            <w:tcMar>
              <w:top w:type="dxa" w:w="60"/>
              <w:left w:type="dxa" w:w="100"/>
              <w:bottom w:type="dxa" w:w="60"/>
              <w:right w:type="dxa" w:w="100"/>
            </w:tcMar>
          </w:tcPr>
          <w:p>
            <w:pPr>
              <w:spacing w:after="0" w:line="240"/>
            </w:pPr>
            <w:r>
              <w:rPr>
                <w:b w:val="false"/>
                <w:bCs w:val="false"/>
                <w:sz w:val="18"/>
                <w:szCs w:val="18"/>
              </w:rPr>
              <w:t xml:space="preserve">Release gate. Source identity exact; spectra within 15%</w:t>
            </w:r>
          </w:p>
        </w:tc>
      </w:tr>
      <w:tr>
        <w:tc>
          <w:tcPr>
            <w:tcW w:type="dxa" w:w="1200"/>
            <w:tcMar>
              <w:top w:type="dxa" w:w="60"/>
              <w:left w:type="dxa" w:w="100"/>
              <w:bottom w:type="dxa" w:w="60"/>
              <w:right w:type="dxa" w:w="100"/>
            </w:tcMar>
          </w:tcPr>
          <w:p>
            <w:pPr>
              <w:spacing w:after="0" w:line="240"/>
            </w:pPr>
            <w:r>
              <w:rPr>
                <w:b w:val="false"/>
                <w:bCs w:val="false"/>
                <w:sz w:val="18"/>
                <w:szCs w:val="18"/>
              </w:rPr>
              <w:t xml:space="preserve">XM3D05</w:t>
            </w:r>
          </w:p>
        </w:tc>
        <w:tc>
          <w:tcPr>
            <w:tcW w:type="dxa" w:w="2900"/>
            <w:tcMar>
              <w:top w:type="dxa" w:w="60"/>
              <w:left w:type="dxa" w:w="100"/>
              <w:bottom w:type="dxa" w:w="60"/>
              <w:right w:type="dxa" w:w="100"/>
            </w:tcMar>
          </w:tcPr>
          <w:p>
            <w:pPr>
              <w:spacing w:after="0" w:line="240"/>
            </w:pPr>
            <w:r>
              <w:rPr>
                <w:b w:val="false"/>
                <w:bCs w:val="false"/>
                <w:sz w:val="18"/>
                <w:szCs w:val="18"/>
              </w:rPr>
              <w:t xml:space="preserve">Resolution convergence</w:t>
            </w:r>
          </w:p>
        </w:tc>
        <w:tc>
          <w:tcPr>
            <w:tcW w:type="dxa" w:w="3500"/>
            <w:tcMar>
              <w:top w:type="dxa" w:w="60"/>
              <w:left w:type="dxa" w:w="100"/>
              <w:bottom w:type="dxa" w:w="60"/>
              <w:right w:type="dxa" w:w="100"/>
            </w:tcMar>
          </w:tcPr>
          <w:p>
            <w:pPr>
              <w:spacing w:after="0" w:line="240"/>
            </w:pPr>
            <w:r>
              <w:rPr>
                <w:b w:val="false"/>
                <w:bCs w:val="false"/>
                <w:sz w:val="18"/>
                <w:szCs w:val="18"/>
              </w:rPr>
              <w:t xml:space="preserve">Repeat XM3D01 at ΔL_tube = 2, 3, 4 and Δ_bg at levels 4, 5, 6</w:t>
            </w:r>
          </w:p>
        </w:tc>
        <w:tc>
          <w:tcPr>
            <w:tcW w:type="dxa" w:w="2480"/>
            <w:tcMar>
              <w:top w:type="dxa" w:w="60"/>
              <w:left w:type="dxa" w:w="100"/>
              <w:bottom w:type="dxa" w:w="60"/>
              <w:right w:type="dxa" w:w="100"/>
            </w:tcMar>
          </w:tcPr>
          <w:p>
            <w:pPr>
              <w:spacing w:after="0" w:line="240"/>
            </w:pPr>
            <w:r>
              <w:rPr>
                <w:b w:val="false"/>
                <w:bCs w:val="false"/>
                <w:sz w:val="18"/>
                <w:szCs w:val="18"/>
              </w:rPr>
              <w:t xml:space="preserve">Release gate. Observed convergence order reported; the level-5/Λ-3 default within 5% of the finest</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XM3D06</w:t>
            </w:r>
          </w:p>
        </w:tc>
        <w:tc>
          <w:tcPr>
            <w:tcW w:type="dxa" w:w="2900"/>
            <w:shd w:fill="EEF1F6" w:val="clear"/>
            <w:tcMar>
              <w:top w:type="dxa" w:w="60"/>
              <w:left w:type="dxa" w:w="100"/>
              <w:bottom w:type="dxa" w:w="60"/>
              <w:right w:type="dxa" w:w="100"/>
            </w:tcMar>
          </w:tcPr>
          <w:p>
            <w:pPr>
              <w:spacing w:after="0" w:line="240"/>
            </w:pPr>
            <w:r>
              <w:rPr>
                <w:b w:val="false"/>
                <w:bCs w:val="false"/>
                <w:sz w:val="18"/>
                <w:szCs w:val="18"/>
              </w:rPr>
              <w:t xml:space="preserve">Independent PDE reference</w:t>
            </w:r>
          </w:p>
        </w:tc>
        <w:tc>
          <w:tcPr>
            <w:tcW w:type="dxa" w:w="3500"/>
            <w:shd w:fill="EEF1F6" w:val="clear"/>
            <w:tcMar>
              <w:top w:type="dxa" w:w="60"/>
              <w:left w:type="dxa" w:w="100"/>
              <w:bottom w:type="dxa" w:w="60"/>
              <w:right w:type="dxa" w:w="100"/>
            </w:tcMar>
          </w:tcPr>
          <w:p>
            <w:pPr>
              <w:spacing w:after="0" w:line="240"/>
            </w:pPr>
            <w:r>
              <w:rPr>
                <w:b w:val="false"/>
                <w:bCs w:val="false"/>
                <w:sz w:val="18"/>
                <w:szCs w:val="18"/>
              </w:rPr>
              <w:t xml:space="preserve">A separately coded conservative 3-D finite-volume focused-transport solver on a small manufactured problem</w:t>
            </w:r>
          </w:p>
        </w:tc>
        <w:tc>
          <w:tcPr>
            <w:tcW w:type="dxa" w:w="2480"/>
            <w:shd w:fill="EEF1F6" w:val="clear"/>
            <w:tcMar>
              <w:top w:type="dxa" w:w="60"/>
              <w:left w:type="dxa" w:w="100"/>
              <w:bottom w:type="dxa" w:w="60"/>
              <w:right w:type="dxa" w:w="100"/>
            </w:tcMar>
          </w:tcPr>
          <w:p>
            <w:pPr>
              <w:spacing w:after="0" w:line="240"/>
            </w:pPr>
            <w:r>
              <w:rPr>
                <w:b w:val="false"/>
                <w:bCs w:val="false"/>
                <w:sz w:val="18"/>
                <w:szCs w:val="18"/>
              </w:rPr>
              <w:t xml:space="preserve">Extended. L1 &lt; 5%</w:t>
            </w:r>
          </w:p>
        </w:tc>
      </w:tr>
    </w:tbl>
    <w:p>
      <w:pPr>
        <w:spacing w:after="140"/>
      </w:pPr>
    </w:p>
    <w:p>
      <w:pPr>
        <w:pStyle w:val="Heading3"/>
        <w:spacing w:after="100" w:before="220"/>
      </w:pPr>
      <w:r>
        <w:t xml:space="preserve">10.4.2 Observational cases (group OV3D)</w:t>
      </w:r>
    </w:p>
    <w:p>
      <w:pPr>
        <w:spacing w:after="120" w:line="264"/>
        <w:jc w:val="left"/>
      </w:pPr>
      <w:r>
        <w:rPr>
          <w:b w:val="false"/>
          <w:bCs w:val="false"/>
          <w:i w:val="false"/>
          <w:iCs w:val="false"/>
        </w:rPr>
        <w:t xml:space="preserve">These reuse srcSEP’s existing reviewed inputs, digitised spacecraft points, uncertainties, and publication attributions, so no new data-provenance work is needed. What is new is that srcSEP3D produces its result at the observer’s actual three-dimensional position rather than at a point on a prescribed line.</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200"/>
        <w:gridCol w:w="1900"/>
        <w:gridCol w:w="4200"/>
        <w:gridCol w:w="2780"/>
      </w:tblGrid>
      <w:tr>
        <w:trPr>
          <w:tblHeader/>
        </w:trPr>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ID</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Event</w:t>
            </w:r>
          </w:p>
        </w:tc>
        <w:tc>
          <w:tcPr>
            <w:tcW w:type="dxa" w:w="4200"/>
            <w:shd w:fill="1F3864" w:val="clear"/>
            <w:tcMar>
              <w:top w:type="dxa" w:w="60"/>
              <w:left w:type="dxa" w:w="100"/>
              <w:bottom w:type="dxa" w:w="60"/>
              <w:right w:type="dxa" w:w="100"/>
            </w:tcMar>
          </w:tcPr>
          <w:p>
            <w:pPr>
              <w:spacing w:after="0" w:line="240"/>
            </w:pPr>
            <w:r>
              <w:rPr>
                <w:b/>
                <w:bCs/>
                <w:color w:val="FFFFFF"/>
                <w:sz w:val="18"/>
                <w:szCs w:val="18"/>
              </w:rPr>
              <w:t xml:space="preserve">Data</w:t>
            </w:r>
          </w:p>
        </w:tc>
        <w:tc>
          <w:tcPr>
            <w:tcW w:type="dxa" w:w="2780"/>
            <w:shd w:fill="1F3864" w:val="clear"/>
            <w:tcMar>
              <w:top w:type="dxa" w:w="60"/>
              <w:left w:type="dxa" w:w="100"/>
              <w:bottom w:type="dxa" w:w="60"/>
              <w:right w:type="dxa" w:w="100"/>
            </w:tcMar>
          </w:tcPr>
          <w:p>
            <w:pPr>
              <w:spacing w:after="0" w:line="240"/>
            </w:pPr>
            <w:r>
              <w:rPr>
                <w:b/>
                <w:bCs/>
                <w:color w:val="FFFFFF"/>
                <w:sz w:val="18"/>
                <w:szCs w:val="18"/>
              </w:rPr>
              <w:t xml:space="preserve">Role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OV3D01</w:t>
            </w:r>
          </w:p>
        </w:tc>
        <w:tc>
          <w:tcPr>
            <w:tcW w:type="dxa" w:w="1900"/>
            <w:tcMar>
              <w:top w:type="dxa" w:w="60"/>
              <w:left w:type="dxa" w:w="100"/>
              <w:bottom w:type="dxa" w:w="60"/>
              <w:right w:type="dxa" w:w="100"/>
            </w:tcMar>
          </w:tcPr>
          <w:p>
            <w:pPr>
              <w:spacing w:after="0" w:line="240"/>
            </w:pPr>
            <w:r>
              <w:rPr>
                <w:b w:val="false"/>
                <w:bCs w:val="false"/>
                <w:sz w:val="18"/>
                <w:szCs w:val="18"/>
              </w:rPr>
              <w:t xml:space="preserve">2013 April 11</w:t>
            </w:r>
          </w:p>
        </w:tc>
        <w:tc>
          <w:tcPr>
            <w:tcW w:type="dxa" w:w="4200"/>
            <w:tcMar>
              <w:top w:type="dxa" w:w="60"/>
              <w:left w:type="dxa" w:w="100"/>
              <w:bottom w:type="dxa" w:w="60"/>
              <w:right w:type="dxa" w:w="100"/>
            </w:tcMar>
          </w:tcPr>
          <w:p>
            <w:pPr>
              <w:spacing w:after="0" w:line="240"/>
            </w:pPr>
            <w:r>
              <w:rPr>
                <w:b w:val="false"/>
                <w:bCs w:val="false"/>
                <w:sz w:val="18"/>
                <w:szCs w:val="18"/>
              </w:rPr>
              <w:t xml:space="preserve">ACE/EPAM, GOES-13/EPEAD, SOHO/ERNE spectra (srcSEP OV01 inputs)</w:t>
            </w:r>
          </w:p>
        </w:tc>
        <w:tc>
          <w:tcPr>
            <w:tcW w:type="dxa" w:w="2780"/>
            <w:tcMar>
              <w:top w:type="dxa" w:w="60"/>
              <w:left w:type="dxa" w:w="100"/>
              <w:bottom w:type="dxa" w:w="60"/>
              <w:right w:type="dxa" w:w="100"/>
            </w:tcMar>
          </w:tcPr>
          <w:p>
            <w:pPr>
              <w:spacing w:after="0" w:line="240"/>
            </w:pPr>
            <w:r>
              <w:rPr>
                <w:b w:val="false"/>
                <w:bCs w:val="false"/>
                <w:sz w:val="18"/>
                <w:szCs w:val="18"/>
              </w:rPr>
              <w:t xml:space="preserve">Release gate; the 3-D counterpart of OV01</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OV3D02</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2020 May 29</w:t>
            </w:r>
          </w:p>
        </w:tc>
        <w:tc>
          <w:tcPr>
            <w:tcW w:type="dxa" w:w="4200"/>
            <w:shd w:fill="EEF1F6" w:val="clear"/>
            <w:tcMar>
              <w:top w:type="dxa" w:w="60"/>
              <w:left w:type="dxa" w:w="100"/>
              <w:bottom w:type="dxa" w:w="60"/>
              <w:right w:type="dxa" w:w="100"/>
            </w:tcMar>
          </w:tcPr>
          <w:p>
            <w:pPr>
              <w:spacing w:after="0" w:line="240"/>
            </w:pPr>
            <w:r>
              <w:rPr>
                <w:b w:val="false"/>
                <w:bCs w:val="false"/>
                <w:sz w:val="18"/>
                <w:szCs w:val="18"/>
              </w:rPr>
              <w:t xml:space="preserve">PSP/EPI-Hi and STEREO-A/LET radial comparison (srcSEP OV02 inputs)</w:t>
            </w:r>
          </w:p>
        </w:tc>
        <w:tc>
          <w:tcPr>
            <w:tcW w:type="dxa" w:w="2780"/>
            <w:shd w:fill="EEF1F6" w:val="clear"/>
            <w:tcMar>
              <w:top w:type="dxa" w:w="60"/>
              <w:left w:type="dxa" w:w="100"/>
              <w:bottom w:type="dxa" w:w="60"/>
              <w:right w:type="dxa" w:w="100"/>
            </w:tcMar>
          </w:tcPr>
          <w:p>
            <w:pPr>
              <w:spacing w:after="0" w:line="240"/>
            </w:pPr>
            <w:r>
              <w:rPr>
                <w:b w:val="false"/>
                <w:bCs w:val="false"/>
                <w:sz w:val="18"/>
                <w:szCs w:val="18"/>
              </w:rPr>
              <w:t xml:space="preserve">Release gate; tests the radial and longitudinal structure simultaneously</w:t>
            </w:r>
          </w:p>
        </w:tc>
      </w:tr>
      <w:tr>
        <w:tc>
          <w:tcPr>
            <w:tcW w:type="dxa" w:w="1200"/>
            <w:tcMar>
              <w:top w:type="dxa" w:w="60"/>
              <w:left w:type="dxa" w:w="100"/>
              <w:bottom w:type="dxa" w:w="60"/>
              <w:right w:type="dxa" w:w="100"/>
            </w:tcMar>
          </w:tcPr>
          <w:p>
            <w:pPr>
              <w:spacing w:after="0" w:line="240"/>
            </w:pPr>
            <w:r>
              <w:rPr>
                <w:b w:val="false"/>
                <w:bCs w:val="false"/>
                <w:sz w:val="18"/>
                <w:szCs w:val="18"/>
              </w:rPr>
              <w:t xml:space="preserve">OV3D03</w:t>
            </w:r>
          </w:p>
        </w:tc>
        <w:tc>
          <w:tcPr>
            <w:tcW w:type="dxa" w:w="1900"/>
            <w:tcMar>
              <w:top w:type="dxa" w:w="60"/>
              <w:left w:type="dxa" w:w="100"/>
              <w:bottom w:type="dxa" w:w="60"/>
              <w:right w:type="dxa" w:w="100"/>
            </w:tcMar>
          </w:tcPr>
          <w:p>
            <w:pPr>
              <w:spacing w:after="0" w:line="240"/>
            </w:pPr>
            <w:r>
              <w:rPr>
                <w:b w:val="false"/>
                <w:bCs w:val="false"/>
                <w:sz w:val="18"/>
                <w:szCs w:val="18"/>
              </w:rPr>
              <w:t xml:space="preserve">2014 January 6</w:t>
            </w:r>
          </w:p>
        </w:tc>
        <w:tc>
          <w:tcPr>
            <w:tcW w:type="dxa" w:w="4200"/>
            <w:tcMar>
              <w:top w:type="dxa" w:w="60"/>
              <w:left w:type="dxa" w:w="100"/>
              <w:bottom w:type="dxa" w:w="60"/>
              <w:right w:type="dxa" w:w="100"/>
            </w:tcMar>
          </w:tcPr>
          <w:p>
            <w:pPr>
              <w:spacing w:after="0" w:line="240"/>
            </w:pPr>
            <w:r>
              <w:rPr>
                <w:b w:val="false"/>
                <w:bCs w:val="false"/>
                <w:sz w:val="18"/>
                <w:szCs w:val="18"/>
              </w:rPr>
              <w:t xml:space="preserve">PAMELA spectrum; behind-the-limb, connection-sensitive</w:t>
            </w:r>
          </w:p>
        </w:tc>
        <w:tc>
          <w:tcPr>
            <w:tcW w:type="dxa" w:w="2780"/>
            <w:tcMar>
              <w:top w:type="dxa" w:w="60"/>
              <w:left w:type="dxa" w:w="100"/>
              <w:bottom w:type="dxa" w:w="60"/>
              <w:right w:type="dxa" w:w="100"/>
            </w:tcMar>
          </w:tcPr>
          <w:p>
            <w:pPr>
              <w:spacing w:after="0" w:line="240"/>
            </w:pPr>
            <w:r>
              <w:rPr>
                <w:b w:val="false"/>
                <w:bCs w:val="false"/>
                <w:sz w:val="18"/>
                <w:szCs w:val="18"/>
              </w:rPr>
              <w:t xml:space="preserve">Diagnostic; expected to expose the κ⊥ = 0 limitation</w:t>
            </w:r>
          </w:p>
        </w:tc>
      </w:tr>
      <w:tr>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OV3D04</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Electron event (to be selected)</w:t>
            </w:r>
          </w:p>
        </w:tc>
        <w:tc>
          <w:tcPr>
            <w:tcW w:type="dxa" w:w="4200"/>
            <w:shd w:fill="EEF1F6" w:val="clear"/>
            <w:tcMar>
              <w:top w:type="dxa" w:w="60"/>
              <w:left w:type="dxa" w:w="100"/>
              <w:bottom w:type="dxa" w:w="60"/>
              <w:right w:type="dxa" w:w="100"/>
            </w:tcMar>
          </w:tcPr>
          <w:p>
            <w:pPr>
              <w:spacing w:after="0" w:line="240"/>
            </w:pPr>
            <w:r>
              <w:rPr>
                <w:b w:val="false"/>
                <w:bCs w:val="false"/>
                <w:sz w:val="18"/>
                <w:szCs w:val="18"/>
              </w:rPr>
              <w:t xml:space="preserve">A near-relativistic electron event with multi-spacecraft coverage</w:t>
            </w:r>
          </w:p>
        </w:tc>
        <w:tc>
          <w:tcPr>
            <w:tcW w:type="dxa" w:w="2780"/>
            <w:shd w:fill="EEF1F6" w:val="clear"/>
            <w:tcMar>
              <w:top w:type="dxa" w:w="60"/>
              <w:left w:type="dxa" w:w="100"/>
              <w:bottom w:type="dxa" w:w="60"/>
              <w:right w:type="dxa" w:w="100"/>
            </w:tcMar>
          </w:tcPr>
          <w:p>
            <w:pPr>
              <w:spacing w:after="0" w:line="240"/>
            </w:pPr>
            <w:r>
              <w:rPr>
                <w:b w:val="false"/>
                <w:bCs w:val="false"/>
                <w:sz w:val="18"/>
                <w:szCs w:val="18"/>
              </w:rPr>
              <w:t xml:space="preserve">Diagnostic; first end-to-end electron evidence</w:t>
            </w:r>
          </w:p>
        </w:tc>
      </w:tr>
    </w:tbl>
    <w:p>
      <w:pPr>
        <w:spacing w:after="140"/>
      </w:pPr>
    </w:p>
    <w:p>
      <w:pPr>
        <w:pBdr>
          <w:left w:val="single" w:color="DD6B20" w:sz="14" w:space="8"/>
        </w:pBdr>
        <w:shd w:fill="FFF7ED" w:val="clear"/>
        <w:spacing w:after="140" w:before="100" w:line="264"/>
        <w:ind w:left="200" w:right="200"/>
      </w:pPr>
      <w:r>
        <w:rPr>
          <w:b/>
          <w:bCs/>
          <w:color w:val="9C4221"/>
        </w:rPr>
        <w:t xml:space="preserve">Honest scope statement to carry in every Stage-3 report  </w:t>
      </w:r>
      <w:r>
        <w:t xml:space="preserve">With perpendicular diffusion and drifts disabled, srcSEP3D is a three-dimensional geometry model with one-dimensional cross-field physics. It will reproduce well-connected events and will systematically under-predict intensities at poorly connected observers. OV3D03 and OV3D04 are included precisely to quantify that gap and to define the acceptance bar for the future perpendicular-diffusion work package. They are diagnostic cases, not release gates, and the reports must say so.</w:t>
      </w:r>
    </w:p>
    <w:p>
      <w:pPr>
        <w:pStyle w:val="Heading2"/>
        <w:spacing w:after="120" w:before="280"/>
      </w:pPr>
      <w:r>
        <w:t xml:space="preserve">10.5 Continuous integration</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900"/>
        <w:gridCol w:w="6200"/>
        <w:gridCol w:w="1980"/>
      </w:tblGrid>
      <w:tr>
        <w:trPr>
          <w:tblHeader/>
        </w:trPr>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Trigger</w:t>
            </w:r>
          </w:p>
        </w:tc>
        <w:tc>
          <w:tcPr>
            <w:tcW w:type="dxa" w:w="6200"/>
            <w:shd w:fill="1F3864" w:val="clear"/>
            <w:tcMar>
              <w:top w:type="dxa" w:w="60"/>
              <w:left w:type="dxa" w:w="100"/>
              <w:bottom w:type="dxa" w:w="60"/>
              <w:right w:type="dxa" w:w="100"/>
            </w:tcMar>
          </w:tcPr>
          <w:p>
            <w:pPr>
              <w:spacing w:after="0" w:line="240"/>
            </w:pPr>
            <w:r>
              <w:rPr>
                <w:b/>
                <w:bCs/>
                <w:color w:val="FFFFFF"/>
                <w:sz w:val="18"/>
                <w:szCs w:val="18"/>
              </w:rPr>
              <w:t xml:space="preserve">Scope</w:t>
            </w:r>
          </w:p>
        </w:tc>
        <w:tc>
          <w:tcPr>
            <w:tcW w:type="dxa" w:w="1980"/>
            <w:shd w:fill="1F3864" w:val="clear"/>
            <w:tcMar>
              <w:top w:type="dxa" w:w="60"/>
              <w:left w:type="dxa" w:w="100"/>
              <w:bottom w:type="dxa" w:w="60"/>
              <w:right w:type="dxa" w:w="100"/>
            </w:tcMar>
          </w:tcPr>
          <w:p>
            <w:pPr>
              <w:spacing w:after="0" w:line="240"/>
            </w:pPr>
            <w:r>
              <w:rPr>
                <w:b/>
                <w:bCs/>
                <w:color w:val="FFFFFF"/>
                <w:sz w:val="18"/>
                <w:szCs w:val="18"/>
              </w:rPr>
              <w:t xml:space="preserve">Wall clock</w:t>
            </w:r>
          </w:p>
        </w:tc>
      </w:tr>
      <w:tr>
        <w:tc>
          <w:tcPr>
            <w:tcW w:type="dxa" w:w="1900"/>
            <w:tcMar>
              <w:top w:type="dxa" w:w="60"/>
              <w:left w:type="dxa" w:w="100"/>
              <w:bottom w:type="dxa" w:w="60"/>
              <w:right w:type="dxa" w:w="100"/>
            </w:tcMar>
          </w:tcPr>
          <w:p>
            <w:pPr>
              <w:spacing w:after="0" w:line="240"/>
            </w:pPr>
            <w:r>
              <w:rPr>
                <w:b w:val="false"/>
                <w:bCs w:val="false"/>
                <w:sz w:val="18"/>
                <w:szCs w:val="18"/>
              </w:rPr>
              <w:t xml:space="preserve">Every commit</w:t>
            </w:r>
          </w:p>
        </w:tc>
        <w:tc>
          <w:tcPr>
            <w:tcW w:type="dxa" w:w="6200"/>
            <w:tcMar>
              <w:top w:type="dxa" w:w="60"/>
              <w:left w:type="dxa" w:w="100"/>
              <w:bottom w:type="dxa" w:w="60"/>
              <w:right w:type="dxa" w:w="100"/>
            </w:tcMar>
          </w:tcPr>
          <w:p>
            <w:pPr>
              <w:spacing w:after="0" w:line="240"/>
            </w:pPr>
            <w:r>
              <w:rPr>
                <w:b w:val="false"/>
                <w:bCs w:val="false"/>
                <w:sz w:val="18"/>
                <w:szCs w:val="18"/>
              </w:rPr>
              <w:t xml:space="preserve">Stage-1 routine tests; layering guard (no pic.h in core/); strict-warning build of core/ and background/ in both -O0 and -O3 with -Werror</w:t>
            </w:r>
          </w:p>
        </w:tc>
        <w:tc>
          <w:tcPr>
            <w:tcW w:type="dxa" w:w="1980"/>
            <w:tcMar>
              <w:top w:type="dxa" w:w="60"/>
              <w:left w:type="dxa" w:w="100"/>
              <w:bottom w:type="dxa" w:w="60"/>
              <w:right w:type="dxa" w:w="100"/>
            </w:tcMar>
          </w:tcPr>
          <w:p>
            <w:pPr>
              <w:spacing w:after="0" w:line="240"/>
            </w:pPr>
            <w:r>
              <w:rPr>
                <w:b w:val="false"/>
                <w:bCs w:val="false"/>
                <w:sz w:val="18"/>
                <w:szCs w:val="18"/>
              </w:rPr>
              <w:t xml:space="preserve">&lt; 5 min</w:t>
            </w:r>
          </w:p>
        </w:tc>
      </w:tr>
      <w:tr>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Every pull request</w:t>
            </w:r>
          </w:p>
        </w:tc>
        <w:tc>
          <w:tcPr>
            <w:tcW w:type="dxa" w:w="6200"/>
            <w:shd w:fill="EEF1F6" w:val="clear"/>
            <w:tcMar>
              <w:top w:type="dxa" w:w="60"/>
              <w:left w:type="dxa" w:w="100"/>
              <w:bottom w:type="dxa" w:w="60"/>
              <w:right w:type="dxa" w:w="100"/>
            </w:tcMar>
          </w:tcPr>
          <w:p>
            <w:pPr>
              <w:spacing w:after="0" w:line="240"/>
            </w:pPr>
            <w:r>
              <w:rPr>
                <w:b w:val="false"/>
                <w:bCs w:val="false"/>
                <w:sz w:val="18"/>
                <w:szCs w:val="18"/>
              </w:rPr>
              <w:t xml:space="preserve">The above plus the Stage-1 sanitizer target and the SWCME SMOKE profile</w:t>
            </w:r>
          </w:p>
        </w:tc>
        <w:tc>
          <w:tcPr>
            <w:tcW w:type="dxa" w:w="1980"/>
            <w:shd w:fill="EEF1F6" w:val="clear"/>
            <w:tcMar>
              <w:top w:type="dxa" w:w="60"/>
              <w:left w:type="dxa" w:w="100"/>
              <w:bottom w:type="dxa" w:w="60"/>
              <w:right w:type="dxa" w:w="100"/>
            </w:tcMar>
          </w:tcPr>
          <w:p>
            <w:pPr>
              <w:spacing w:after="0" w:line="240"/>
            </w:pPr>
            <w:r>
              <w:rPr>
                <w:b w:val="false"/>
                <w:bCs w:val="false"/>
                <w:sz w:val="18"/>
                <w:szCs w:val="18"/>
              </w:rPr>
              <w:t xml:space="preserve">&lt; 20 min</w:t>
            </w:r>
          </w:p>
        </w:tc>
      </w:tr>
      <w:tr>
        <w:tc>
          <w:tcPr>
            <w:tcW w:type="dxa" w:w="1900"/>
            <w:tcMar>
              <w:top w:type="dxa" w:w="60"/>
              <w:left w:type="dxa" w:w="100"/>
              <w:bottom w:type="dxa" w:w="60"/>
              <w:right w:type="dxa" w:w="100"/>
            </w:tcMar>
          </w:tcPr>
          <w:p>
            <w:pPr>
              <w:spacing w:after="0" w:line="240"/>
            </w:pPr>
            <w:r>
              <w:rPr>
                <w:b w:val="false"/>
                <w:bCs w:val="false"/>
                <w:sz w:val="18"/>
                <w:szCs w:val="18"/>
              </w:rPr>
              <w:t xml:space="preserve">Nightly</w:t>
            </w:r>
          </w:p>
        </w:tc>
        <w:tc>
          <w:tcPr>
            <w:tcW w:type="dxa" w:w="6200"/>
            <w:tcMar>
              <w:top w:type="dxa" w:w="60"/>
              <w:left w:type="dxa" w:w="100"/>
              <w:bottom w:type="dxa" w:w="60"/>
              <w:right w:type="dxa" w:w="100"/>
            </w:tcMar>
          </w:tcPr>
          <w:p>
            <w:pPr>
              <w:spacing w:after="0" w:line="240"/>
            </w:pPr>
            <w:r>
              <w:rPr>
                <w:b w:val="false"/>
                <w:bCs w:val="false"/>
                <w:sz w:val="18"/>
                <w:szCs w:val="18"/>
              </w:rPr>
              <w:t xml:space="preserve">Stage-1 extended and stochastic-repeat; Stage-2 NAT3D01–NAT3D12 on 8 ranks; SWCME ROUTINE profile</w:t>
            </w:r>
          </w:p>
        </w:tc>
        <w:tc>
          <w:tcPr>
            <w:tcW w:type="dxa" w:w="1980"/>
            <w:tcMar>
              <w:top w:type="dxa" w:w="60"/>
              <w:left w:type="dxa" w:w="100"/>
              <w:bottom w:type="dxa" w:w="60"/>
              <w:right w:type="dxa" w:w="100"/>
            </w:tcMar>
          </w:tcPr>
          <w:p>
            <w:pPr>
              <w:spacing w:after="0" w:line="240"/>
            </w:pPr>
            <w:r>
              <w:rPr>
                <w:b w:val="false"/>
                <w:bCs w:val="false"/>
                <w:sz w:val="18"/>
                <w:szCs w:val="18"/>
              </w:rPr>
              <w:t xml:space="preserve">&lt; 3 h</w:t>
            </w:r>
          </w:p>
        </w:tc>
      </w:tr>
      <w:tr>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Weekly</w:t>
            </w:r>
          </w:p>
        </w:tc>
        <w:tc>
          <w:tcPr>
            <w:tcW w:type="dxa" w:w="6200"/>
            <w:shd w:fill="EEF1F6" w:val="clear"/>
            <w:tcMar>
              <w:top w:type="dxa" w:w="60"/>
              <w:left w:type="dxa" w:w="100"/>
              <w:bottom w:type="dxa" w:w="60"/>
              <w:right w:type="dxa" w:w="100"/>
            </w:tcMar>
          </w:tcPr>
          <w:p>
            <w:pPr>
              <w:spacing w:after="0" w:line="240"/>
            </w:pPr>
            <w:r>
              <w:rPr>
                <w:b w:val="false"/>
                <w:bCs w:val="false"/>
                <w:sz w:val="18"/>
                <w:szCs w:val="18"/>
              </w:rPr>
              <w:t xml:space="preserve">Stage-3 XM3D01–XM3D05; SWCME FULL profile; a 64-rank Stage-2 reproducibility run</w:t>
            </w:r>
          </w:p>
        </w:tc>
        <w:tc>
          <w:tcPr>
            <w:tcW w:type="dxa" w:w="1980"/>
            <w:shd w:fill="EEF1F6" w:val="clear"/>
            <w:tcMar>
              <w:top w:type="dxa" w:w="60"/>
              <w:left w:type="dxa" w:w="100"/>
              <w:bottom w:type="dxa" w:w="60"/>
              <w:right w:type="dxa" w:w="100"/>
            </w:tcMar>
          </w:tcPr>
          <w:p>
            <w:pPr>
              <w:spacing w:after="0" w:line="240"/>
            </w:pPr>
            <w:r>
              <w:rPr>
                <w:b w:val="false"/>
                <w:bCs w:val="false"/>
                <w:sz w:val="18"/>
                <w:szCs w:val="18"/>
              </w:rPr>
              <w:t xml:space="preserve">&lt; 24 h</w:t>
            </w:r>
          </w:p>
        </w:tc>
      </w:tr>
      <w:tr>
        <w:tc>
          <w:tcPr>
            <w:tcW w:type="dxa" w:w="1900"/>
            <w:tcMar>
              <w:top w:type="dxa" w:w="60"/>
              <w:left w:type="dxa" w:w="100"/>
              <w:bottom w:type="dxa" w:w="60"/>
              <w:right w:type="dxa" w:w="100"/>
            </w:tcMar>
          </w:tcPr>
          <w:p>
            <w:pPr>
              <w:spacing w:after="0" w:line="240"/>
            </w:pPr>
            <w:r>
              <w:rPr>
                <w:b w:val="false"/>
                <w:bCs w:val="false"/>
                <w:sz w:val="18"/>
                <w:szCs w:val="18"/>
              </w:rPr>
              <w:t xml:space="preserve">Release</w:t>
            </w:r>
          </w:p>
        </w:tc>
        <w:tc>
          <w:tcPr>
            <w:tcW w:type="dxa" w:w="6200"/>
            <w:tcMar>
              <w:top w:type="dxa" w:w="60"/>
              <w:left w:type="dxa" w:w="100"/>
              <w:bottom w:type="dxa" w:w="60"/>
              <w:right w:type="dxa" w:w="100"/>
            </w:tcMar>
          </w:tcPr>
          <w:p>
            <w:pPr>
              <w:spacing w:after="0" w:line="240"/>
            </w:pPr>
            <w:r>
              <w:rPr>
                <w:b w:val="false"/>
                <w:bCs w:val="false"/>
                <w:sz w:val="18"/>
                <w:szCs w:val="18"/>
              </w:rPr>
              <w:t xml:space="preserve">Everything, including XM3D06 and all OV3D cases, with the complete evidence manifest and artifact hashes</w:t>
            </w:r>
          </w:p>
        </w:tc>
        <w:tc>
          <w:tcPr>
            <w:tcW w:type="dxa" w:w="1980"/>
            <w:tcMar>
              <w:top w:type="dxa" w:w="60"/>
              <w:left w:type="dxa" w:w="100"/>
              <w:bottom w:type="dxa" w:w="60"/>
              <w:right w:type="dxa" w:w="100"/>
            </w:tcMar>
          </w:tcPr>
          <w:p>
            <w:pPr>
              <w:spacing w:after="0" w:line="240"/>
            </w:pPr>
            <w:r>
              <w:rPr>
                <w:b w:val="false"/>
                <w:bCs w:val="false"/>
                <w:sz w:val="18"/>
                <w:szCs w:val="18"/>
              </w:rPr>
              <w:t xml:space="preserve">—</w:t>
            </w:r>
          </w:p>
        </w:tc>
      </w:tr>
    </w:tbl>
    <w:p>
      <w:pPr>
        <w:spacing w:after="140"/>
      </w:pPr>
    </w:p>
    <w:p>
      <w:r>
        <w:br w:type="page"/>
      </w:r>
    </w:p>
    <w:p>
      <w:pPr>
        <w:pStyle w:val="Heading1"/>
        <w:spacing w:after="160" w:before="360"/>
      </w:pPr>
      <w:r>
        <w:t xml:space="preserve">11. Work Breakdown and Sequence</w:t>
      </w:r>
    </w:p>
    <w:p>
      <w:pPr>
        <w:spacing w:after="120" w:line="264"/>
        <w:jc w:val="left"/>
      </w:pPr>
      <w:r>
        <w:t xml:space="preserve">The work is organised so that every package ends with a runnable test, and so that the Stage-1 harness exists before the first physics kernel is written. Durations are indicative effort for one developer and are meant for sequencing, not for commitment.</w:t>
      </w:r>
    </w:p>
    <w:p>
      <w:pPr>
        <w:pStyle w:val="Heading2"/>
        <w:spacing w:after="120" w:before="280"/>
      </w:pPr>
      <w:r>
        <w:t xml:space="preserve">11.1 Phase 0 — Foundation</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WP01</w:t>
            </w:r>
          </w:p>
        </w:tc>
        <w:tc>
          <w:tcPr>
            <w:tcW w:type="dxa" w:w="4600"/>
            <w:tcMar>
              <w:top w:type="dxa" w:w="60"/>
              <w:left w:type="dxa" w:w="100"/>
              <w:bottom w:type="dxa" w:w="60"/>
              <w:right w:type="dxa" w:w="100"/>
            </w:tcMar>
          </w:tcPr>
          <w:p>
            <w:pPr>
              <w:spacing w:after="0" w:line="240"/>
            </w:pPr>
            <w:r>
              <w:rPr>
                <w:b w:val="false"/>
                <w:bCs w:val="false"/>
                <w:sz w:val="18"/>
                <w:szCs w:val="18"/>
              </w:rPr>
              <w:t xml:space="preserve">Re-layout srcSEP3D into core/ background/ amps/ test/; retire the axisymmetric prototype; write MIGRATION_MANIFEST.md; add the layering guard to the makefile</w:t>
            </w:r>
          </w:p>
        </w:tc>
        <w:tc>
          <w:tcPr>
            <w:tcW w:type="dxa" w:w="3400"/>
            <w:tcMar>
              <w:top w:type="dxa" w:w="60"/>
              <w:left w:type="dxa" w:w="100"/>
              <w:bottom w:type="dxa" w:w="60"/>
              <w:right w:type="dxa" w:w="100"/>
            </w:tcMar>
          </w:tcPr>
          <w:p>
            <w:pPr>
              <w:spacing w:after="0" w:line="240"/>
            </w:pPr>
            <w:r>
              <w:rPr>
                <w:b w:val="false"/>
                <w:bCs w:val="false"/>
                <w:sz w:val="18"/>
                <w:szCs w:val="18"/>
              </w:rPr>
              <w:t xml:space="preserve">The tree builds empty; the guard fails a deliberate pic.h include in core/</w:t>
            </w:r>
          </w:p>
        </w:tc>
        <w:tc>
          <w:tcPr>
            <w:tcW w:type="dxa" w:w="1280"/>
            <w:tcMar>
              <w:top w:type="dxa" w:w="60"/>
              <w:left w:type="dxa" w:w="100"/>
              <w:bottom w:type="dxa" w:w="60"/>
              <w:right w:type="dxa" w:w="100"/>
            </w:tcMar>
          </w:tcPr>
          <w:p>
            <w:pPr>
              <w:spacing w:after="0" w:line="240"/>
            </w:pPr>
            <w:r>
              <w:rPr>
                <w:b w:val="false"/>
                <w:bCs w:val="false"/>
                <w:sz w:val="18"/>
                <w:szCs w:val="18"/>
              </w:rPr>
              <w:t xml:space="preserve">3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WP02</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Compile srcSEP/util into sep_util.a and link it from both applications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srcSEP is unchanged and still passes its own make test</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2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WP03</w:t>
            </w:r>
          </w:p>
        </w:tc>
        <w:tc>
          <w:tcPr>
            <w:tcW w:type="dxa" w:w="4600"/>
            <w:tcMar>
              <w:top w:type="dxa" w:w="60"/>
              <w:left w:type="dxa" w:w="100"/>
              <w:bottom w:type="dxa" w:w="60"/>
              <w:right w:type="dxa" w:w="100"/>
            </w:tcMar>
          </w:tcPr>
          <w:p>
            <w:pPr>
              <w:spacing w:after="0" w:line="240"/>
            </w:pPr>
            <w:r>
              <w:rPr>
                <w:b w:val="false"/>
                <w:bCs w:val="false"/>
                <w:sz w:val="18"/>
                <w:szCs w:val="18"/>
              </w:rPr>
              <w:t xml:space="preserve">Move swcme to src/models/swcme; add its makefile; add forwarding headers in srcSEP/swcme; register in the top-level AMPS build</w:t>
            </w:r>
          </w:p>
        </w:tc>
        <w:tc>
          <w:tcPr>
            <w:tcW w:type="dxa" w:w="3400"/>
            <w:tcMar>
              <w:top w:type="dxa" w:w="60"/>
              <w:left w:type="dxa" w:w="100"/>
              <w:bottom w:type="dxa" w:w="60"/>
              <w:right w:type="dxa" w:w="100"/>
            </w:tcMar>
          </w:tcPr>
          <w:p>
            <w:pPr>
              <w:spacing w:after="0" w:line="240"/>
            </w:pPr>
            <w:r>
              <w:rPr>
                <w:b w:val="false"/>
                <w:bCs w:val="false"/>
                <w:sz w:val="18"/>
                <w:szCs w:val="18"/>
              </w:rPr>
              <w:t xml:space="preserve">SWCME’s own PST07 and SMOKE profile pass unchanged before and after the move; srcSEP builds and passes its tests against the shim</w:t>
            </w:r>
          </w:p>
        </w:tc>
        <w:tc>
          <w:tcPr>
            <w:tcW w:type="dxa" w:w="1280"/>
            <w:tcMar>
              <w:top w:type="dxa" w:w="60"/>
              <w:left w:type="dxa" w:w="100"/>
              <w:bottom w:type="dxa" w:w="60"/>
              <w:right w:type="dxa" w:w="100"/>
            </w:tcMar>
          </w:tcPr>
          <w:p>
            <w:pPr>
              <w:spacing w:after="0" w:line="240"/>
            </w:pPr>
            <w:r>
              <w:rPr>
                <w:b w:val="false"/>
                <w:bCs w:val="false"/>
                <w:sz w:val="18"/>
                <w:szCs w:val="18"/>
              </w:rPr>
              <w:t xml:space="preserve">3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WP04</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Stage-1 test harness: registry wiring, standalone runner, --list-tests/--test/--test-group/--all-tests, JSON and JUnit output, make targets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The runner lists zero tests and exits 0; a deliberately failing stub test exits non-zero</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3 d</w:t>
            </w:r>
          </w:p>
        </w:tc>
      </w:tr>
    </w:tbl>
    <w:p>
      <w:pPr>
        <w:spacing w:after="140"/>
      </w:pPr>
    </w:p>
    <w:p>
      <w:pPr>
        <w:pStyle w:val="Heading2"/>
        <w:spacing w:after="120" w:before="280"/>
      </w:pPr>
      <w:r>
        <w:t xml:space="preserve">11.2 Phase 1 — Domain and mesh</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WP05</w:t>
            </w:r>
          </w:p>
        </w:tc>
        <w:tc>
          <w:tcPr>
            <w:tcW w:type="dxa" w:w="4600"/>
            <w:tcMar>
              <w:top w:type="dxa" w:w="60"/>
              <w:left w:type="dxa" w:w="100"/>
              <w:bottom w:type="dxa" w:w="60"/>
              <w:right w:type="dxa" w:w="100"/>
            </w:tcMar>
          </w:tcPr>
          <w:p>
            <w:pPr>
              <w:spacing w:after="0" w:line="240"/>
            </w:pPr>
            <w:r>
              <w:rPr>
                <w:b w:val="false"/>
                <w:bCs w:val="false"/>
                <w:sz w:val="18"/>
                <w:szCs w:val="18"/>
              </w:rPr>
              <w:t xml:space="preserve">core/sep3d_mesh_resolution: the three-term law, the tube geometry, the shoulder with the 2:1 balance floor, the startup report</w:t>
            </w:r>
          </w:p>
        </w:tc>
        <w:tc>
          <w:tcPr>
            <w:tcW w:type="dxa" w:w="3400"/>
            <w:tcMar>
              <w:top w:type="dxa" w:w="60"/>
              <w:left w:type="dxa" w:w="100"/>
              <w:bottom w:type="dxa" w:w="60"/>
              <w:right w:type="dxa" w:w="100"/>
            </w:tcMar>
          </w:tcPr>
          <w:p>
            <w:pPr>
              <w:spacing w:after="0" w:line="240"/>
            </w:pPr>
            <w:r>
              <w:rPr>
                <w:b w:val="false"/>
                <w:bCs w:val="false"/>
                <w:sz w:val="18"/>
                <w:szCs w:val="18"/>
              </w:rPr>
              <w:t xml:space="preserve">MSH3D01–MSH3D06 and MSH3D08 pass</w:t>
            </w:r>
          </w:p>
        </w:tc>
        <w:tc>
          <w:tcPr>
            <w:tcW w:type="dxa" w:w="1280"/>
            <w:tcMar>
              <w:top w:type="dxa" w:w="60"/>
              <w:left w:type="dxa" w:w="100"/>
              <w:bottom w:type="dxa" w:w="60"/>
              <w:right w:type="dxa" w:w="100"/>
            </w:tcMar>
          </w:tcPr>
          <w:p>
            <w:pPr>
              <w:spacing w:after="0" w:line="240"/>
            </w:pPr>
            <w:r>
              <w:rPr>
                <w:b w:val="false"/>
                <w:bCs w:val="false"/>
                <w:sz w:val="18"/>
                <w:szCs w:val="18"/>
              </w:rPr>
              <w:t xml:space="preserve">5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WP06</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The standalone octree emulator and the --print-mesh-budget tool</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MSH3D03, MSH3D07, MSH3D09, MSH3D10 pass; the budget tool reproduces the tables in Section 6</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5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WP07</w:t>
            </w:r>
          </w:p>
        </w:tc>
        <w:tc>
          <w:tcPr>
            <w:tcW w:type="dxa" w:w="4600"/>
            <w:tcMar>
              <w:top w:type="dxa" w:w="60"/>
              <w:left w:type="dxa" w:w="100"/>
              <w:bottom w:type="dxa" w:w="60"/>
              <w:right w:type="dxa" w:w="100"/>
            </w:tcMar>
          </w:tcPr>
          <w:p>
            <w:pPr>
              <w:spacing w:after="0" w:line="240"/>
            </w:pPr>
            <w:r>
              <w:rPr>
                <w:b w:val="false"/>
                <w:bCs w:val="false"/>
                <w:sz w:val="18"/>
                <w:szCs w:val="18"/>
              </w:rPr>
              <w:t xml:space="preserve">amps/amps_mesh.cpp: domain presets, inner/outer boundaries, localResolution wrapper, mesh build/save/load, load-measure callback</w:t>
            </w:r>
          </w:p>
        </w:tc>
        <w:tc>
          <w:tcPr>
            <w:tcW w:type="dxa" w:w="3400"/>
            <w:tcMar>
              <w:top w:type="dxa" w:w="60"/>
              <w:left w:type="dxa" w:w="100"/>
              <w:bottom w:type="dxa" w:w="60"/>
              <w:right w:type="dxa" w:w="100"/>
            </w:tcMar>
          </w:tcPr>
          <w:p>
            <w:pPr>
              <w:spacing w:after="0" w:line="240"/>
            </w:pPr>
            <w:r>
              <w:rPr>
                <w:b w:val="false"/>
                <w:bCs w:val="false"/>
                <w:sz w:val="18"/>
                <w:szCs w:val="18"/>
              </w:rPr>
              <w:t xml:space="preserve">NAT3D01 passes on the linked build</w:t>
            </w:r>
          </w:p>
        </w:tc>
        <w:tc>
          <w:tcPr>
            <w:tcW w:type="dxa" w:w="1280"/>
            <w:tcMar>
              <w:top w:type="dxa" w:w="60"/>
              <w:left w:type="dxa" w:w="100"/>
              <w:bottom w:type="dxa" w:w="60"/>
              <w:right w:type="dxa" w:w="100"/>
            </w:tcMar>
          </w:tcPr>
          <w:p>
            <w:pPr>
              <w:spacing w:after="0" w:line="240"/>
            </w:pPr>
            <w:r>
              <w:rPr>
                <w:b w:val="false"/>
                <w:bCs w:val="false"/>
                <w:sz w:val="18"/>
                <w:szCs w:val="18"/>
              </w:rPr>
              <w:t xml:space="preserve">4 d</w:t>
            </w:r>
          </w:p>
        </w:tc>
      </w:tr>
    </w:tbl>
    <w:p>
      <w:pPr>
        <w:spacing w:after="140"/>
      </w:pPr>
    </w:p>
    <w:p>
      <w:pPr>
        <w:pStyle w:val="Heading2"/>
        <w:spacing w:after="120" w:before="280"/>
      </w:pPr>
      <w:r>
        <w:t xml:space="preserve">11.3 Phase 2 — Background field</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WP08</w:t>
            </w:r>
          </w:p>
        </w:tc>
        <w:tc>
          <w:tcPr>
            <w:tcW w:type="dxa" w:w="4600"/>
            <w:tcMar>
              <w:top w:type="dxa" w:w="60"/>
              <w:left w:type="dxa" w:w="100"/>
              <w:bottom w:type="dxa" w:w="60"/>
              <w:right w:type="dxa" w:w="100"/>
            </w:tcMar>
          </w:tcPr>
          <w:p>
            <w:pPr>
              <w:spacing w:after="0" w:line="240"/>
            </w:pPr>
            <w:r>
              <w:rPr>
                <w:b w:val="false"/>
                <w:bCs w:val="false"/>
                <w:sz w:val="18"/>
                <w:szCs w:val="18"/>
              </w:rPr>
              <w:t xml:space="preserve">The BackgroundProvider contract and the analytic Parker provider including gradients, focusing length, arc length, and the field-line map</w:t>
            </w:r>
          </w:p>
        </w:tc>
        <w:tc>
          <w:tcPr>
            <w:tcW w:type="dxa" w:w="3400"/>
            <w:tcMar>
              <w:top w:type="dxa" w:w="60"/>
              <w:left w:type="dxa" w:w="100"/>
              <w:bottom w:type="dxa" w:w="60"/>
              <w:right w:type="dxa" w:w="100"/>
            </w:tcMar>
          </w:tcPr>
          <w:p>
            <w:pPr>
              <w:spacing w:after="0" w:line="240"/>
            </w:pPr>
            <w:r>
              <w:rPr>
                <w:b w:val="false"/>
                <w:bCs w:val="false"/>
                <w:sz w:val="18"/>
                <w:szCs w:val="18"/>
              </w:rPr>
              <w:t xml:space="preserve">BG3D01–BG3D06 and BG3D10 pass</w:t>
            </w:r>
          </w:p>
        </w:tc>
        <w:tc>
          <w:tcPr>
            <w:tcW w:type="dxa" w:w="1280"/>
            <w:tcMar>
              <w:top w:type="dxa" w:w="60"/>
              <w:left w:type="dxa" w:w="100"/>
              <w:bottom w:type="dxa" w:w="60"/>
              <w:right w:type="dxa" w:w="100"/>
            </w:tcMar>
          </w:tcPr>
          <w:p>
            <w:pPr>
              <w:spacing w:after="0" w:line="240"/>
            </w:pPr>
            <w:r>
              <w:rPr>
                <w:b w:val="false"/>
                <w:bCs w:val="false"/>
                <w:sz w:val="18"/>
                <w:szCs w:val="18"/>
              </w:rPr>
              <w:t xml:space="preserve">6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WP09</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The SWCME provider shim and the SwcmeBackgroundService prepared-state owner</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BG3D07, BG3D08 pass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4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WP10</w:t>
            </w:r>
          </w:p>
        </w:tc>
        <w:tc>
          <w:tcPr>
            <w:tcW w:type="dxa" w:w="4600"/>
            <w:tcMar>
              <w:top w:type="dxa" w:w="60"/>
              <w:left w:type="dxa" w:w="100"/>
              <w:bottom w:type="dxa" w:w="60"/>
              <w:right w:type="dxa" w:w="100"/>
            </w:tcMar>
          </w:tcPr>
          <w:p>
            <w:pPr>
              <w:spacing w:after="0" w:line="240"/>
            </w:pPr>
            <w:r>
              <w:rPr>
                <w:b w:val="false"/>
                <w:bCs w:val="false"/>
                <w:sz w:val="18"/>
                <w:szCs w:val="18"/>
              </w:rPr>
              <w:t xml:space="preserve">amps/amps_background_store.cpp and amps_field_gradients.cpp: offset registration including the new PlasmaVelocityGradient and BackgroundValidity offsets, batch cell filling, derived-scalar precomputation, Curr/Next double buffering</w:t>
            </w:r>
          </w:p>
        </w:tc>
        <w:tc>
          <w:tcPr>
            <w:tcW w:type="dxa" w:w="3400"/>
            <w:tcMar>
              <w:top w:type="dxa" w:w="60"/>
              <w:left w:type="dxa" w:w="100"/>
              <w:bottom w:type="dxa" w:w="60"/>
              <w:right w:type="dxa" w:w="100"/>
            </w:tcMar>
          </w:tcPr>
          <w:p>
            <w:pPr>
              <w:spacing w:after="0" w:line="240"/>
            </w:pPr>
            <w:r>
              <w:rPr>
                <w:b w:val="false"/>
                <w:bCs w:val="false"/>
                <w:sz w:val="18"/>
                <w:szCs w:val="18"/>
              </w:rPr>
              <w:t xml:space="preserve">BG3D11, BG3D12, NAT3D02, NAT3D03, NAT3D11 pass</w:t>
            </w:r>
          </w:p>
        </w:tc>
        <w:tc>
          <w:tcPr>
            <w:tcW w:type="dxa" w:w="1280"/>
            <w:tcMar>
              <w:top w:type="dxa" w:w="60"/>
              <w:left w:type="dxa" w:w="100"/>
              <w:bottom w:type="dxa" w:w="60"/>
              <w:right w:type="dxa" w:w="100"/>
            </w:tcMar>
          </w:tcPr>
          <w:p>
            <w:pPr>
              <w:spacing w:after="0" w:line="240"/>
            </w:pPr>
            <w:r>
              <w:rPr>
                <w:b w:val="false"/>
                <w:bCs w:val="false"/>
                <w:sz w:val="18"/>
                <w:szCs w:val="18"/>
              </w:rPr>
              <w:t xml:space="preserve">7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WP11</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BACKGROUND_FIELD.md: the external-script specification, the stub script, and the BGX tests registered as SKIP</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BGX01–BGX07 compile and report SKIP with the documented reason</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3 d</w:t>
            </w:r>
          </w:p>
        </w:tc>
      </w:tr>
    </w:tbl>
    <w:p>
      <w:pPr>
        <w:spacing w:after="140"/>
      </w:pPr>
    </w:p>
    <w:p>
      <w:pPr>
        <w:pStyle w:val="Heading2"/>
        <w:spacing w:after="120" w:before="280"/>
      </w:pPr>
      <w:r>
        <w:t xml:space="preserve">11.4 Phase 3 — Coefficients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WP12</w:t>
            </w:r>
          </w:p>
        </w:tc>
        <w:tc>
          <w:tcPr>
            <w:tcW w:type="dxa" w:w="4600"/>
            <w:tcMar>
              <w:top w:type="dxa" w:w="60"/>
              <w:left w:type="dxa" w:w="100"/>
              <w:bottom w:type="dxa" w:w="60"/>
              <w:right w:type="dxa" w:w="100"/>
            </w:tcMar>
          </w:tcPr>
          <w:p>
            <w:pPr>
              <w:spacing w:after="0" w:line="240"/>
            </w:pPr>
            <w:r>
              <w:rPr>
                <w:b w:val="false"/>
                <w:bCs w:val="false"/>
                <w:sz w:val="18"/>
                <w:szCs w:val="18"/>
              </w:rPr>
              <w:t xml:space="preserve">The 3-D provider interfaces, the registry extension with reserved perpendicular and drift slots, the fingerprint, and the CLI wiring</w:t>
            </w:r>
          </w:p>
        </w:tc>
        <w:tc>
          <w:tcPr>
            <w:tcW w:type="dxa" w:w="3400"/>
            <w:tcMar>
              <w:top w:type="dxa" w:w="60"/>
              <w:left w:type="dxa" w:w="100"/>
              <w:bottom w:type="dxa" w:w="60"/>
              <w:right w:type="dxa" w:w="100"/>
            </w:tcMar>
          </w:tcPr>
          <w:p>
            <w:pPr>
              <w:spacing w:after="0" w:line="240"/>
            </w:pPr>
            <w:r>
              <w:rPr>
                <w:b w:val="false"/>
                <w:bCs w:val="false"/>
                <w:sz w:val="18"/>
                <w:szCs w:val="18"/>
              </w:rPr>
              <w:t xml:space="preserve">CLI3D01–CLI3D05 and COEF3D01, COEF3D02, COEF3D06–COEF3D08 pass</w:t>
            </w:r>
          </w:p>
        </w:tc>
        <w:tc>
          <w:tcPr>
            <w:tcW w:type="dxa" w:w="1280"/>
            <w:tcMar>
              <w:top w:type="dxa" w:w="60"/>
              <w:left w:type="dxa" w:w="100"/>
              <w:bottom w:type="dxa" w:w="60"/>
              <w:right w:type="dxa" w:w="100"/>
            </w:tcMar>
          </w:tcPr>
          <w:p>
            <w:pPr>
              <w:spacing w:after="0" w:line="240"/>
            </w:pPr>
            <w:r>
              <w:rPr>
                <w:b w:val="false"/>
                <w:bCs w:val="false"/>
                <w:sz w:val="18"/>
                <w:szCs w:val="18"/>
              </w:rPr>
              <w:t xml:space="preserve">5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WP13</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AssembleDiffusionTensor, the deterministic triad, the ∇·κ closed form, and both κ∥-gradient modes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COEF3D03–COEF3D05 and PRK3D04 pass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5 d</w:t>
            </w:r>
          </w:p>
        </w:tc>
      </w:tr>
    </w:tbl>
    <w:p>
      <w:pPr>
        <w:spacing w:after="140"/>
      </w:pPr>
    </w:p>
    <w:p>
      <w:pPr>
        <w:pStyle w:val="Heading2"/>
        <w:spacing w:after="120" w:before="280"/>
      </w:pPr>
      <w:r>
        <w:t xml:space="preserve">11.5 Phase 4 — Movers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WP14</w:t>
            </w:r>
          </w:p>
        </w:tc>
        <w:tc>
          <w:tcPr>
            <w:tcW w:type="dxa" w:w="4600"/>
            <w:tcMar>
              <w:top w:type="dxa" w:w="60"/>
              <w:left w:type="dxa" w:w="100"/>
              <w:bottom w:type="dxa" w:w="60"/>
              <w:right w:type="dxa" w:w="100"/>
            </w:tcMar>
          </w:tcPr>
          <w:p>
            <w:pPr>
              <w:spacing w:after="0" w:line="240"/>
            </w:pPr>
            <w:r>
              <w:rPr>
                <w:b w:val="false"/>
                <w:bCs w:val="false"/>
                <w:sz w:val="18"/>
                <w:szCs w:val="18"/>
              </w:rPr>
              <w:t xml:space="preserve">core/sep3d_timestep: named composable limits and SelectSubstep for the 3-D limit set</w:t>
            </w:r>
          </w:p>
        </w:tc>
        <w:tc>
          <w:tcPr>
            <w:tcW w:type="dxa" w:w="3400"/>
            <w:tcMar>
              <w:top w:type="dxa" w:w="60"/>
              <w:left w:type="dxa" w:w="100"/>
              <w:bottom w:type="dxa" w:w="60"/>
              <w:right w:type="dxa" w:w="100"/>
            </w:tcMar>
          </w:tcPr>
          <w:p>
            <w:pPr>
              <w:spacing w:after="0" w:line="240"/>
            </w:pPr>
            <w:r>
              <w:rPr>
                <w:b w:val="false"/>
                <w:bCs w:val="false"/>
                <w:sz w:val="18"/>
                <w:szCs w:val="18"/>
              </w:rPr>
              <w:t xml:space="preserve">PRK3D09 passes</w:t>
            </w:r>
          </w:p>
        </w:tc>
        <w:tc>
          <w:tcPr>
            <w:tcW w:type="dxa" w:w="1280"/>
            <w:tcMar>
              <w:top w:type="dxa" w:w="60"/>
              <w:left w:type="dxa" w:w="100"/>
              <w:bottom w:type="dxa" w:w="60"/>
              <w:right w:type="dxa" w:w="100"/>
            </w:tcMar>
          </w:tcPr>
          <w:p>
            <w:pPr>
              <w:spacing w:after="0" w:line="240"/>
            </w:pPr>
            <w:r>
              <w:rPr>
                <w:b w:val="false"/>
                <w:bCs w:val="false"/>
                <w:sz w:val="18"/>
                <w:szCs w:val="18"/>
              </w:rPr>
              <w:t xml:space="preserve">3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WP15</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core/sep3d_parker_core: the 3-D Itô step with the full three-component noise and exact cooling</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PRK3D01–PRK3D03, PRK3D05–PRK3D08, PRK3D10 pass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8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WP16</w:t>
            </w:r>
          </w:p>
        </w:tc>
        <w:tc>
          <w:tcPr>
            <w:tcW w:type="dxa" w:w="4600"/>
            <w:tcMar>
              <w:top w:type="dxa" w:w="60"/>
              <w:left w:type="dxa" w:w="100"/>
              <w:bottom w:type="dxa" w:w="60"/>
              <w:right w:type="dxa" w:w="100"/>
            </w:tcMar>
          </w:tcPr>
          <w:p>
            <w:pPr>
              <w:spacing w:after="0" w:line="240"/>
            </w:pPr>
            <w:r>
              <w:rPr>
                <w:b w:val="false"/>
                <w:bCs w:val="false"/>
                <w:sz w:val="18"/>
                <w:szCs w:val="18"/>
              </w:rPr>
              <w:t xml:space="preserve">core/sep3d_focused_core: the symmetric split, the reflecting Milstein μ operator, and both equation modes</w:t>
            </w:r>
          </w:p>
        </w:tc>
        <w:tc>
          <w:tcPr>
            <w:tcW w:type="dxa" w:w="3400"/>
            <w:tcMar>
              <w:top w:type="dxa" w:w="60"/>
              <w:left w:type="dxa" w:w="100"/>
              <w:bottom w:type="dxa" w:w="60"/>
              <w:right w:type="dxa" w:w="100"/>
            </w:tcMar>
          </w:tcPr>
          <w:p>
            <w:pPr>
              <w:spacing w:after="0" w:line="240"/>
            </w:pPr>
            <w:r>
              <w:rPr>
                <w:b w:val="false"/>
                <w:bCs w:val="false"/>
                <w:sz w:val="18"/>
                <w:szCs w:val="18"/>
              </w:rPr>
              <w:t xml:space="preserve">FTE3D01–FTE3D10, FTE3D12 pass</w:t>
            </w:r>
          </w:p>
        </w:tc>
        <w:tc>
          <w:tcPr>
            <w:tcW w:type="dxa" w:w="1280"/>
            <w:tcMar>
              <w:top w:type="dxa" w:w="60"/>
              <w:left w:type="dxa" w:w="100"/>
              <w:bottom w:type="dxa" w:w="60"/>
              <w:right w:type="dxa" w:w="100"/>
            </w:tcMar>
          </w:tcPr>
          <w:p>
            <w:pPr>
              <w:spacing w:after="0" w:line="240"/>
            </w:pPr>
            <w:r>
              <w:rPr>
                <w:b w:val="false"/>
                <w:bCs w:val="false"/>
                <w:sz w:val="18"/>
                <w:szCs w:val="18"/>
              </w:rPr>
              <w:t xml:space="preserve">10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WP17</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amps/ mover shells, the validating dispatch adapter, capability registry, and boundary handling</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NAT3D04, NAT3D05 pass; --list-movers matches the documented set</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6 d</w:t>
            </w:r>
          </w:p>
        </w:tc>
      </w:tr>
    </w:tbl>
    <w:p>
      <w:pPr>
        <w:spacing w:after="140"/>
      </w:pPr>
    </w:p>
    <w:p>
      <w:pPr>
        <w:pStyle w:val="Heading2"/>
        <w:spacing w:after="120" w:before="280"/>
      </w:pPr>
      <w:r>
        <w:t xml:space="preserve">11.6 Phase 5 — Sources, sampling, output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WP18</w:t>
            </w:r>
          </w:p>
        </w:tc>
        <w:tc>
          <w:tcPr>
            <w:tcW w:type="dxa" w:w="4600"/>
            <w:tcMar>
              <w:top w:type="dxa" w:w="60"/>
              <w:left w:type="dxa" w:w="100"/>
              <w:bottom w:type="dxa" w:w="60"/>
              <w:right w:type="dxa" w:w="100"/>
            </w:tcMar>
          </w:tcPr>
          <w:p>
            <w:pPr>
              <w:spacing w:after="0" w:line="240"/>
            </w:pPr>
            <w:r>
              <w:rPr>
                <w:b w:val="false"/>
                <w:bCs w:val="false"/>
                <w:sz w:val="18"/>
                <w:szCs w:val="18"/>
              </w:rPr>
              <w:t xml:space="preserve">Inner-boundary, volumetric, and file sources; the SWCME shock source with keyed area sampling; the shared injection-spectrum kernel</w:t>
            </w:r>
          </w:p>
        </w:tc>
        <w:tc>
          <w:tcPr>
            <w:tcW w:type="dxa" w:w="3400"/>
            <w:tcMar>
              <w:top w:type="dxa" w:w="60"/>
              <w:left w:type="dxa" w:w="100"/>
              <w:bottom w:type="dxa" w:w="60"/>
              <w:right w:type="dxa" w:w="100"/>
            </w:tcMar>
          </w:tcPr>
          <w:p>
            <w:pPr>
              <w:spacing w:after="0" w:line="240"/>
            </w:pPr>
            <w:r>
              <w:rPr>
                <w:b w:val="false"/>
                <w:bCs w:val="false"/>
                <w:sz w:val="18"/>
                <w:szCs w:val="18"/>
              </w:rPr>
              <w:t xml:space="preserve">Injected populations match srcSEP statistically for identical parameters</w:t>
            </w:r>
          </w:p>
        </w:tc>
        <w:tc>
          <w:tcPr>
            <w:tcW w:type="dxa" w:w="1280"/>
            <w:tcMar>
              <w:top w:type="dxa" w:w="60"/>
              <w:left w:type="dxa" w:w="100"/>
              <w:bottom w:type="dxa" w:w="60"/>
              <w:right w:type="dxa" w:w="100"/>
            </w:tcMar>
          </w:tcPr>
          <w:p>
            <w:pPr>
              <w:spacing w:after="0" w:line="240"/>
            </w:pPr>
            <w:r>
              <w:rPr>
                <w:b w:val="false"/>
                <w:bCs w:val="false"/>
                <w:sz w:val="18"/>
                <w:szCs w:val="18"/>
              </w:rPr>
              <w:t xml:space="preserve">6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WP19</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core/sep3d_sampling_core plus amps/amps_sampling.cpp: cell products, virtual spacecraft, field-line projection, generalised global energy distribution, diagnostic counters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SMP3D01–SMP3D05 pass; NAT3D06 passes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7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WP20</w:t>
            </w:r>
          </w:p>
        </w:tc>
        <w:tc>
          <w:tcPr>
            <w:tcW w:type="dxa" w:w="4600"/>
            <w:tcMar>
              <w:top w:type="dxa" w:w="60"/>
              <w:left w:type="dxa" w:w="100"/>
              <w:bottom w:type="dxa" w:w="60"/>
              <w:right w:type="dxa" w:w="100"/>
            </w:tcMar>
          </w:tcPr>
          <w:p>
            <w:pPr>
              <w:spacing w:after="0" w:line="240"/>
            </w:pPr>
            <w:r>
              <w:rPr>
                <w:b w:val="false"/>
                <w:bCs w:val="false"/>
                <w:sz w:val="18"/>
                <w:szCs w:val="18"/>
              </w:rPr>
              <w:t xml:space="preserve">Transactional output, the run manifest, and restart</w:t>
            </w:r>
          </w:p>
        </w:tc>
        <w:tc>
          <w:tcPr>
            <w:tcW w:type="dxa" w:w="3400"/>
            <w:tcMar>
              <w:top w:type="dxa" w:w="60"/>
              <w:left w:type="dxa" w:w="100"/>
              <w:bottom w:type="dxa" w:w="60"/>
              <w:right w:type="dxa" w:w="100"/>
            </w:tcMar>
          </w:tcPr>
          <w:p>
            <w:pPr>
              <w:spacing w:after="0" w:line="240"/>
            </w:pPr>
            <w:r>
              <w:rPr>
                <w:b w:val="false"/>
                <w:bCs w:val="false"/>
                <w:sz w:val="18"/>
                <w:szCs w:val="18"/>
              </w:rPr>
              <w:t xml:space="preserve">NAT3D07, NAT3D08, NAT3D12 pass</w:t>
            </w:r>
          </w:p>
        </w:tc>
        <w:tc>
          <w:tcPr>
            <w:tcW w:type="dxa" w:w="1280"/>
            <w:tcMar>
              <w:top w:type="dxa" w:w="60"/>
              <w:left w:type="dxa" w:w="100"/>
              <w:bottom w:type="dxa" w:w="60"/>
              <w:right w:type="dxa" w:w="100"/>
            </w:tcMar>
          </w:tcPr>
          <w:p>
            <w:pPr>
              <w:spacing w:after="0" w:line="240"/>
            </w:pPr>
            <w:r>
              <w:rPr>
                <w:b w:val="false"/>
                <w:bCs w:val="false"/>
                <w:sz w:val="18"/>
                <w:szCs w:val="18"/>
              </w:rPr>
              <w:t xml:space="preserve">5 d</w:t>
            </w:r>
          </w:p>
        </w:tc>
      </w:tr>
    </w:tbl>
    <w:p>
      <w:pPr>
        <w:spacing w:after="140"/>
      </w:pPr>
    </w:p>
    <w:p>
      <w:pPr>
        <w:pStyle w:val="Heading2"/>
        <w:spacing w:after="120" w:before="280"/>
      </w:pPr>
      <w:r>
        <w:t xml:space="preserve">11.7 Phase 6 — Linked integration and Phase 7 — Validation</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4600"/>
        <w:gridCol w:w="3400"/>
        <w:gridCol w:w="12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4600"/>
            <w:shd w:fill="1F3864" w:val="clear"/>
            <w:tcMar>
              <w:top w:type="dxa" w:w="60"/>
              <w:left w:type="dxa" w:w="100"/>
              <w:bottom w:type="dxa" w:w="60"/>
              <w:right w:type="dxa" w:w="100"/>
            </w:tcMar>
          </w:tcPr>
          <w:p>
            <w:pPr>
              <w:spacing w:after="0" w:line="240"/>
            </w:pPr>
            <w:r>
              <w:rPr>
                <w:b/>
                <w:bCs/>
                <w:color w:val="FFFFFF"/>
                <w:sz w:val="18"/>
                <w:szCs w:val="18"/>
              </w:rPr>
              <w:t xml:space="preserve">Deliverable</w:t>
            </w:r>
          </w:p>
        </w:tc>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Acceptance</w:t>
            </w:r>
          </w:p>
        </w:tc>
        <w:tc>
          <w:tcPr>
            <w:tcW w:type="dxa" w:w="1280"/>
            <w:shd w:fill="1F3864" w:val="clear"/>
            <w:tcMar>
              <w:top w:type="dxa" w:w="60"/>
              <w:left w:type="dxa" w:w="100"/>
              <w:bottom w:type="dxa" w:w="60"/>
              <w:right w:type="dxa" w:w="100"/>
            </w:tcMar>
          </w:tcPr>
          <w:p>
            <w:pPr>
              <w:spacing w:after="0" w:line="240"/>
            </w:pPr>
            <w:r>
              <w:rPr>
                <w:b/>
                <w:bCs/>
                <w:color w:val="FFFFFF"/>
                <w:sz w:val="18"/>
                <w:szCs w:val="18"/>
              </w:rPr>
              <w:t xml:space="preserve">Effort</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WP21</w:t>
            </w:r>
          </w:p>
        </w:tc>
        <w:tc>
          <w:tcPr>
            <w:tcW w:type="dxa" w:w="4600"/>
            <w:tcMar>
              <w:top w:type="dxa" w:w="60"/>
              <w:left w:type="dxa" w:w="100"/>
              <w:bottom w:type="dxa" w:w="60"/>
              <w:right w:type="dxa" w:w="100"/>
            </w:tcMar>
          </w:tcPr>
          <w:p>
            <w:pPr>
              <w:spacing w:after="0" w:line="240"/>
            </w:pPr>
            <w:r>
              <w:rPr>
                <w:b w:val="false"/>
                <w:bCs w:val="false"/>
                <w:sz w:val="18"/>
                <w:szCs w:val="18"/>
              </w:rPr>
              <w:t xml:space="preserve">Stage-2 case registration, MPI reproducibility work, load balance tuning</w:t>
            </w:r>
          </w:p>
        </w:tc>
        <w:tc>
          <w:tcPr>
            <w:tcW w:type="dxa" w:w="3400"/>
            <w:tcMar>
              <w:top w:type="dxa" w:w="60"/>
              <w:left w:type="dxa" w:w="100"/>
              <w:bottom w:type="dxa" w:w="60"/>
              <w:right w:type="dxa" w:w="100"/>
            </w:tcMar>
          </w:tcPr>
          <w:p>
            <w:pPr>
              <w:spacing w:after="0" w:line="240"/>
            </w:pPr>
            <w:r>
              <w:rPr>
                <w:b w:val="false"/>
                <w:bCs w:val="false"/>
                <w:sz w:val="18"/>
                <w:szCs w:val="18"/>
              </w:rPr>
              <w:t xml:space="preserve">NAT3D06, NAT3D09 pass on 64 ranks</w:t>
            </w:r>
          </w:p>
        </w:tc>
        <w:tc>
          <w:tcPr>
            <w:tcW w:type="dxa" w:w="1280"/>
            <w:tcMar>
              <w:top w:type="dxa" w:w="60"/>
              <w:left w:type="dxa" w:w="100"/>
              <w:bottom w:type="dxa" w:w="60"/>
              <w:right w:type="dxa" w:w="100"/>
            </w:tcMar>
          </w:tcPr>
          <w:p>
            <w:pPr>
              <w:spacing w:after="0" w:line="240"/>
            </w:pPr>
            <w:r>
              <w:rPr>
                <w:b w:val="false"/>
                <w:bCs w:val="false"/>
                <w:sz w:val="18"/>
                <w:szCs w:val="18"/>
              </w:rPr>
              <w:t xml:space="preserve">5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WP22</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Performance and memory profiling against the declared budgets; the spherical-outer-boundary optimisation</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NAT3D10 passes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4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WP23</w:t>
            </w:r>
          </w:p>
        </w:tc>
        <w:tc>
          <w:tcPr>
            <w:tcW w:type="dxa" w:w="4600"/>
            <w:tcMar>
              <w:top w:type="dxa" w:w="60"/>
              <w:left w:type="dxa" w:w="100"/>
              <w:bottom w:type="dxa" w:w="60"/>
              <w:right w:type="dxa" w:w="100"/>
            </w:tcMar>
          </w:tcPr>
          <w:p>
            <w:pPr>
              <w:spacing w:after="0" w:line="240"/>
            </w:pPr>
            <w:r>
              <w:rPr>
                <w:b w:val="false"/>
                <w:bCs w:val="false"/>
                <w:sz w:val="18"/>
                <w:szCs w:val="18"/>
              </w:rPr>
              <w:t xml:space="preserve">CI pipeline: the four triggers in Section 10.5, with evidence archiving</w:t>
            </w:r>
          </w:p>
        </w:tc>
        <w:tc>
          <w:tcPr>
            <w:tcW w:type="dxa" w:w="3400"/>
            <w:tcMar>
              <w:top w:type="dxa" w:w="60"/>
              <w:left w:type="dxa" w:w="100"/>
              <w:bottom w:type="dxa" w:w="60"/>
              <w:right w:type="dxa" w:w="100"/>
            </w:tcMar>
          </w:tcPr>
          <w:p>
            <w:pPr>
              <w:spacing w:after="0" w:line="240"/>
            </w:pPr>
            <w:r>
              <w:rPr>
                <w:b w:val="false"/>
                <w:bCs w:val="false"/>
                <w:sz w:val="18"/>
                <w:szCs w:val="18"/>
              </w:rPr>
              <w:t xml:space="preserve">A nightly run produces a complete manifest with artifact hashes</w:t>
            </w:r>
          </w:p>
        </w:tc>
        <w:tc>
          <w:tcPr>
            <w:tcW w:type="dxa" w:w="1280"/>
            <w:tcMar>
              <w:top w:type="dxa" w:w="60"/>
              <w:left w:type="dxa" w:w="100"/>
              <w:bottom w:type="dxa" w:w="60"/>
              <w:right w:type="dxa" w:w="100"/>
            </w:tcMar>
          </w:tcPr>
          <w:p>
            <w:pPr>
              <w:spacing w:after="0" w:line="240"/>
            </w:pPr>
            <w:r>
              <w:rPr>
                <w:b w:val="false"/>
                <w:bCs w:val="false"/>
                <w:sz w:val="18"/>
                <w:szCs w:val="18"/>
              </w:rPr>
              <w:t xml:space="preserve">4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WP24</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Stage-3 case registry, runners, reviewed inputs, figures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XM3D01, XM3D02, XM3D05 pass as release gates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8 d</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WP25</w:t>
            </w:r>
          </w:p>
        </w:tc>
        <w:tc>
          <w:tcPr>
            <w:tcW w:type="dxa" w:w="4600"/>
            <w:tcMar>
              <w:top w:type="dxa" w:w="60"/>
              <w:left w:type="dxa" w:w="100"/>
              <w:bottom w:type="dxa" w:w="60"/>
              <w:right w:type="dxa" w:w="100"/>
            </w:tcMar>
          </w:tcPr>
          <w:p>
            <w:pPr>
              <w:spacing w:after="0" w:line="240"/>
            </w:pPr>
            <w:r>
              <w:rPr>
                <w:b w:val="false"/>
                <w:bCs w:val="false"/>
                <w:sz w:val="18"/>
                <w:szCs w:val="18"/>
              </w:rPr>
              <w:t xml:space="preserve">SWCME shock cross-model case and the independent PDE reference</w:t>
            </w:r>
          </w:p>
        </w:tc>
        <w:tc>
          <w:tcPr>
            <w:tcW w:type="dxa" w:w="3400"/>
            <w:tcMar>
              <w:top w:type="dxa" w:w="60"/>
              <w:left w:type="dxa" w:w="100"/>
              <w:bottom w:type="dxa" w:w="60"/>
              <w:right w:type="dxa" w:w="100"/>
            </w:tcMar>
          </w:tcPr>
          <w:p>
            <w:pPr>
              <w:spacing w:after="0" w:line="240"/>
            </w:pPr>
            <w:r>
              <w:rPr>
                <w:b w:val="false"/>
                <w:bCs w:val="false"/>
                <w:sz w:val="18"/>
                <w:szCs w:val="18"/>
              </w:rPr>
              <w:t xml:space="preserve">XM3D04 passes; XM3D06 runs as an extended case</w:t>
            </w:r>
          </w:p>
        </w:tc>
        <w:tc>
          <w:tcPr>
            <w:tcW w:type="dxa" w:w="1280"/>
            <w:tcMar>
              <w:top w:type="dxa" w:w="60"/>
              <w:left w:type="dxa" w:w="100"/>
              <w:bottom w:type="dxa" w:w="60"/>
              <w:right w:type="dxa" w:w="100"/>
            </w:tcMar>
          </w:tcPr>
          <w:p>
            <w:pPr>
              <w:spacing w:after="0" w:line="240"/>
            </w:pPr>
            <w:r>
              <w:rPr>
                <w:b w:val="false"/>
                <w:bCs w:val="false"/>
                <w:sz w:val="18"/>
                <w:szCs w:val="18"/>
              </w:rPr>
              <w:t xml:space="preserve">7 d</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WP26</w:t>
            </w:r>
          </w:p>
        </w:tc>
        <w:tc>
          <w:tcPr>
            <w:tcW w:type="dxa" w:w="4600"/>
            <w:shd w:fill="EEF1F6" w:val="clear"/>
            <w:tcMar>
              <w:top w:type="dxa" w:w="60"/>
              <w:left w:type="dxa" w:w="100"/>
              <w:bottom w:type="dxa" w:w="60"/>
              <w:right w:type="dxa" w:w="100"/>
            </w:tcMar>
          </w:tcPr>
          <w:p>
            <w:pPr>
              <w:spacing w:after="0" w:line="240"/>
            </w:pPr>
            <w:r>
              <w:rPr>
                <w:b w:val="false"/>
                <w:bCs w:val="false"/>
                <w:sz w:val="18"/>
                <w:szCs w:val="18"/>
              </w:rPr>
              <w:t xml:space="preserve">Observational cases reusing srcSEP’s reviewed inputs</w:t>
            </w:r>
          </w:p>
        </w:tc>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OV3D01, OV3D02 pass as release gates; OV3D03, OV3D04 produce diagnostic reports</w:t>
            </w:r>
          </w:p>
        </w:tc>
        <w:tc>
          <w:tcPr>
            <w:tcW w:type="dxa" w:w="1280"/>
            <w:shd w:fill="EEF1F6" w:val="clear"/>
            <w:tcMar>
              <w:top w:type="dxa" w:w="60"/>
              <w:left w:type="dxa" w:w="100"/>
              <w:bottom w:type="dxa" w:w="60"/>
              <w:right w:type="dxa" w:w="100"/>
            </w:tcMar>
          </w:tcPr>
          <w:p>
            <w:pPr>
              <w:spacing w:after="0" w:line="240"/>
            </w:pPr>
            <w:r>
              <w:rPr>
                <w:b w:val="false"/>
                <w:bCs w:val="false"/>
                <w:sz w:val="18"/>
                <w:szCs w:val="18"/>
              </w:rPr>
              <w:t xml:space="preserve">8 d</w:t>
            </w:r>
          </w:p>
        </w:tc>
      </w:tr>
    </w:tbl>
    <w:p>
      <w:pPr>
        <w:spacing w:after="140"/>
      </w:pPr>
    </w:p>
    <w:p>
      <w:pPr>
        <w:pStyle w:val="Heading2"/>
        <w:spacing w:after="120" w:before="280"/>
      </w:pPr>
      <w:r>
        <w:t xml:space="preserve">11.8 Phase 8 — Reserved extensions</w:t>
      </w:r>
    </w:p>
    <w:p>
      <w:pPr>
        <w:spacing w:after="120" w:line="264"/>
        <w:jc w:val="left"/>
      </w:pPr>
      <w:r>
        <w:t xml:space="preserve">Each of these is a self-contained follow-on whose interfaces, tests, and rejection paths are already in place after Phase 4. None of them requires touching a mover shell, an adapter, or the mesh.</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800"/>
        <w:gridCol w:w="1800"/>
        <w:gridCol w:w="3900"/>
        <w:gridCol w:w="3580"/>
      </w:tblGrid>
      <w:tr>
        <w:trPr>
          <w:tblHeader/>
        </w:trPr>
        <w:tc>
          <w:tcPr>
            <w:tcW w:type="dxa" w:w="800"/>
            <w:shd w:fill="1F3864" w:val="clear"/>
            <w:tcMar>
              <w:top w:type="dxa" w:w="60"/>
              <w:left w:type="dxa" w:w="100"/>
              <w:bottom w:type="dxa" w:w="60"/>
              <w:right w:type="dxa" w:w="100"/>
            </w:tcMar>
          </w:tcPr>
          <w:p>
            <w:pPr>
              <w:spacing w:after="0" w:line="240"/>
            </w:pPr>
            <w:r>
              <w:rPr>
                <w:b/>
                <w:bCs/>
                <w:color w:val="FFFFFF"/>
                <w:sz w:val="18"/>
                <w:szCs w:val="18"/>
              </w:rPr>
              <w:t xml:space="preserve">WP</w:t>
            </w:r>
          </w:p>
        </w:tc>
        <w:tc>
          <w:tcPr>
            <w:tcW w:type="dxa" w:w="1800"/>
            <w:shd w:fill="1F3864" w:val="clear"/>
            <w:tcMar>
              <w:top w:type="dxa" w:w="60"/>
              <w:left w:type="dxa" w:w="100"/>
              <w:bottom w:type="dxa" w:w="60"/>
              <w:right w:type="dxa" w:w="100"/>
            </w:tcMar>
          </w:tcPr>
          <w:p>
            <w:pPr>
              <w:spacing w:after="0" w:line="240"/>
            </w:pPr>
            <w:r>
              <w:rPr>
                <w:b/>
                <w:bCs/>
                <w:color w:val="FFFFFF"/>
                <w:sz w:val="18"/>
                <w:szCs w:val="18"/>
              </w:rPr>
              <w:t xml:space="preserve">Extension</w:t>
            </w:r>
          </w:p>
        </w:tc>
        <w:tc>
          <w:tcPr>
            <w:tcW w:type="dxa" w:w="3900"/>
            <w:shd w:fill="1F3864" w:val="clear"/>
            <w:tcMar>
              <w:top w:type="dxa" w:w="60"/>
              <w:left w:type="dxa" w:w="100"/>
              <w:bottom w:type="dxa" w:w="60"/>
              <w:right w:type="dxa" w:w="100"/>
            </w:tcMar>
          </w:tcPr>
          <w:p>
            <w:pPr>
              <w:spacing w:after="0" w:line="240"/>
            </w:pPr>
            <w:r>
              <w:rPr>
                <w:b/>
                <w:bCs/>
                <w:color w:val="FFFFFF"/>
                <w:sz w:val="18"/>
                <w:szCs w:val="18"/>
              </w:rPr>
              <w:t xml:space="preserve">What is already in place</w:t>
            </w:r>
          </w:p>
        </w:tc>
        <w:tc>
          <w:tcPr>
            <w:tcW w:type="dxa" w:w="3580"/>
            <w:shd w:fill="1F3864" w:val="clear"/>
            <w:tcMar>
              <w:top w:type="dxa" w:w="60"/>
              <w:left w:type="dxa" w:w="100"/>
              <w:bottom w:type="dxa" w:w="60"/>
              <w:right w:type="dxa" w:w="100"/>
            </w:tcMar>
          </w:tcPr>
          <w:p>
            <w:pPr>
              <w:spacing w:after="0" w:line="240"/>
            </w:pPr>
            <w:r>
              <w:rPr>
                <w:b/>
                <w:bCs/>
                <w:color w:val="FFFFFF"/>
                <w:sz w:val="18"/>
                <w:szCs w:val="18"/>
              </w:rPr>
              <w:t xml:space="preserve">Added work</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WP27</w:t>
            </w:r>
          </w:p>
        </w:tc>
        <w:tc>
          <w:tcPr>
            <w:tcW w:type="dxa" w:w="1800"/>
            <w:tcMar>
              <w:top w:type="dxa" w:w="60"/>
              <w:left w:type="dxa" w:w="100"/>
              <w:bottom w:type="dxa" w:w="60"/>
              <w:right w:type="dxa" w:w="100"/>
            </w:tcMar>
          </w:tcPr>
          <w:p>
            <w:pPr>
              <w:spacing w:after="0" w:line="240"/>
            </w:pPr>
            <w:r>
              <w:rPr>
                <w:b w:val="false"/>
                <w:bCs w:val="false"/>
                <w:sz w:val="18"/>
                <w:szCs w:val="18"/>
              </w:rPr>
              <w:t xml:space="preserve">Perpendicular diffusion</w:t>
            </w:r>
          </w:p>
        </w:tc>
        <w:tc>
          <w:tcPr>
            <w:tcW w:type="dxa" w:w="3900"/>
            <w:tcMar>
              <w:top w:type="dxa" w:w="60"/>
              <w:left w:type="dxa" w:w="100"/>
              <w:bottom w:type="dxa" w:w="60"/>
              <w:right w:type="dxa" w:w="100"/>
            </w:tcMar>
          </w:tcPr>
          <w:p>
            <w:pPr>
              <w:spacing w:after="0" w:line="240"/>
            </w:pPr>
            <w:r>
              <w:rPr>
                <w:b w:val="false"/>
                <w:bCs w:val="false"/>
                <w:sz w:val="18"/>
                <w:szCs w:val="18"/>
              </w:rPr>
              <w:t xml:space="preserve">The provider interface, registry names, triad, three-component noise, the ∇⊥ term, and the zero-κ⊥ identity test</w:t>
            </w:r>
          </w:p>
        </w:tc>
        <w:tc>
          <w:tcPr>
            <w:tcW w:type="dxa" w:w="3580"/>
            <w:tcMar>
              <w:top w:type="dxa" w:w="60"/>
              <w:left w:type="dxa" w:w="100"/>
              <w:bottom w:type="dxa" w:w="60"/>
              <w:right w:type="dxa" w:w="100"/>
            </w:tcMar>
          </w:tcPr>
          <w:p>
            <w:pPr>
              <w:spacing w:after="0" w:line="240"/>
            </w:pPr>
            <w:r>
              <w:rPr>
                <w:b w:val="false"/>
                <w:bCs w:val="false"/>
                <w:sz w:val="18"/>
                <w:szCs w:val="18"/>
              </w:rPr>
              <w:t xml:space="preserve">Implement one or more κ⊥ models; extend ∇·κ; enable the reserved names; add convergence and physics tests; re-run XM3D03 and OV3D03 as gates</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WP28</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External-script background</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The full file-format specification, the CLI options, the stub script, and BGX01–BGX07</w:t>
            </w:r>
          </w:p>
        </w:tc>
        <w:tc>
          <w:tcPr>
            <w:tcW w:type="dxa" w:w="3580"/>
            <w:shd w:fill="EEF1F6" w:val="clear"/>
            <w:tcMar>
              <w:top w:type="dxa" w:w="60"/>
              <w:left w:type="dxa" w:w="100"/>
              <w:bottom w:type="dxa" w:w="60"/>
              <w:right w:type="dxa" w:w="100"/>
            </w:tcMar>
          </w:tcPr>
          <w:p>
            <w:pPr>
              <w:spacing w:after="0" w:line="240"/>
            </w:pPr>
            <w:r>
              <w:rPr>
                <w:b w:val="false"/>
                <w:bCs w:val="false"/>
                <w:sz w:val="18"/>
                <w:szCs w:val="18"/>
              </w:rPr>
              <w:t xml:space="preserve">Implement the writer, the launcher, the reader, the cache, and the MPI path; flip the BGX tests from SKIP to active</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WP29</w:t>
            </w:r>
          </w:p>
        </w:tc>
        <w:tc>
          <w:tcPr>
            <w:tcW w:type="dxa" w:w="1800"/>
            <w:tcMar>
              <w:top w:type="dxa" w:w="60"/>
              <w:left w:type="dxa" w:w="100"/>
              <w:bottom w:type="dxa" w:w="60"/>
              <w:right w:type="dxa" w:w="100"/>
            </w:tcMar>
          </w:tcPr>
          <w:p>
            <w:pPr>
              <w:spacing w:after="0" w:line="240"/>
            </w:pPr>
            <w:r>
              <w:rPr>
                <w:b w:val="false"/>
                <w:bCs w:val="false"/>
                <w:sz w:val="18"/>
                <w:szCs w:val="18"/>
              </w:rPr>
              <w:t xml:space="preserve">Drifts</w:t>
            </w:r>
          </w:p>
        </w:tc>
        <w:tc>
          <w:tcPr>
            <w:tcW w:type="dxa" w:w="3900"/>
            <w:tcMar>
              <w:top w:type="dxa" w:w="60"/>
              <w:left w:type="dxa" w:w="100"/>
              <w:bottom w:type="dxa" w:w="60"/>
              <w:right w:type="dxa" w:w="100"/>
            </w:tcMar>
          </w:tcPr>
          <w:p>
            <w:pPr>
              <w:spacing w:after="0" w:line="240"/>
            </w:pPr>
            <w:r>
              <w:rPr>
                <w:b w:val="false"/>
                <w:bCs w:val="false"/>
                <w:sz w:val="18"/>
                <w:szCs w:val="18"/>
              </w:rPr>
              <w:t xml:space="preserve">The v_d term in the equation and in the core signature, returning zero</w:t>
            </w:r>
          </w:p>
        </w:tc>
        <w:tc>
          <w:tcPr>
            <w:tcW w:type="dxa" w:w="3580"/>
            <w:tcMar>
              <w:top w:type="dxa" w:w="60"/>
              <w:left w:type="dxa" w:w="100"/>
              <w:bottom w:type="dxa" w:w="60"/>
              <w:right w:type="dxa" w:w="100"/>
            </w:tcMar>
          </w:tcPr>
          <w:p>
            <w:pPr>
              <w:spacing w:after="0" w:line="240"/>
            </w:pPr>
            <w:r>
              <w:rPr>
                <w:b w:val="false"/>
                <w:bCs w:val="false"/>
                <w:sz w:val="18"/>
                <w:szCs w:val="18"/>
              </w:rPr>
              <w:t xml:space="preserve">Implement gradient, curvature, and current-sheet drifts; add charge-sign and polarity-cycle tests</w:t>
            </w:r>
          </w:p>
        </w:tc>
      </w:tr>
      <w:tr>
        <w:tc>
          <w:tcPr>
            <w:tcW w:type="dxa" w:w="800"/>
            <w:shd w:fill="EEF1F6" w:val="clear"/>
            <w:tcMar>
              <w:top w:type="dxa" w:w="60"/>
              <w:left w:type="dxa" w:w="100"/>
              <w:bottom w:type="dxa" w:w="60"/>
              <w:right w:type="dxa" w:w="100"/>
            </w:tcMar>
          </w:tcPr>
          <w:p>
            <w:pPr>
              <w:spacing w:after="0" w:line="240"/>
            </w:pPr>
            <w:r>
              <w:rPr>
                <w:b w:val="false"/>
                <w:bCs w:val="false"/>
                <w:sz w:val="18"/>
                <w:szCs w:val="18"/>
              </w:rPr>
              <w:t xml:space="preserve">WP30</w:t>
            </w:r>
          </w:p>
        </w:tc>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fte3d-mfp event-driven mover</w:t>
            </w:r>
          </w:p>
        </w:tc>
        <w:tc>
          <w:tcPr>
            <w:tcW w:type="dxa" w:w="3900"/>
            <w:shd w:fill="EEF1F6" w:val="clear"/>
            <w:tcMar>
              <w:top w:type="dxa" w:w="60"/>
              <w:left w:type="dxa" w:w="100"/>
              <w:bottom w:type="dxa" w:w="60"/>
              <w:right w:type="dxa" w:w="100"/>
            </w:tcMar>
          </w:tcPr>
          <w:p>
            <w:pPr>
              <w:spacing w:after="0" w:line="240"/>
            </w:pPr>
            <w:r>
              <w:rPr>
                <w:b w:val="false"/>
                <w:bCs w:val="false"/>
                <w:sz w:val="18"/>
                <w:szCs w:val="18"/>
              </w:rPr>
              <w:t xml:space="preserve">The reserved name, the MeanFreePathProvider, and srcSEP’s exact-waiting-time kernel</w:t>
            </w:r>
          </w:p>
        </w:tc>
        <w:tc>
          <w:tcPr>
            <w:tcW w:type="dxa" w:w="3580"/>
            <w:shd w:fill="EEF1F6" w:val="clear"/>
            <w:tcMar>
              <w:top w:type="dxa" w:w="60"/>
              <w:left w:type="dxa" w:w="100"/>
              <w:bottom w:type="dxa" w:w="60"/>
              <w:right w:type="dxa" w:w="100"/>
            </w:tcMar>
          </w:tcPr>
          <w:p>
            <w:pPr>
              <w:spacing w:after="0" w:line="240"/>
            </w:pPr>
            <w:r>
              <w:rPr>
                <w:b w:val="false"/>
                <w:bCs w:val="false"/>
                <w:sz w:val="18"/>
                <w:szCs w:val="18"/>
              </w:rPr>
              <w:t xml:space="preserve">Design the interaction of exponential waiting times with the 3-D cell, shock, and snapshot boundaries; add ballistic-limit and event-statistics tests</w:t>
            </w:r>
          </w:p>
        </w:tc>
      </w:tr>
      <w:tr>
        <w:tc>
          <w:tcPr>
            <w:tcW w:type="dxa" w:w="800"/>
            <w:tcMar>
              <w:top w:type="dxa" w:w="60"/>
              <w:left w:type="dxa" w:w="100"/>
              <w:bottom w:type="dxa" w:w="60"/>
              <w:right w:type="dxa" w:w="100"/>
            </w:tcMar>
          </w:tcPr>
          <w:p>
            <w:pPr>
              <w:spacing w:after="0" w:line="240"/>
            </w:pPr>
            <w:r>
              <w:rPr>
                <w:b w:val="false"/>
                <w:bCs w:val="false"/>
                <w:sz w:val="18"/>
                <w:szCs w:val="18"/>
              </w:rPr>
              <w:t xml:space="preserve">WP31</w:t>
            </w:r>
          </w:p>
        </w:tc>
        <w:tc>
          <w:tcPr>
            <w:tcW w:type="dxa" w:w="1800"/>
            <w:tcMar>
              <w:top w:type="dxa" w:w="60"/>
              <w:left w:type="dxa" w:w="100"/>
              <w:bottom w:type="dxa" w:w="60"/>
              <w:right w:type="dxa" w:w="100"/>
            </w:tcMar>
          </w:tcPr>
          <w:p>
            <w:pPr>
              <w:spacing w:after="0" w:line="240"/>
            </w:pPr>
            <w:r>
              <w:rPr>
                <w:b w:val="false"/>
                <w:bCs w:val="false"/>
                <w:sz w:val="18"/>
                <w:szCs w:val="18"/>
              </w:rPr>
              <w:t xml:space="preserve">Self-consistent 3-D turbulence</w:t>
            </w:r>
          </w:p>
        </w:tc>
        <w:tc>
          <w:tcPr>
            <w:tcW w:type="dxa" w:w="3900"/>
            <w:tcMar>
              <w:top w:type="dxa" w:w="60"/>
              <w:left w:type="dxa" w:w="100"/>
              <w:bottom w:type="dxa" w:w="60"/>
              <w:right w:type="dxa" w:w="100"/>
            </w:tcMar>
          </w:tcPr>
          <w:p>
            <w:pPr>
              <w:spacing w:after="0" w:line="240"/>
            </w:pPr>
            <w:r>
              <w:rPr>
                <w:b w:val="false"/>
                <w:bCs w:val="false"/>
                <w:sz w:val="18"/>
                <w:szCs w:val="18"/>
              </w:rPr>
              <w:t xml:space="preserve">The coupling-record pattern, the deterministic reduction contract, and the source/authority separation from srcSEP</w:t>
            </w:r>
          </w:p>
        </w:tc>
        <w:tc>
          <w:tcPr>
            <w:tcW w:type="dxa" w:w="3580"/>
            <w:tcMar>
              <w:top w:type="dxa" w:w="60"/>
              <w:left w:type="dxa" w:w="100"/>
              <w:bottom w:type="dxa" w:w="60"/>
              <w:right w:type="dxa" w:w="100"/>
            </w:tcMar>
          </w:tcPr>
          <w:p>
            <w:pPr>
              <w:spacing w:after="0" w:line="240"/>
            </w:pPr>
            <w:r>
              <w:rPr>
                <w:b w:val="false"/>
                <w:bCs w:val="false"/>
                <w:sz w:val="18"/>
                <w:szCs w:val="18"/>
              </w:rPr>
              <w:t xml:space="preserve">A 3-D wave-energy representation on the mesh; this is a major work item, not a small extension</w:t>
            </w:r>
          </w:p>
        </w:tc>
      </w:tr>
    </w:tbl>
    <w:p>
      <w:pPr>
        <w:spacing w:after="140"/>
      </w:pPr>
    </w:p>
    <w:p>
      <w:pPr>
        <w:pStyle w:val="Heading2"/>
        <w:spacing w:after="120" w:before="280"/>
      </w:pPr>
      <w:r>
        <w:t xml:space="preserve">11.9 Critical path</w:t>
      </w:r>
    </w:p>
    <w:p>
      <w:pPr>
        <w:spacing w:after="120" w:line="264"/>
        <w:jc w:val="left"/>
      </w:pPr>
      <w:r>
        <w:rPr>
          <w:b w:val="false"/>
          <w:bCs w:val="false"/>
          <w:i w:val="false"/>
          <w:iCs w:val="false"/>
        </w:rPr>
        <w:t xml:space="preserve">The critical path is WP01 → WP04 → WP05/WP06 → WP08 → WP10 → WP13 → WP15/WP16 → WP17 → WP24. WP03 (the SWCME move) is on no critical path and should be done early precisely because it is independent — doing it first avoids a situation where two applications are simultaneously modifying files in </w:t>
      </w:r>
      <w:r>
        <w:rPr>
          <w:rFonts w:ascii="Consolas" w:cs="Consolas" w:eastAsia="Consolas" w:hAnsi="Consolas"/>
          <w:b w:val="false"/>
          <w:bCs w:val="false"/>
          <w:i w:val="false"/>
          <w:iCs w:val="false"/>
          <w:sz w:val="19"/>
          <w:szCs w:val="19"/>
        </w:rPr>
        <w:t xml:space="preserve">srcSEP/swcme/</w:t>
      </w:r>
      <w:r>
        <w:rPr>
          <w:b w:val="false"/>
          <w:bCs w:val="false"/>
          <w:i w:val="false"/>
          <w:iCs w:val="false"/>
        </w:rPr>
        <w:t xml:space="preserve">. WP11 (the external-field specification) is also independent and is best written while the background contract is fresh.</w:t>
      </w:r>
    </w:p>
    <w:p>
      <w:pPr>
        <w:spacing w:after="120" w:line="264"/>
        <w:jc w:val="left"/>
      </w:pPr>
      <w:r>
        <w:t xml:space="preserve">Total indicative effort for Phases 0–7 is approximately 135 developer-days, or roughly seven months for one full-time developer, or four months for two developers working along the two natural tracks (mesh/background versus movers/coefficients) that join at WP17.</w:t>
      </w:r>
    </w:p>
    <w:p>
      <w:pPr>
        <w:spacing w:after="120" w:line="264"/>
        <w:jc w:val="left"/>
      </w:pPr>
      <w:r>
        <w:rPr>
          <w:b w:val="false"/>
          <w:bCs w:val="false"/>
          <w:i w:val="false"/>
          <w:iCs w:val="false"/>
        </w:rPr>
        <w:t xml:space="preserve">Section 12 refines this breakdown into 29 executable steps, each with the specific regression gate that protects the work already completed.</w:t>
      </w:r>
    </w:p>
    <w:p>
      <w:r>
        <w:br w:type="page"/>
      </w:r>
    </w:p>
    <w:p>
      <w:pPr>
        <w:pStyle w:val="Heading1"/>
        <w:spacing w:after="160" w:before="360"/>
      </w:pPr>
      <w:r>
        <w:t xml:space="preserve">12. Step-by-Step Implementation Sequence</w:t>
      </w:r>
    </w:p>
    <w:p>
      <w:pPr>
        <w:spacing w:after="120" w:line="264"/>
        <w:jc w:val="left"/>
      </w:pPr>
      <w:r>
        <w:rPr>
          <w:b w:val="false"/>
          <w:bCs w:val="false"/>
          <w:i w:val="false"/>
          <w:iCs w:val="false"/>
        </w:rPr>
        <w:t xml:space="preserve">Section 11 groups the work by subsystem. This section orders it into 29 executable steps. Every step ends in a state where the code builds, every test written so far passes, and the trunk is releasable. The distinguishing feature of each step is not the new test it adds but the </w:t>
      </w:r>
      <w:r>
        <w:rPr>
          <w:b/>
          <w:bCs/>
          <w:i w:val="false"/>
          <w:iCs w:val="false"/>
        </w:rPr>
        <w:t xml:space="preserve">regression gate</w:t>
      </w:r>
      <w:r>
        <w:rPr>
          <w:b w:val="false"/>
          <w:bCs w:val="false"/>
          <w:i w:val="false"/>
          <w:iCs w:val="false"/>
        </w:rPr>
        <w:t xml:space="preserve"> — a named set of earlier tests that must still pass, together with an explicit statement of the mechanism by which this particular step could have broken them. A gate that just says "run everything" is not a gate; it is a hope.</w:t>
      </w:r>
    </w:p>
    <w:p>
      <w:pPr>
        <w:pStyle w:val="Heading2"/>
        <w:spacing w:after="120" w:before="280"/>
      </w:pPr>
      <w:r>
        <w:t xml:space="preserve">12.1 Rules that make the ladder work</w:t>
      </w:r>
    </w:p>
    <w:p>
      <w:pPr>
        <w:pStyle w:val="ListParagraph"/>
        <w:numPr>
          <w:ilvl w:val="0"/>
          <w:numId w:val="9"/>
        </w:numPr>
        <w:spacing w:after="60" w:line="264"/>
      </w:pPr>
      <w:r>
        <w:rPr>
          <w:b/>
          <w:bCs/>
          <w:i w:val="false"/>
          <w:iCs w:val="false"/>
        </w:rPr>
        <w:t xml:space="preserve">The trunk is always green. </w:t>
      </w:r>
      <w:r>
        <w:rPr>
          <w:b w:val="false"/>
          <w:bCs w:val="false"/>
          <w:i w:val="false"/>
          <w:iCs w:val="false"/>
        </w:rPr>
        <w:t xml:space="preserve">A step is not complete until its own tests pass </w:t>
      </w:r>
      <w:r>
        <w:rPr>
          <w:b w:val="false"/>
          <w:bCs w:val="false"/>
          <w:i/>
          <w:iCs/>
        </w:rPr>
        <w:t xml:space="preserve">and</w:t>
      </w:r>
      <w:r>
        <w:rPr>
          <w:b w:val="false"/>
          <w:bCs w:val="false"/>
          <w:i w:val="false"/>
          <w:iCs w:val="false"/>
        </w:rPr>
        <w:t xml:space="preserve"> its regression gate passes. Work in progress lives on a branch; the trunk never carries a knowingly failing test.</w:t>
      </w:r>
    </w:p>
    <w:p>
      <w:pPr>
        <w:pStyle w:val="ListParagraph"/>
        <w:numPr>
          <w:ilvl w:val="0"/>
          <w:numId w:val="9"/>
        </w:numPr>
        <w:spacing w:after="60" w:line="264"/>
      </w:pPr>
      <w:r>
        <w:rPr>
          <w:b/>
          <w:bCs/>
          <w:i w:val="false"/>
          <w:iCs w:val="false"/>
        </w:rPr>
        <w:t xml:space="preserve">Frozen records are the mechanism for "not broken". </w:t>
      </w:r>
      <w:r>
        <w:rPr>
          <w:b w:val="false"/>
          <w:bCs w:val="false"/>
          <w:i w:val="false"/>
          <w:iCs w:val="false"/>
        </w:rPr>
        <w:t xml:space="preserve">At the end of most steps a deterministic output record is written to </w:t>
      </w:r>
      <w:r>
        <w:rPr>
          <w:rFonts w:ascii="Consolas" w:cs="Consolas" w:eastAsia="Consolas" w:hAnsi="Consolas"/>
          <w:b w:val="false"/>
          <w:bCs w:val="false"/>
          <w:i w:val="false"/>
          <w:iCs w:val="false"/>
          <w:sz w:val="19"/>
          <w:szCs w:val="19"/>
        </w:rPr>
        <w:t xml:space="preserve">test/frozen/&lt;step&gt;.txt</w:t>
      </w:r>
      <w:r>
        <w:rPr>
          <w:b w:val="false"/>
          <w:bCs w:val="false"/>
          <w:i w:val="false"/>
          <w:iCs w:val="false"/>
        </w:rPr>
        <w:t xml:space="preserve"> — a table of values produced by the code as it stands, with fixed inputs and a fixed seed. Later steps must reproduce it byte for byte. When a step is legitimately allowed to change a frozen record, that permission is stated in its regression gate and the record is re-frozen in the same commit with a one-line justification in the file header. Byte identity is used rather than a tolerance because the question being asked is "did anything change", not "is it still approximately right".</w:t>
      </w:r>
    </w:p>
    <w:p>
      <w:pPr>
        <w:pStyle w:val="ListParagraph"/>
        <w:numPr>
          <w:ilvl w:val="0"/>
          <w:numId w:val="9"/>
        </w:numPr>
        <w:spacing w:after="60" w:line="264"/>
      </w:pPr>
      <w:r>
        <w:rPr>
          <w:b/>
          <w:bCs/>
          <w:i w:val="false"/>
          <w:iCs w:val="false"/>
        </w:rPr>
        <w:t xml:space="preserve">Three regression tiers. </w:t>
      </w:r>
      <w:r>
        <w:rPr>
          <w:b w:val="false"/>
          <w:bCs w:val="false"/>
          <w:i w:val="false"/>
          <w:iCs w:val="false"/>
        </w:rPr>
        <w:t xml:space="preserve">The </w:t>
      </w:r>
      <w:r>
        <w:rPr>
          <w:rFonts w:ascii="Consolas" w:cs="Consolas" w:eastAsia="Consolas" w:hAnsi="Consolas"/>
          <w:b w:val="false"/>
          <w:bCs w:val="false"/>
          <w:i w:val="false"/>
          <w:iCs w:val="false"/>
          <w:sz w:val="19"/>
          <w:szCs w:val="19"/>
        </w:rPr>
        <w:t xml:space="preserve">step gate</w:t>
      </w:r>
      <w:r>
        <w:rPr>
          <w:b w:val="false"/>
          <w:bCs w:val="false"/>
          <w:i w:val="false"/>
          <w:iCs w:val="false"/>
        </w:rPr>
        <w:t xml:space="preserve"> is what the developer runs before committing (seconds to a couple of minutes). The </w:t>
      </w:r>
      <w:r>
        <w:rPr>
          <w:rFonts w:ascii="Consolas" w:cs="Consolas" w:eastAsia="Consolas" w:hAnsi="Consolas"/>
          <w:b w:val="false"/>
          <w:bCs w:val="false"/>
          <w:i w:val="false"/>
          <w:iCs w:val="false"/>
          <w:sz w:val="19"/>
          <w:szCs w:val="19"/>
        </w:rPr>
        <w:t xml:space="preserve">phase gate</w:t>
      </w:r>
      <w:r>
        <w:rPr>
          <w:b w:val="false"/>
          <w:bCs w:val="false"/>
          <w:i w:val="false"/>
          <w:iCs w:val="false"/>
        </w:rPr>
        <w:t xml:space="preserve"> is the complete Stage-1 suite plus the sanitizer build, run at the end of each lettered phase. The </w:t>
      </w:r>
      <w:r>
        <w:rPr>
          <w:rFonts w:ascii="Consolas" w:cs="Consolas" w:eastAsia="Consolas" w:hAnsi="Consolas"/>
          <w:b w:val="false"/>
          <w:bCs w:val="false"/>
          <w:i w:val="false"/>
          <w:iCs w:val="false"/>
          <w:sz w:val="19"/>
          <w:szCs w:val="19"/>
        </w:rPr>
        <w:t xml:space="preserve">nightly gate</w:t>
      </w:r>
      <w:r>
        <w:rPr>
          <w:b w:val="false"/>
          <w:bCs w:val="false"/>
          <w:i w:val="false"/>
          <w:iCs w:val="false"/>
        </w:rPr>
        <w:t xml:space="preserve"> adds Stage-2 and the stochastic-repeat runs. Only the step gate is named per step below; the other two are assumed.</w:t>
      </w:r>
    </w:p>
    <w:p>
      <w:pPr>
        <w:pStyle w:val="ListParagraph"/>
        <w:numPr>
          <w:ilvl w:val="0"/>
          <w:numId w:val="9"/>
        </w:numPr>
        <w:spacing w:after="60" w:line="264"/>
      </w:pPr>
      <w:r>
        <w:rPr>
          <w:b/>
          <w:bCs/>
          <w:i w:val="false"/>
          <w:iCs w:val="false"/>
        </w:rPr>
        <w:t xml:space="preserve">Negative controls are part of the gate. </w:t>
      </w:r>
      <w:r>
        <w:rPr>
          <w:b w:val="false"/>
          <w:bCs w:val="false"/>
          <w:i w:val="false"/>
          <w:iCs w:val="false"/>
        </w:rPr>
        <w:t xml:space="preserve">Several tests below have a paired control that must </w:t>
      </w:r>
      <w:r>
        <w:rPr>
          <w:b w:val="false"/>
          <w:bCs w:val="false"/>
          <w:i/>
          <w:iCs/>
        </w:rPr>
        <w:t xml:space="preserve">fail</w:t>
      </w:r>
      <w:r>
        <w:rPr>
          <w:b w:val="false"/>
          <w:bCs w:val="false"/>
          <w:i w:val="false"/>
          <w:iCs w:val="false"/>
        </w:rPr>
        <w:t xml:space="preserve"> — a sign-flipped drift term, a deliberately under-width shoulder, a shuffled file. A control that starts passing is as much a regression as a test that starts failing, and the runner treats it that way.</w:t>
      </w:r>
    </w:p>
    <w:p>
      <w:pPr>
        <w:pStyle w:val="ListParagraph"/>
        <w:numPr>
          <w:ilvl w:val="0"/>
          <w:numId w:val="9"/>
        </w:numPr>
        <w:spacing w:after="60" w:line="264"/>
      </w:pPr>
      <w:r>
        <w:rPr>
          <w:b/>
          <w:bCs/>
          <w:i w:val="false"/>
          <w:iCs w:val="false"/>
        </w:rPr>
        <w:t xml:space="preserve">One concern per step. </w:t>
      </w:r>
      <w:r>
        <w:rPr>
          <w:b w:val="false"/>
          <w:bCs w:val="false"/>
          <w:i w:val="false"/>
          <w:iCs w:val="false"/>
        </w:rPr>
        <w:t xml:space="preserve">If a step needs to change something a previous step froze, that change is its own commit with its own justification. This is what makes bisection useful six months later.</w:t>
      </w:r>
    </w:p>
    <w:p>
      <w:pPr>
        <w:pStyle w:val="Heading2"/>
        <w:spacing w:after="120" w:before="280"/>
      </w:pPr>
      <w:r>
        <w:t xml:space="preserve">12.2 Map of steps to the invariants they endanger</w:t>
      </w:r>
    </w:p>
    <w:p>
      <w:pPr>
        <w:spacing w:after="120" w:line="264"/>
        <w:jc w:val="left"/>
      </w:pPr>
      <w:r>
        <w:t xml:space="preserve">The table below is the quick answer to "what am I at risk of breaking". The detailed reasoning is in each step.</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1800"/>
        <w:gridCol w:w="900"/>
        <w:gridCol w:w="7380"/>
      </w:tblGrid>
      <w:tr>
        <w:trPr>
          <w:tblHeader/>
        </w:trPr>
        <w:tc>
          <w:tcPr>
            <w:tcW w:type="dxa" w:w="1800"/>
            <w:shd w:fill="1F3864" w:val="clear"/>
            <w:tcMar>
              <w:top w:type="dxa" w:w="60"/>
              <w:left w:type="dxa" w:w="100"/>
              <w:bottom w:type="dxa" w:w="60"/>
              <w:right w:type="dxa" w:w="100"/>
            </w:tcMar>
          </w:tcPr>
          <w:p>
            <w:pPr>
              <w:spacing w:after="0" w:line="240"/>
            </w:pPr>
            <w:r>
              <w:rPr>
                <w:b/>
                <w:bCs/>
                <w:color w:val="FFFFFF"/>
                <w:sz w:val="18"/>
                <w:szCs w:val="18"/>
              </w:rPr>
              <w:t xml:space="preserve">Phase</w:t>
            </w:r>
          </w:p>
        </w:tc>
        <w:tc>
          <w:tcPr>
            <w:tcW w:type="dxa" w:w="900"/>
            <w:shd w:fill="1F3864" w:val="clear"/>
            <w:tcMar>
              <w:top w:type="dxa" w:w="60"/>
              <w:left w:type="dxa" w:w="100"/>
              <w:bottom w:type="dxa" w:w="60"/>
              <w:right w:type="dxa" w:w="100"/>
            </w:tcMar>
          </w:tcPr>
          <w:p>
            <w:pPr>
              <w:spacing w:after="0" w:line="240"/>
            </w:pPr>
            <w:r>
              <w:rPr>
                <w:b/>
                <w:bCs/>
                <w:color w:val="FFFFFF"/>
                <w:sz w:val="18"/>
                <w:szCs w:val="18"/>
              </w:rPr>
              <w:t xml:space="preserve">Steps</w:t>
            </w:r>
          </w:p>
        </w:tc>
        <w:tc>
          <w:tcPr>
            <w:tcW w:type="dxa" w:w="7380"/>
            <w:shd w:fill="1F3864" w:val="clear"/>
            <w:tcMar>
              <w:top w:type="dxa" w:w="60"/>
              <w:left w:type="dxa" w:w="100"/>
              <w:bottom w:type="dxa" w:w="60"/>
              <w:right w:type="dxa" w:w="100"/>
            </w:tcMar>
          </w:tcPr>
          <w:p>
            <w:pPr>
              <w:spacing w:after="0" w:line="240"/>
            </w:pPr>
            <w:r>
              <w:rPr>
                <w:b/>
                <w:bCs/>
                <w:color w:val="FFFFFF"/>
                <w:sz w:val="18"/>
                <w:szCs w:val="18"/>
              </w:rPr>
              <w:t xml:space="preserve">Principal regression risk introduced</w:t>
            </w:r>
          </w:p>
        </w:tc>
      </w:tr>
      <w:tr>
        <w:tc>
          <w:tcPr>
            <w:tcW w:type="dxa" w:w="1800"/>
            <w:tcMar>
              <w:top w:type="dxa" w:w="60"/>
              <w:left w:type="dxa" w:w="100"/>
              <w:bottom w:type="dxa" w:w="60"/>
              <w:right w:type="dxa" w:w="100"/>
            </w:tcMar>
          </w:tcPr>
          <w:p>
            <w:pPr>
              <w:spacing w:after="0" w:line="240"/>
            </w:pPr>
            <w:r>
              <w:rPr>
                <w:b w:val="false"/>
                <w:bCs w:val="false"/>
                <w:sz w:val="18"/>
                <w:szCs w:val="18"/>
              </w:rPr>
              <w:t xml:space="preserve">A — Scaffolding</w:t>
            </w:r>
          </w:p>
        </w:tc>
        <w:tc>
          <w:tcPr>
            <w:tcW w:type="dxa" w:w="900"/>
            <w:tcMar>
              <w:top w:type="dxa" w:w="60"/>
              <w:left w:type="dxa" w:w="100"/>
              <w:bottom w:type="dxa" w:w="60"/>
              <w:right w:type="dxa" w:w="100"/>
            </w:tcMar>
          </w:tcPr>
          <w:p>
            <w:pPr>
              <w:spacing w:after="0" w:line="240"/>
            </w:pPr>
            <w:r>
              <w:rPr>
                <w:b w:val="false"/>
                <w:bCs w:val="false"/>
                <w:sz w:val="18"/>
                <w:szCs w:val="18"/>
              </w:rPr>
              <w:t xml:space="preserve">1–5</w:t>
            </w:r>
          </w:p>
        </w:tc>
        <w:tc>
          <w:tcPr>
            <w:tcW w:type="dxa" w:w="7380"/>
            <w:tcMar>
              <w:top w:type="dxa" w:w="60"/>
              <w:left w:type="dxa" w:w="100"/>
              <w:bottom w:type="dxa" w:w="60"/>
              <w:right w:type="dxa" w:w="100"/>
            </w:tcMar>
          </w:tcPr>
          <w:p>
            <w:pPr>
              <w:spacing w:after="0" w:line="240"/>
            </w:pPr>
            <w:r>
              <w:rPr>
                <w:b w:val="false"/>
                <w:bCs w:val="false"/>
                <w:sz w:val="18"/>
                <w:szCs w:val="18"/>
              </w:rPr>
              <w:t xml:space="preserve">Build-system changes silently altering compiler flags, duplicate symbol definitions, and broken relative include paths inside SWCME</w:t>
            </w:r>
          </w:p>
        </w:tc>
      </w:tr>
      <w:tr>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B — Mesh</w:t>
            </w:r>
          </w:p>
        </w:tc>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6–11</w:t>
            </w:r>
          </w:p>
        </w:tc>
        <w:tc>
          <w:tcPr>
            <w:tcW w:type="dxa" w:w="7380"/>
            <w:shd w:fill="EEF1F6" w:val="clear"/>
            <w:tcMar>
              <w:top w:type="dxa" w:w="60"/>
              <w:left w:type="dxa" w:w="100"/>
              <w:bottom w:type="dxa" w:w="60"/>
              <w:right w:type="dxa" w:w="100"/>
            </w:tcMar>
          </w:tcPr>
          <w:p>
            <w:pPr>
              <w:spacing w:after="0" w:line="240"/>
            </w:pPr>
            <w:r>
              <w:rPr>
                <w:b w:val="false"/>
                <w:bCs w:val="false"/>
                <w:sz w:val="18"/>
                <w:szCs w:val="18"/>
              </w:rPr>
              <w:t xml:space="preserve">Adding a term to a min() that is not correctly inert when unconfigured; the emulator and the law drifting apart; constants disagreeing with SWCME</w:t>
            </w:r>
          </w:p>
        </w:tc>
      </w:tr>
      <w:tr>
        <w:tc>
          <w:tcPr>
            <w:tcW w:type="dxa" w:w="1800"/>
            <w:tcMar>
              <w:top w:type="dxa" w:w="60"/>
              <w:left w:type="dxa" w:w="100"/>
              <w:bottom w:type="dxa" w:w="60"/>
              <w:right w:type="dxa" w:w="100"/>
            </w:tcMar>
          </w:tcPr>
          <w:p>
            <w:pPr>
              <w:spacing w:after="0" w:line="240"/>
            </w:pPr>
            <w:r>
              <w:rPr>
                <w:b w:val="false"/>
                <w:bCs w:val="false"/>
                <w:sz w:val="18"/>
                <w:szCs w:val="18"/>
              </w:rPr>
              <w:t xml:space="preserve">C — Background</w:t>
            </w:r>
          </w:p>
        </w:tc>
        <w:tc>
          <w:tcPr>
            <w:tcW w:type="dxa" w:w="900"/>
            <w:tcMar>
              <w:top w:type="dxa" w:w="60"/>
              <w:left w:type="dxa" w:w="100"/>
              <w:bottom w:type="dxa" w:w="60"/>
              <w:right w:type="dxa" w:w="100"/>
            </w:tcMar>
          </w:tcPr>
          <w:p>
            <w:pPr>
              <w:spacing w:after="0" w:line="240"/>
            </w:pPr>
            <w:r>
              <w:rPr>
                <w:b w:val="false"/>
                <w:bCs w:val="false"/>
                <w:sz w:val="18"/>
                <w:szCs w:val="18"/>
              </w:rPr>
              <w:t xml:space="preserve">12–17</w:t>
            </w:r>
          </w:p>
        </w:tc>
        <w:tc>
          <w:tcPr>
            <w:tcW w:type="dxa" w:w="7380"/>
            <w:tcMar>
              <w:top w:type="dxa" w:w="60"/>
              <w:left w:type="dxa" w:w="100"/>
              <w:bottom w:type="dxa" w:w="60"/>
              <w:right w:type="dxa" w:w="100"/>
            </w:tcMar>
          </w:tcPr>
          <w:p>
            <w:pPr>
              <w:spacing w:after="0" w:line="240"/>
            </w:pPr>
            <w:r>
              <w:rPr>
                <w:b w:val="false"/>
                <w:bCs w:val="false"/>
                <w:sz w:val="18"/>
                <w:szCs w:val="18"/>
              </w:rPr>
              <w:t xml:space="preserve">Derived quantities computed two different ways; gradient generation altering the stored field; time buffering changing single-snapshot results</w:t>
            </w:r>
          </w:p>
        </w:tc>
      </w:tr>
      <w:tr>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D — Coefficients</w:t>
            </w:r>
          </w:p>
        </w:tc>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18–19</w:t>
            </w:r>
          </w:p>
        </w:tc>
        <w:tc>
          <w:tcPr>
            <w:tcW w:type="dxa" w:w="7380"/>
            <w:shd w:fill="EEF1F6" w:val="clear"/>
            <w:tcMar>
              <w:top w:type="dxa" w:w="60"/>
              <w:left w:type="dxa" w:w="100"/>
              <w:bottom w:type="dxa" w:w="60"/>
              <w:right w:type="dxa" w:w="100"/>
            </w:tcMar>
          </w:tcPr>
          <w:p>
            <w:pPr>
              <w:spacing w:after="0" w:line="240"/>
            </w:pPr>
            <w:r>
              <w:rPr>
                <w:b w:val="false"/>
                <w:bCs w:val="false"/>
                <w:sz w:val="18"/>
                <w:szCs w:val="18"/>
              </w:rPr>
              <w:t xml:space="preserve">Registry extension changing the configuration fingerprint of existing configurations; the tensor path diverging from the scalar path</w:t>
            </w:r>
          </w:p>
        </w:tc>
      </w:tr>
      <w:tr>
        <w:tc>
          <w:tcPr>
            <w:tcW w:type="dxa" w:w="1800"/>
            <w:tcMar>
              <w:top w:type="dxa" w:w="60"/>
              <w:left w:type="dxa" w:w="100"/>
              <w:bottom w:type="dxa" w:w="60"/>
              <w:right w:type="dxa" w:w="100"/>
            </w:tcMar>
          </w:tcPr>
          <w:p>
            <w:pPr>
              <w:spacing w:after="0" w:line="240"/>
            </w:pPr>
            <w:r>
              <w:rPr>
                <w:b w:val="false"/>
                <w:bCs w:val="false"/>
                <w:sz w:val="18"/>
                <w:szCs w:val="18"/>
              </w:rPr>
              <w:t xml:space="preserve">E — Movers</w:t>
            </w:r>
          </w:p>
        </w:tc>
        <w:tc>
          <w:tcPr>
            <w:tcW w:type="dxa" w:w="900"/>
            <w:tcMar>
              <w:top w:type="dxa" w:w="60"/>
              <w:left w:type="dxa" w:w="100"/>
              <w:bottom w:type="dxa" w:w="60"/>
              <w:right w:type="dxa" w:w="100"/>
            </w:tcMar>
          </w:tcPr>
          <w:p>
            <w:pPr>
              <w:spacing w:after="0" w:line="240"/>
            </w:pPr>
            <w:r>
              <w:rPr>
                <w:b w:val="false"/>
                <w:bCs w:val="false"/>
                <w:sz w:val="18"/>
                <w:szCs w:val="18"/>
              </w:rPr>
              <w:t xml:space="preserve">20–23</w:t>
            </w:r>
          </w:p>
        </w:tc>
        <w:tc>
          <w:tcPr>
            <w:tcW w:type="dxa" w:w="7380"/>
            <w:tcMar>
              <w:top w:type="dxa" w:w="60"/>
              <w:left w:type="dxa" w:w="100"/>
              <w:bottom w:type="dxa" w:w="60"/>
              <w:right w:type="dxa" w:w="100"/>
            </w:tcMar>
          </w:tcPr>
          <w:p>
            <w:pPr>
              <w:spacing w:after="0" w:line="240"/>
            </w:pPr>
            <w:r>
              <w:rPr>
                <w:b w:val="false"/>
                <w:bCs w:val="false"/>
                <w:sz w:val="18"/>
                <w:szCs w:val="18"/>
              </w:rPr>
              <w:t xml:space="preserve">The substep selector changing effective step sizes for already-validated cases; RNG stream keying shifting; the AMPS shell mutating core state</w:t>
            </w:r>
          </w:p>
        </w:tc>
      </w:tr>
      <w:tr>
        <w:tc>
          <w:tcPr>
            <w:tcW w:type="dxa" w:w="1800"/>
            <w:shd w:fill="EEF1F6" w:val="clear"/>
            <w:tcMar>
              <w:top w:type="dxa" w:w="60"/>
              <w:left w:type="dxa" w:w="100"/>
              <w:bottom w:type="dxa" w:w="60"/>
              <w:right w:type="dxa" w:w="100"/>
            </w:tcMar>
          </w:tcPr>
          <w:p>
            <w:pPr>
              <w:spacing w:after="0" w:line="240"/>
            </w:pPr>
            <w:r>
              <w:rPr>
                <w:b w:val="false"/>
                <w:bCs w:val="false"/>
                <w:sz w:val="18"/>
                <w:szCs w:val="18"/>
              </w:rPr>
              <w:t xml:space="preserve">F — Products</w:t>
            </w:r>
          </w:p>
        </w:tc>
        <w:tc>
          <w:tcPr>
            <w:tcW w:type="dxa" w:w="900"/>
            <w:shd w:fill="EEF1F6" w:val="clear"/>
            <w:tcMar>
              <w:top w:type="dxa" w:w="60"/>
              <w:left w:type="dxa" w:w="100"/>
              <w:bottom w:type="dxa" w:w="60"/>
              <w:right w:type="dxa" w:w="100"/>
            </w:tcMar>
          </w:tcPr>
          <w:p>
            <w:pPr>
              <w:spacing w:after="0" w:line="240"/>
            </w:pPr>
            <w:r>
              <w:rPr>
                <w:b w:val="false"/>
                <w:bCs w:val="false"/>
                <w:sz w:val="18"/>
                <w:szCs w:val="18"/>
              </w:rPr>
              <w:t xml:space="preserve">24–26</w:t>
            </w:r>
          </w:p>
        </w:tc>
        <w:tc>
          <w:tcPr>
            <w:tcW w:type="dxa" w:w="7380"/>
            <w:shd w:fill="EEF1F6" w:val="clear"/>
            <w:tcMar>
              <w:top w:type="dxa" w:w="60"/>
              <w:left w:type="dxa" w:w="100"/>
              <w:bottom w:type="dxa" w:w="60"/>
              <w:right w:type="dxa" w:w="100"/>
            </w:tcMar>
          </w:tcPr>
          <w:p>
            <w:pPr>
              <w:spacing w:after="0" w:line="240"/>
            </w:pPr>
            <w:r>
              <w:rPr>
                <w:b w:val="false"/>
                <w:bCs w:val="false"/>
                <w:sz w:val="18"/>
                <w:szCs w:val="18"/>
              </w:rPr>
              <w:t xml:space="preserve">Sampling and output touching particle state; restart writing an incomplete RNG or counter state</w:t>
            </w:r>
          </w:p>
        </w:tc>
      </w:tr>
      <w:tr>
        <w:tc>
          <w:tcPr>
            <w:tcW w:type="dxa" w:w="1800"/>
            <w:tcMar>
              <w:top w:type="dxa" w:w="60"/>
              <w:left w:type="dxa" w:w="100"/>
              <w:bottom w:type="dxa" w:w="60"/>
              <w:right w:type="dxa" w:w="100"/>
            </w:tcMar>
          </w:tcPr>
          <w:p>
            <w:pPr>
              <w:spacing w:after="0" w:line="240"/>
            </w:pPr>
            <w:r>
              <w:rPr>
                <w:b w:val="false"/>
                <w:bCs w:val="false"/>
                <w:sz w:val="18"/>
                <w:szCs w:val="18"/>
              </w:rPr>
              <w:t xml:space="preserve">G — Integration</w:t>
            </w:r>
          </w:p>
        </w:tc>
        <w:tc>
          <w:tcPr>
            <w:tcW w:type="dxa" w:w="900"/>
            <w:tcMar>
              <w:top w:type="dxa" w:w="60"/>
              <w:left w:type="dxa" w:w="100"/>
              <w:bottom w:type="dxa" w:w="60"/>
              <w:right w:type="dxa" w:w="100"/>
            </w:tcMar>
          </w:tcPr>
          <w:p>
            <w:pPr>
              <w:spacing w:after="0" w:line="240"/>
            </w:pPr>
            <w:r>
              <w:rPr>
                <w:b w:val="false"/>
                <w:bCs w:val="false"/>
                <w:sz w:val="18"/>
                <w:szCs w:val="18"/>
              </w:rPr>
              <w:t xml:space="preserve">27–29</w:t>
            </w:r>
          </w:p>
        </w:tc>
        <w:tc>
          <w:tcPr>
            <w:tcW w:type="dxa" w:w="7380"/>
            <w:tcMar>
              <w:top w:type="dxa" w:w="60"/>
              <w:left w:type="dxa" w:w="100"/>
              <w:bottom w:type="dxa" w:w="60"/>
              <w:right w:type="dxa" w:w="100"/>
            </w:tcMar>
          </w:tcPr>
          <w:p>
            <w:pPr>
              <w:spacing w:after="0" w:line="240"/>
            </w:pPr>
            <w:r>
              <w:rPr>
                <w:b w:val="false"/>
                <w:bCs w:val="false"/>
                <w:sz w:val="18"/>
                <w:szCs w:val="18"/>
              </w:rPr>
              <w:t xml:space="preserve">MPI reductions becoming order-dependent; validation cases being tuned rather than the model being fixed</w:t>
            </w:r>
          </w:p>
        </w:tc>
      </w:tr>
    </w:tbl>
    <w:p>
      <w:pPr>
        <w:spacing w:after="160"/>
      </w:pPr>
    </w:p>
    <w:p>
      <w:pPr>
        <w:pStyle w:val="Heading2"/>
        <w:spacing w:after="120" w:before="280"/>
      </w:pPr>
      <w:r>
        <w:t xml:space="preserve">12.3 Phase A — Scaffolding (Steps 1–5)</w:t>
      </w:r>
    </w:p>
    <w:p>
      <w:pPr>
        <w:pStyle w:val="Heading3"/>
        <w:spacing w:after="100" w:before="220"/>
      </w:pPr>
      <w:r>
        <w:t xml:space="preserve">Step 1 — Re-layout the directory and install the layering guard</w:t>
      </w:r>
    </w:p>
    <w:p>
      <w:pPr>
        <w:spacing w:after="90" w:line="264"/>
        <w:jc w:val="left"/>
      </w:pPr>
      <w:r>
        <w:rPr>
          <w:b/>
          <w:bCs/>
          <w:i w:val="false"/>
          <w:iCs w:val="false"/>
        </w:rPr>
        <w:t xml:space="preserve">Implements. </w:t>
      </w:r>
      <w:r>
        <w:rPr>
          <w:b w:val="false"/>
          <w:bCs w:val="false"/>
          <w:i w:val="false"/>
          <w:iCs w:val="false"/>
        </w:rPr>
        <w:t xml:space="preserve">Create </w:t>
      </w:r>
      <w:r>
        <w:rPr>
          <w:rFonts w:ascii="Consolas" w:cs="Consolas" w:eastAsia="Consolas" w:hAnsi="Consolas"/>
          <w:b w:val="false"/>
          <w:bCs w:val="false"/>
          <w:i w:val="false"/>
          <w:iCs w:val="false"/>
          <w:sz w:val="19"/>
          <w:szCs w:val="19"/>
        </w:rPr>
        <w:t xml:space="preserve">core/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background/</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amps/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test/</w:t>
      </w:r>
      <w:r>
        <w:rPr>
          <w:b w:val="false"/>
          <w:bCs w:val="false"/>
          <w:i w:val="false"/>
          <w:iCs w:val="false"/>
        </w:rPr>
        <w:t xml:space="preserve">. Delete </w:t>
      </w:r>
      <w:r>
        <w:rPr>
          <w:rFonts w:ascii="Consolas" w:cs="Consolas" w:eastAsia="Consolas" w:hAnsi="Consolas"/>
          <w:b w:val="false"/>
          <w:bCs w:val="false"/>
          <w:i w:val="false"/>
          <w:iCs w:val="false"/>
          <w:sz w:val="19"/>
          <w:szCs w:val="19"/>
        </w:rPr>
        <w:t xml:space="preserve">Mover_Axisymmetric_SecondOrder</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Physics::TotalParticleAcceleration</w:t>
      </w:r>
      <w:r>
        <w:rPr>
          <w:b w:val="false"/>
          <w:bCs w:val="false"/>
          <w:i w:val="false"/>
          <w:iCs w:val="false"/>
        </w:rPr>
        <w:t xml:space="preserve"> together with every reference to them in </w:t>
      </w:r>
      <w:r>
        <w:rPr>
          <w:rFonts w:ascii="Consolas" w:cs="Consolas" w:eastAsia="Consolas" w:hAnsi="Consolas"/>
          <w:b w:val="false"/>
          <w:bCs w:val="false"/>
          <w:i w:val="false"/>
          <w:iCs w:val="false"/>
          <w:sz w:val="19"/>
          <w:szCs w:val="19"/>
        </w:rPr>
        <w:t xml:space="preserve">SEP3D.h</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main_lib.cpp</w:t>
      </w:r>
      <w:r>
        <w:rPr>
          <w:b w:val="false"/>
          <w:bCs w:val="false"/>
          <w:i w:val="false"/>
          <w:iCs w:val="false"/>
        </w:rPr>
        <w:t xml:space="preserve">. Move </w:t>
      </w:r>
      <w:r>
        <w:rPr>
          <w:rFonts w:ascii="Consolas" w:cs="Consolas" w:eastAsia="Consolas" w:hAnsi="Consolas"/>
          <w:b w:val="false"/>
          <w:bCs w:val="false"/>
          <w:i w:val="false"/>
          <w:iCs w:val="false"/>
          <w:sz w:val="19"/>
          <w:szCs w:val="19"/>
        </w:rPr>
        <w:t xml:space="preserve">GlobalEnergyDistribution</w:t>
      </w:r>
      <w:r>
        <w:rPr>
          <w:b w:val="false"/>
          <w:bCs w:val="false"/>
          <w:i w:val="false"/>
          <w:iCs w:val="false"/>
        </w:rPr>
        <w:t xml:space="preserve"> to </w:t>
      </w:r>
      <w:r>
        <w:rPr>
          <w:rFonts w:ascii="Consolas" w:cs="Consolas" w:eastAsia="Consolas" w:hAnsi="Consolas"/>
          <w:b w:val="false"/>
          <w:bCs w:val="false"/>
          <w:i w:val="false"/>
          <w:iCs w:val="false"/>
          <w:sz w:val="19"/>
          <w:szCs w:val="19"/>
        </w:rPr>
        <w:t xml:space="preserve">amps/amps_sampling.cpp</w:t>
      </w:r>
      <w:r>
        <w:rPr>
          <w:b w:val="false"/>
          <w:bCs w:val="false"/>
          <w:i w:val="false"/>
          <w:iCs w:val="false"/>
        </w:rPr>
        <w:t xml:space="preserve"> unchanged. Split the makefile into </w:t>
      </w:r>
      <w:r>
        <w:rPr>
          <w:rFonts w:ascii="Consolas" w:cs="Consolas" w:eastAsia="Consolas" w:hAnsi="Consolas"/>
          <w:b w:val="false"/>
          <w:bCs w:val="false"/>
          <w:i w:val="false"/>
          <w:iCs w:val="false"/>
          <w:sz w:val="19"/>
          <w:szCs w:val="19"/>
        </w:rPr>
        <w:t xml:space="preserve">CORE_OBJ</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BG_OBJ</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AMPS_OBJ</w:t>
      </w:r>
      <w:r>
        <w:rPr>
          <w:b w:val="false"/>
          <w:bCs w:val="false"/>
          <w:i w:val="false"/>
          <w:iCs w:val="false"/>
        </w:rPr>
        <w:t xml:space="preserve">. Add </w:t>
      </w:r>
      <w:r>
        <w:rPr>
          <w:rFonts w:ascii="Consolas" w:cs="Consolas" w:eastAsia="Consolas" w:hAnsi="Consolas"/>
          <w:b w:val="false"/>
          <w:bCs w:val="false"/>
          <w:i w:val="false"/>
          <w:iCs w:val="false"/>
          <w:sz w:val="19"/>
          <w:szCs w:val="19"/>
        </w:rPr>
        <w:t xml:space="preserve">make check-layering</w:t>
      </w:r>
      <w:r>
        <w:rPr>
          <w:b w:val="false"/>
          <w:bCs w:val="false"/>
          <w:i w:val="false"/>
          <w:iCs w:val="false"/>
        </w:rPr>
        <w:t xml:space="preserve">, which greps </w:t>
      </w:r>
      <w:r>
        <w:rPr>
          <w:rFonts w:ascii="Consolas" w:cs="Consolas" w:eastAsia="Consolas" w:hAnsi="Consolas"/>
          <w:b w:val="false"/>
          <w:bCs w:val="false"/>
          <w:i w:val="false"/>
          <w:iCs w:val="false"/>
          <w:sz w:val="19"/>
          <w:szCs w:val="19"/>
        </w:rPr>
        <w:t xml:space="preserve">core/</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background/</w:t>
      </w:r>
      <w:r>
        <w:rPr>
          <w:b w:val="false"/>
          <w:bCs w:val="false"/>
          <w:i w:val="false"/>
          <w:iCs w:val="false"/>
        </w:rPr>
        <w:t xml:space="preserve"> for </w:t>
      </w:r>
      <w:r>
        <w:rPr>
          <w:rFonts w:ascii="Consolas" w:cs="Consolas" w:eastAsia="Consolas" w:hAnsi="Consolas"/>
          <w:b w:val="false"/>
          <w:bCs w:val="false"/>
          <w:i w:val="false"/>
          <w:iCs w:val="false"/>
          <w:sz w:val="19"/>
          <w:szCs w:val="19"/>
        </w:rPr>
        <w:t xml:space="preserve">pic.h</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mpi.h</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PIC::</w:t>
      </w:r>
      <w:r>
        <w:rPr>
          <w:b w:val="false"/>
          <w:bCs w:val="false"/>
          <w:i w:val="false"/>
          <w:iCs w:val="false"/>
        </w:rPr>
        <w:t xml:space="preserve"> and fails non-zero on a hit. Write </w:t>
      </w:r>
      <w:r>
        <w:rPr>
          <w:rFonts w:ascii="Consolas" w:cs="Consolas" w:eastAsia="Consolas" w:hAnsi="Consolas"/>
          <w:b w:val="false"/>
          <w:bCs w:val="false"/>
          <w:i w:val="false"/>
          <w:iCs w:val="false"/>
          <w:sz w:val="19"/>
          <w:szCs w:val="19"/>
        </w:rPr>
        <w:t xml:space="preserve">MIGRATION_MANIFEST.md</w:t>
      </w:r>
      <w:r>
        <w:rPr>
          <w:b w:val="false"/>
          <w:bCs w:val="false"/>
          <w:i w:val="false"/>
          <w:iCs w:val="false"/>
        </w:rPr>
        <w:t xml:space="preserve"> listing every deleted symbol and its replacement (or "none — retired").</w:t>
      </w:r>
    </w:p>
    <w:p>
      <w:pPr>
        <w:spacing w:after="90" w:line="264"/>
        <w:jc w:val="left"/>
      </w:pPr>
      <w:r>
        <w:rPr>
          <w:b/>
          <w:bCs/>
          <w:i w:val="false"/>
          <w:iCs w:val="false"/>
        </w:rPr>
        <w:t xml:space="preserve">New tests. </w:t>
      </w:r>
      <w:r>
        <w:rPr>
          <w:b w:val="false"/>
          <w:bCs w:val="false"/>
          <w:i w:val="false"/>
          <w:iCs w:val="false"/>
        </w:rPr>
        <w:t xml:space="preserve">LAY01: </w:t>
      </w:r>
      <w:r>
        <w:rPr>
          <w:rFonts w:ascii="Consolas" w:cs="Consolas" w:eastAsia="Consolas" w:hAnsi="Consolas"/>
          <w:b w:val="false"/>
          <w:bCs w:val="false"/>
          <w:i w:val="false"/>
          <w:iCs w:val="false"/>
          <w:sz w:val="19"/>
          <w:szCs w:val="19"/>
        </w:rPr>
        <w:t xml:space="preserve">make check-layering</w:t>
      </w:r>
      <w:r>
        <w:rPr>
          <w:b w:val="false"/>
          <w:bCs w:val="false"/>
          <w:i w:val="false"/>
          <w:iCs w:val="false"/>
        </w:rPr>
        <w:t xml:space="preserve"> passes on the clean tree, and fails when a scratch file containing </w:t>
      </w:r>
      <w:r>
        <w:rPr>
          <w:rFonts w:ascii="Consolas" w:cs="Consolas" w:eastAsia="Consolas" w:hAnsi="Consolas"/>
          <w:b w:val="false"/>
          <w:bCs w:val="false"/>
          <w:i w:val="false"/>
          <w:iCs w:val="false"/>
          <w:sz w:val="19"/>
          <w:szCs w:val="19"/>
        </w:rPr>
        <w:t xml:space="preserve">#include "pic.h"</w:t>
      </w:r>
      <w:r>
        <w:rPr>
          <w:b w:val="false"/>
          <w:bCs w:val="false"/>
          <w:i w:val="false"/>
          <w:iCs w:val="false"/>
        </w:rPr>
        <w:t xml:space="preserve"> is dropped into </w:t>
      </w:r>
      <w:r>
        <w:rPr>
          <w:rFonts w:ascii="Consolas" w:cs="Consolas" w:eastAsia="Consolas" w:hAnsi="Consolas"/>
          <w:b w:val="false"/>
          <w:bCs w:val="false"/>
          <w:i w:val="false"/>
          <w:iCs w:val="false"/>
          <w:sz w:val="19"/>
          <w:szCs w:val="19"/>
        </w:rPr>
        <w:t xml:space="preserve">core/</w:t>
      </w:r>
      <w:r>
        <w:rPr>
          <w:b w:val="false"/>
          <w:bCs w:val="false"/>
          <w:i w:val="false"/>
          <w:iCs w:val="false"/>
        </w:rPr>
        <w:t xml:space="preserve"> (the test creates and removes it). BLD01: </w:t>
      </w:r>
      <w:r>
        <w:rPr>
          <w:rFonts w:ascii="Consolas" w:cs="Consolas" w:eastAsia="Consolas" w:hAnsi="Consolas"/>
          <w:b w:val="false"/>
          <w:bCs w:val="false"/>
          <w:i w:val="false"/>
          <w:iCs w:val="false"/>
          <w:sz w:val="19"/>
          <w:szCs w:val="19"/>
        </w:rPr>
        <w:t xml:space="preserve">make lib</w:t>
      </w:r>
      <w:r>
        <w:rPr>
          <w:b w:val="false"/>
          <w:bCs w:val="false"/>
          <w:i w:val="false"/>
          <w:iCs w:val="false"/>
        </w:rPr>
        <w:t xml:space="preserve"> produces </w:t>
      </w:r>
      <w:r>
        <w:rPr>
          <w:rFonts w:ascii="Consolas" w:cs="Consolas" w:eastAsia="Consolas" w:hAnsi="Consolas"/>
          <w:b w:val="false"/>
          <w:bCs w:val="false"/>
          <w:i w:val="false"/>
          <w:iCs w:val="false"/>
          <w:sz w:val="19"/>
          <w:szCs w:val="19"/>
        </w:rPr>
        <w:t xml:space="preserve">mainlib.a</w:t>
      </w:r>
      <w:r>
        <w:rPr>
          <w:b w:val="false"/>
          <w:bCs w:val="false"/>
          <w:i w:val="false"/>
          <w:iCs w:val="false"/>
        </w:rPr>
        <w:t xml:space="preserve"> and the full AMPS build links an executable with srcSEP3D selected as the application.</w:t>
      </w:r>
    </w:p>
    <w:p>
      <w:pPr>
        <w:spacing w:after="90" w:line="264"/>
        <w:jc w:val="left"/>
      </w:pPr>
      <w:r>
        <w:rPr>
          <w:b/>
          <w:bCs/>
          <w:i w:val="false"/>
          <w:iCs w:val="false"/>
        </w:rPr>
        <w:t xml:space="preserve">Regression gate. </w:t>
      </w:r>
      <w:r>
        <w:rPr>
          <w:b w:val="false"/>
          <w:bCs w:val="false"/>
          <w:i w:val="false"/>
          <w:iCs w:val="false"/>
        </w:rPr>
        <w:t xml:space="preserve">Nothing to regress inside srcSEP3D yet. The gate is external: AMPS must configure and build with every </w:t>
      </w:r>
      <w:r>
        <w:rPr>
          <w:b w:val="false"/>
          <w:bCs w:val="false"/>
          <w:i/>
          <w:iCs/>
        </w:rPr>
        <w:t xml:space="preserve">other</w:t>
      </w:r>
      <w:r>
        <w:rPr>
          <w:b w:val="false"/>
          <w:bCs w:val="false"/>
          <w:i w:val="false"/>
          <w:iCs w:val="false"/>
        </w:rPr>
        <w:t xml:space="preserve"> application selected, and </w:t>
      </w:r>
      <w:r>
        <w:rPr>
          <w:rFonts w:ascii="Consolas" w:cs="Consolas" w:eastAsia="Consolas" w:hAnsi="Consolas"/>
          <w:b w:val="false"/>
          <w:bCs w:val="false"/>
          <w:i w:val="false"/>
          <w:iCs w:val="false"/>
          <w:sz w:val="19"/>
          <w:szCs w:val="19"/>
        </w:rPr>
        <w:t xml:space="preserve">srcSEP</w:t>
      </w:r>
      <w:r>
        <w:rPr>
          <w:b w:val="false"/>
          <w:bCs w:val="false"/>
          <w:i w:val="false"/>
          <w:iCs w:val="false"/>
        </w:rPr>
        <w:t xml:space="preserve">’s own </w:t>
      </w:r>
      <w:r>
        <w:rPr>
          <w:rFonts w:ascii="Consolas" w:cs="Consolas" w:eastAsia="Consolas" w:hAnsi="Consolas"/>
          <w:b w:val="false"/>
          <w:bCs w:val="false"/>
          <w:i w:val="false"/>
          <w:iCs w:val="false"/>
          <w:sz w:val="19"/>
          <w:szCs w:val="19"/>
        </w:rPr>
        <w:t xml:space="preserve">make test</w:t>
      </w:r>
      <w:r>
        <w:rPr>
          <w:b w:val="false"/>
          <w:bCs w:val="false"/>
          <w:i w:val="false"/>
          <w:iCs w:val="false"/>
        </w:rPr>
        <w:t xml:space="preserve"> must pass with its output unchanged.</w:t>
      </w:r>
    </w:p>
    <w:p>
      <w:pPr>
        <w:spacing w:after="160" w:line="264"/>
        <w:jc w:val="left"/>
      </w:pPr>
      <w:r>
        <w:rPr>
          <w:b/>
          <w:bCs/>
          <w:i w:val="false"/>
          <w:iCs w:val="false"/>
        </w:rPr>
        <w:t xml:space="preserve">Why this step can break earlier work. </w:t>
      </w:r>
      <w:r>
        <w:rPr>
          <w:b w:val="false"/>
          <w:bCs w:val="false"/>
          <w:i w:val="false"/>
          <w:iCs w:val="false"/>
        </w:rPr>
        <w:t xml:space="preserve">The retired mover was referenced from three places; removing it can leave a declaration without a definition that only surfaces at link time, and only for some applications. The AMPS-wide build is the cheapest way to find that.</w:t>
      </w:r>
    </w:p>
    <w:p>
      <w:pPr>
        <w:pStyle w:val="Heading3"/>
        <w:spacing w:after="100" w:before="220"/>
      </w:pPr>
      <w:r>
        <w:t xml:space="preserve">Step 2 — Stand up the Stage-1 test harness</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core/sep3d_test_registry.{h,cpp}</w:t>
      </w:r>
      <w:r>
        <w:rPr>
          <w:b w:val="false"/>
          <w:bCs w:val="false"/>
          <w:i w:val="false"/>
          <w:iCs w:val="false"/>
        </w:rPr>
        <w:t xml:space="preserve"> builds a </w:t>
      </w:r>
      <w:r>
        <w:rPr>
          <w:rFonts w:ascii="Consolas" w:cs="Consolas" w:eastAsia="Consolas" w:hAnsi="Consolas"/>
          <w:b w:val="false"/>
          <w:bCs w:val="false"/>
          <w:i w:val="false"/>
          <w:iCs w:val="false"/>
          <w:sz w:val="19"/>
          <w:szCs w:val="19"/>
        </w:rPr>
        <w:t xml:space="preserve">SEP::Testing::Registry</w:t>
      </w:r>
      <w:r>
        <w:rPr>
          <w:b w:val="false"/>
          <w:bCs w:val="false"/>
          <w:i w:val="false"/>
          <w:iCs w:val="false"/>
        </w:rPr>
        <w:t xml:space="preserve"> from per-group registration functions (</w:t>
      </w:r>
      <w:r>
        <w:rPr>
          <w:rFonts w:ascii="Consolas" w:cs="Consolas" w:eastAsia="Consolas" w:hAnsi="Consolas"/>
          <w:b w:val="false"/>
          <w:bCs w:val="false"/>
          <w:i w:val="false"/>
          <w:iCs w:val="false"/>
          <w:sz w:val="19"/>
          <w:szCs w:val="19"/>
        </w:rPr>
        <w:t xml:space="preserve">RegisterMeshTests()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RegisterBackgroundTests()</w:t>
      </w:r>
      <w:r>
        <w:rPr>
          <w:b w:val="false"/>
          <w:bCs w:val="false"/>
          <w:i w:val="false"/>
          <w:iCs w:val="false"/>
        </w:rPr>
        <w:t xml:space="preserve">, …), each currently returning an empty vector. </w:t>
      </w:r>
      <w:r>
        <w:rPr>
          <w:rFonts w:ascii="Consolas" w:cs="Consolas" w:eastAsia="Consolas" w:hAnsi="Consolas"/>
          <w:b w:val="false"/>
          <w:bCs w:val="false"/>
          <w:i w:val="false"/>
          <w:iCs w:val="false"/>
          <w:sz w:val="19"/>
          <w:szCs w:val="19"/>
        </w:rPr>
        <w:t xml:space="preserve">test/stage1.cpp</w:t>
      </w:r>
      <w:r>
        <w:rPr>
          <w:b w:val="false"/>
          <w:bCs w:val="false"/>
          <w:i w:val="false"/>
          <w:iCs w:val="false"/>
        </w:rPr>
        <w:t xml:space="preserve"> provides </w:t>
      </w:r>
      <w:r>
        <w:rPr>
          <w:rFonts w:ascii="Consolas" w:cs="Consolas" w:eastAsia="Consolas" w:hAnsi="Consolas"/>
          <w:b w:val="false"/>
          <w:bCs w:val="false"/>
          <w:i w:val="false"/>
          <w:iCs w:val="false"/>
          <w:sz w:val="19"/>
          <w:szCs w:val="19"/>
        </w:rPr>
        <w:t xml:space="preserve">--list-tests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--test</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--test-group</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--all-tests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--test-json</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--test-junit</w:t>
      </w:r>
      <w:r>
        <w:rPr>
          <w:b w:val="false"/>
          <w:bCs w:val="false"/>
          <w:i w:val="false"/>
          <w:iCs w:val="false"/>
        </w:rPr>
        <w:t xml:space="preserve">. Add </w:t>
      </w:r>
      <w:r>
        <w:rPr>
          <w:rFonts w:ascii="Consolas" w:cs="Consolas" w:eastAsia="Consolas" w:hAnsi="Consolas"/>
          <w:b w:val="false"/>
          <w:bCs w:val="false"/>
          <w:i w:val="false"/>
          <w:iCs w:val="false"/>
          <w:sz w:val="19"/>
          <w:szCs w:val="19"/>
        </w:rPr>
        <w:t xml:space="preserve">make test-stage1</w:t>
      </w:r>
      <w:r>
        <w:rPr>
          <w:b w:val="false"/>
          <w:bCs w:val="false"/>
          <w:i w:val="false"/>
          <w:iCs w:val="false"/>
        </w:rPr>
        <w:t xml:space="preserve">.</w:t>
      </w:r>
    </w:p>
    <w:p>
      <w:pPr>
        <w:spacing w:after="90" w:line="264"/>
        <w:jc w:val="left"/>
      </w:pPr>
      <w:r>
        <w:rPr>
          <w:b/>
          <w:bCs/>
          <w:i w:val="false"/>
          <w:iCs w:val="false"/>
        </w:rPr>
        <w:t xml:space="preserve">New tests. </w:t>
      </w:r>
      <w:r>
        <w:rPr>
          <w:b w:val="false"/>
          <w:bCs w:val="false"/>
          <w:i w:val="false"/>
          <w:iCs w:val="false"/>
        </w:rPr>
        <w:t xml:space="preserve">HARN01: an empty registry lists nothing and exits 0. HARN02: a stub descriptor returning Fail exits non-zero. HARN03: a stub returning Skip exits 0 and prints SKIP explicitly rather than being relabelled Pass. HARN04: the JSON and JUnit writers produce files that parse under an independent parser, and a write to an unwritable path is reported as ERROR with a non-zero exit, not as a warning. These four exist because a harness that cannot distinguish "the prerequisite was missing" from "the physics is wrong" will quietly hide real failures for the next twenty-seven steps.</w:t>
      </w:r>
    </w:p>
    <w:p>
      <w:pPr>
        <w:spacing w:after="90" w:line="264"/>
        <w:jc w:val="left"/>
      </w:pPr>
      <w:r>
        <w:rPr>
          <w:b/>
          <w:bCs/>
          <w:i w:val="false"/>
          <w:iCs w:val="false"/>
        </w:rPr>
        <w:t xml:space="preserve">Regression gate. </w:t>
      </w:r>
      <w:r>
        <w:rPr>
          <w:b w:val="false"/>
          <w:bCs w:val="false"/>
          <w:i w:val="false"/>
          <w:iCs w:val="false"/>
        </w:rPr>
        <w:t xml:space="preserve">LAY01 and BLD01. The Stage-1 binary links only </w:t>
      </w:r>
      <w:r>
        <w:rPr>
          <w:rFonts w:ascii="Consolas" w:cs="Consolas" w:eastAsia="Consolas" w:hAnsi="Consolas"/>
          <w:b w:val="false"/>
          <w:bCs w:val="false"/>
          <w:i w:val="false"/>
          <w:iCs w:val="false"/>
          <w:sz w:val="19"/>
          <w:szCs w:val="19"/>
        </w:rPr>
        <w:t xml:space="preserve">CORE_OBJ</w:t>
      </w:r>
      <w:r>
        <w:rPr>
          <w:b w:val="false"/>
          <w:bCs w:val="false"/>
          <w:i w:val="false"/>
          <w:iCs w:val="false"/>
        </w:rPr>
        <w:t xml:space="preserve">, so this is the first time the L0 boundary is enforced by a linker rather than by grep.</w:t>
      </w:r>
    </w:p>
    <w:p>
      <w:pPr>
        <w:spacing w:after="160" w:line="264"/>
        <w:jc w:val="left"/>
      </w:pPr>
      <w:r>
        <w:rPr>
          <w:b/>
          <w:bCs/>
          <w:i w:val="false"/>
          <w:iCs w:val="false"/>
        </w:rPr>
        <w:t xml:space="preserve">Why this step can break earlier work. </w:t>
      </w:r>
      <w:r>
        <w:rPr>
          <w:b w:val="false"/>
          <w:bCs w:val="false"/>
          <w:i w:val="false"/>
          <w:iCs w:val="false"/>
        </w:rPr>
        <w:t xml:space="preserve">The harness is the first code to include </w:t>
      </w:r>
      <w:r>
        <w:rPr>
          <w:rFonts w:ascii="Consolas" w:cs="Consolas" w:eastAsia="Consolas" w:hAnsi="Consolas"/>
          <w:b w:val="false"/>
          <w:bCs w:val="false"/>
          <w:i w:val="false"/>
          <w:iCs w:val="false"/>
          <w:sz w:val="19"/>
          <w:szCs w:val="19"/>
        </w:rPr>
        <w:t xml:space="preserve">srcSEP/util</w:t>
      </w:r>
      <w:r>
        <w:rPr>
          <w:b w:val="false"/>
          <w:bCs w:val="false"/>
          <w:i w:val="false"/>
          <w:iCs w:val="false"/>
        </w:rPr>
        <w:t xml:space="preserve"> headers. If any of those headers transitively pull an AMPS symbol, the Stage-1 link fails — which is the intended outcome, and the reason to discover it now rather than at Step 21.</w:t>
      </w:r>
    </w:p>
    <w:p>
      <w:pPr>
        <w:pStyle w:val="Heading3"/>
        <w:spacing w:after="100" w:before="220"/>
      </w:pPr>
      <w:r>
        <w:t xml:space="preserve">Step 3 — Compile the reused srcSEP kernels once, into sep_util.a</w:t>
      </w:r>
    </w:p>
    <w:p>
      <w:pPr>
        <w:spacing w:after="90" w:line="264"/>
        <w:jc w:val="left"/>
      </w:pPr>
      <w:r>
        <w:rPr>
          <w:b/>
          <w:bCs/>
          <w:i w:val="false"/>
          <w:iCs w:val="false"/>
        </w:rPr>
        <w:t xml:space="preserve">Implements. </w:t>
      </w:r>
      <w:r>
        <w:rPr>
          <w:b w:val="false"/>
          <w:bCs w:val="false"/>
          <w:i w:val="false"/>
          <w:iCs w:val="false"/>
        </w:rPr>
        <w:t xml:space="preserve">A makefile fragment compiles </w:t>
      </w:r>
      <w:r>
        <w:rPr>
          <w:rFonts w:ascii="Consolas" w:cs="Consolas" w:eastAsia="Consolas" w:hAnsi="Consolas"/>
          <w:b w:val="false"/>
          <w:bCs w:val="false"/>
          <w:i w:val="false"/>
          <w:iCs w:val="false"/>
          <w:sz w:val="19"/>
          <w:szCs w:val="19"/>
        </w:rPr>
        <w:t xml:space="preserve">sep_transport_common</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sep_coefficient_physics</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sep_coefficient_registry</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sep_test_registry</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sep_injection_spectrum</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sep_species_source</w:t>
      </w:r>
      <w:r>
        <w:rPr>
          <w:b w:val="false"/>
          <w:bCs w:val="false"/>
          <w:i w:val="false"/>
          <w:iCs w:val="false"/>
        </w:rPr>
        <w:t xml:space="preserve"> into </w:t>
      </w:r>
      <w:r>
        <w:rPr>
          <w:rFonts w:ascii="Consolas" w:cs="Consolas" w:eastAsia="Consolas" w:hAnsi="Consolas"/>
          <w:b w:val="false"/>
          <w:bCs w:val="false"/>
          <w:i w:val="false"/>
          <w:iCs w:val="false"/>
          <w:sz w:val="19"/>
          <w:szCs w:val="19"/>
        </w:rPr>
        <w:t xml:space="preserve">sep_util.a</w:t>
      </w:r>
      <w:r>
        <w:rPr>
          <w:b w:val="false"/>
          <w:bCs w:val="false"/>
          <w:i w:val="false"/>
          <w:iCs w:val="false"/>
        </w:rPr>
        <w:t xml:space="preserve">. Both applications link it; srcSEP stops compiling its own copies.</w:t>
      </w:r>
    </w:p>
    <w:p>
      <w:pPr>
        <w:spacing w:after="90" w:line="264"/>
        <w:jc w:val="left"/>
      </w:pPr>
      <w:r>
        <w:rPr>
          <w:b/>
          <w:bCs/>
          <w:i w:val="false"/>
          <w:iCs w:val="false"/>
        </w:rPr>
        <w:t xml:space="preserve">New tests. </w:t>
      </w:r>
      <w:r>
        <w:rPr>
          <w:b w:val="false"/>
          <w:bCs w:val="false"/>
          <w:i w:val="false"/>
          <w:iCs w:val="false"/>
        </w:rPr>
        <w:t xml:space="preserve">UTIL01: </w:t>
      </w:r>
      <w:r>
        <w:rPr>
          <w:rFonts w:ascii="Consolas" w:cs="Consolas" w:eastAsia="Consolas" w:hAnsi="Consolas"/>
          <w:b w:val="false"/>
          <w:bCs w:val="false"/>
          <w:i w:val="false"/>
          <w:iCs w:val="false"/>
          <w:sz w:val="19"/>
          <w:szCs w:val="19"/>
        </w:rPr>
        <w:t xml:space="preserve">nm</w:t>
      </w:r>
      <w:r>
        <w:rPr>
          <w:b w:val="false"/>
          <w:bCs w:val="false"/>
          <w:i w:val="false"/>
          <w:iCs w:val="false"/>
        </w:rPr>
        <w:t xml:space="preserve"> confirms each reused symbol is defined exactly once in the archive and is not also emitted by either application’s objects. UTIL02: a frozen record. Stage-1 calls a fixed set of kernels — momentum/speed round trip at six momenta, </w:t>
      </w:r>
      <w:r>
        <w:rPr>
          <w:rFonts w:ascii="Consolas" w:cs="Consolas" w:eastAsia="Consolas" w:hAnsi="Consolas"/>
          <w:b w:val="false"/>
          <w:bCs w:val="false"/>
          <w:i w:val="false"/>
          <w:iCs w:val="false"/>
          <w:sz w:val="19"/>
          <w:szCs w:val="19"/>
        </w:rPr>
        <w:t xml:space="preserve">SelectSubstep</w:t>
      </w:r>
      <w:r>
        <w:rPr>
          <w:b w:val="false"/>
          <w:bCs w:val="false"/>
          <w:i w:val="false"/>
          <w:iCs w:val="false"/>
        </w:rPr>
        <w:t xml:space="preserve"> over a fixed limit set, </w:t>
      </w:r>
      <w:r>
        <w:rPr>
          <w:rFonts w:ascii="Consolas" w:cs="Consolas" w:eastAsia="Consolas" w:hAnsi="Consolas"/>
          <w:b w:val="false"/>
          <w:bCs w:val="false"/>
          <w:i w:val="false"/>
          <w:iCs w:val="false"/>
          <w:sz w:val="19"/>
          <w:szCs w:val="19"/>
        </w:rPr>
        <w:t xml:space="preserve">EvaluateJokipiiSlab</w:t>
      </w:r>
      <w:r>
        <w:rPr>
          <w:b w:val="false"/>
          <w:bCs w:val="false"/>
          <w:i w:val="false"/>
          <w:iCs w:val="false"/>
        </w:rPr>
        <w:t xml:space="preserve"> at twelve (input, μ) pairs, </w:t>
      </w:r>
      <w:r>
        <w:rPr>
          <w:rFonts w:ascii="Consolas" w:cs="Consolas" w:eastAsia="Consolas" w:hAnsi="Consolas"/>
          <w:b w:val="false"/>
          <w:bCs w:val="false"/>
          <w:i w:val="false"/>
          <w:iCs w:val="false"/>
          <w:sz w:val="19"/>
          <w:szCs w:val="19"/>
        </w:rPr>
        <w:t xml:space="preserve">IntegrateSpatialDiffusion</w:t>
      </w:r>
      <w:r>
        <w:rPr>
          <w:b w:val="false"/>
          <w:bCs w:val="false"/>
          <w:i w:val="false"/>
          <w:iCs w:val="false"/>
        </w:rPr>
        <w:t xml:space="preserve"> at four speeds, and </w:t>
      </w:r>
      <w:r>
        <w:rPr>
          <w:rFonts w:ascii="Consolas" w:cs="Consolas" w:eastAsia="Consolas" w:hAnsi="Consolas"/>
          <w:b w:val="false"/>
          <w:bCs w:val="false"/>
          <w:i w:val="false"/>
          <w:iCs w:val="false"/>
          <w:sz w:val="19"/>
          <w:szCs w:val="19"/>
        </w:rPr>
        <w:t xml:space="preserve">ConfigurationFingerprint</w:t>
      </w:r>
      <w:r>
        <w:rPr>
          <w:b w:val="false"/>
          <w:bCs w:val="false"/>
          <w:i w:val="false"/>
          <w:iCs w:val="false"/>
        </w:rPr>
        <w:t xml:space="preserve"> for eight configurations — and writes </w:t>
      </w:r>
      <w:r>
        <w:rPr>
          <w:rFonts w:ascii="Consolas" w:cs="Consolas" w:eastAsia="Consolas" w:hAnsi="Consolas"/>
          <w:b w:val="false"/>
          <w:bCs w:val="false"/>
          <w:i w:val="false"/>
          <w:iCs w:val="false"/>
          <w:sz w:val="19"/>
          <w:szCs w:val="19"/>
        </w:rPr>
        <w:t xml:space="preserve">frozen/S03_kernels.txt</w:t>
      </w:r>
      <w:r>
        <w:rPr>
          <w:b w:val="false"/>
          <w:bCs w:val="false"/>
          <w:i w:val="false"/>
          <w:iCs w:val="false"/>
        </w:rPr>
        <w:t xml:space="preserve"> with full </w:t>
      </w:r>
      <w:r>
        <w:rPr>
          <w:rFonts w:ascii="Consolas" w:cs="Consolas" w:eastAsia="Consolas" w:hAnsi="Consolas"/>
          <w:b w:val="false"/>
          <w:bCs w:val="false"/>
          <w:i w:val="false"/>
          <w:iCs w:val="false"/>
          <w:sz w:val="19"/>
          <w:szCs w:val="19"/>
        </w:rPr>
        <w:t xml:space="preserve">%.17g</w:t>
      </w:r>
      <w:r>
        <w:rPr>
          <w:b w:val="false"/>
          <w:bCs w:val="false"/>
          <w:i w:val="false"/>
          <w:iCs w:val="false"/>
        </w:rPr>
        <w:t xml:space="preserve"> precision. The values are cross-checked once, by hand, against the same calls made from srcSEP’s own test binary.</w:t>
      </w:r>
    </w:p>
    <w:p>
      <w:pPr>
        <w:spacing w:after="90" w:line="264"/>
        <w:jc w:val="left"/>
      </w:pPr>
      <w:r>
        <w:rPr>
          <w:b/>
          <w:bCs/>
          <w:i w:val="false"/>
          <w:iCs w:val="false"/>
        </w:rPr>
        <w:t xml:space="preserve">Regression gate. </w:t>
      </w:r>
      <w:r>
        <w:rPr>
          <w:b w:val="false"/>
          <w:bCs w:val="false"/>
          <w:i w:val="false"/>
          <w:iCs w:val="false"/>
        </w:rPr>
        <w:t xml:space="preserve">srcSEP’s complete </w:t>
      </w:r>
      <w:r>
        <w:rPr>
          <w:rFonts w:ascii="Consolas" w:cs="Consolas" w:eastAsia="Consolas" w:hAnsi="Consolas"/>
          <w:b w:val="false"/>
          <w:bCs w:val="false"/>
          <w:i w:val="false"/>
          <w:iCs w:val="false"/>
          <w:sz w:val="19"/>
          <w:szCs w:val="19"/>
        </w:rPr>
        <w:t xml:space="preserve">make test</w:t>
      </w:r>
      <w:r>
        <w:rPr>
          <w:b w:val="false"/>
          <w:bCs w:val="false"/>
          <w:i w:val="false"/>
          <w:iCs w:val="false"/>
        </w:rPr>
        <w:t xml:space="preserve"> — every </w:t>
      </w:r>
      <w:r>
        <w:rPr>
          <w:rFonts w:ascii="Consolas" w:cs="Consolas" w:eastAsia="Consolas" w:hAnsi="Consolas"/>
          <w:b w:val="false"/>
          <w:bCs w:val="false"/>
          <w:i w:val="false"/>
          <w:iCs w:val="false"/>
          <w:sz w:val="19"/>
          <w:szCs w:val="19"/>
        </w:rPr>
        <w:t xml:space="preserve">test-*-unit</w:t>
      </w:r>
      <w:r>
        <w:rPr>
          <w:b w:val="false"/>
          <w:bCs w:val="false"/>
          <w:i w:val="false"/>
          <w:iCs w:val="false"/>
        </w:rPr>
        <w:t xml:space="preserve"> target — must pass with unchanged results, because its objects are now produced by a different rule.</w:t>
      </w:r>
    </w:p>
    <w:p>
      <w:pPr>
        <w:spacing w:after="160" w:line="264"/>
        <w:jc w:val="left"/>
      </w:pPr>
      <w:r>
        <w:rPr>
          <w:b/>
          <w:bCs/>
          <w:i w:val="false"/>
          <w:iCs w:val="false"/>
        </w:rPr>
        <w:t xml:space="preserve">Why this step can break earlier work. </w:t>
      </w:r>
      <w:r>
        <w:rPr>
          <w:b w:val="false"/>
          <w:bCs w:val="false"/>
          <w:i w:val="false"/>
          <w:iCs w:val="false"/>
        </w:rPr>
        <w:t xml:space="preserve">Moving compilation into a shared archive changes the flags those files are built with. A different optimisation level, a stray </w:t>
      </w:r>
      <w:r>
        <w:rPr>
          <w:rFonts w:ascii="Consolas" w:cs="Consolas" w:eastAsia="Consolas" w:hAnsi="Consolas"/>
          <w:b w:val="false"/>
          <w:bCs w:val="false"/>
          <w:i w:val="false"/>
          <w:iCs w:val="false"/>
          <w:sz w:val="19"/>
          <w:szCs w:val="19"/>
        </w:rPr>
        <w:t xml:space="preserve">-ffast-math</w:t>
      </w:r>
      <w:r>
        <w:rPr>
          <w:b w:val="false"/>
          <w:bCs w:val="false"/>
          <w:i w:val="false"/>
          <w:iCs w:val="false"/>
        </w:rPr>
        <w:t xml:space="preserve">, or a different </w:t>
      </w:r>
      <w:r>
        <w:rPr>
          <w:rFonts w:ascii="Consolas" w:cs="Consolas" w:eastAsia="Consolas" w:hAnsi="Consolas"/>
          <w:b w:val="false"/>
          <w:bCs w:val="false"/>
          <w:i w:val="false"/>
          <w:iCs w:val="false"/>
          <w:sz w:val="19"/>
          <w:szCs w:val="19"/>
        </w:rPr>
        <w:t xml:space="preserve">NDEBUG</w:t>
      </w:r>
      <w:r>
        <w:rPr>
          <w:b w:val="false"/>
          <w:bCs w:val="false"/>
          <w:i w:val="false"/>
          <w:iCs w:val="false"/>
        </w:rPr>
        <w:t xml:space="preserve"> state will not break a build and will not break a tolerance-based test, but it will change the last few bits of an adaptive quadrature. UTIL02’s byte-exact frozen record is the only thing that detects it, and it is why the record is frozen at this step rather than later.</w:t>
      </w:r>
    </w:p>
    <w:p>
      <w:pPr>
        <w:pStyle w:val="Heading3"/>
        <w:spacing w:after="100" w:before="220"/>
      </w:pPr>
      <w:r>
        <w:t xml:space="preserve">Step 4 — Relocate SWCME — move only, no content change</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git mv srcSEP/swcme src/models/swcme</w:t>
      </w:r>
      <w:r>
        <w:rPr>
          <w:b w:val="false"/>
          <w:bCs w:val="false"/>
          <w:i w:val="false"/>
          <w:iCs w:val="false"/>
        </w:rPr>
        <w:t xml:space="preserve"> as a single commit containing nothing else. No shims, no makefile, no include-path edits.</w:t>
      </w:r>
    </w:p>
    <w:p>
      <w:pPr>
        <w:spacing w:after="90" w:line="264"/>
        <w:jc w:val="left"/>
      </w:pPr>
      <w:r>
        <w:rPr>
          <w:b/>
          <w:bCs/>
          <w:i w:val="false"/>
          <w:iCs w:val="false"/>
        </w:rPr>
        <w:t xml:space="preserve">New tests. </w:t>
      </w:r>
      <w:r>
        <w:rPr>
          <w:b w:val="false"/>
          <w:bCs w:val="false"/>
          <w:i w:val="false"/>
          <w:iCs w:val="false"/>
        </w:rPr>
        <w:t xml:space="preserve">MOV01: </w:t>
      </w:r>
      <w:r>
        <w:rPr>
          <w:rFonts w:ascii="Consolas" w:cs="Consolas" w:eastAsia="Consolas" w:hAnsi="Consolas"/>
          <w:b w:val="false"/>
          <w:bCs w:val="false"/>
          <w:i w:val="false"/>
          <w:iCs w:val="false"/>
          <w:sz w:val="19"/>
          <w:szCs w:val="19"/>
        </w:rPr>
        <w:t xml:space="preserve">git show --stat -M100% HEAD</w:t>
      </w:r>
      <w:r>
        <w:rPr>
          <w:b w:val="false"/>
          <w:bCs w:val="false"/>
          <w:i w:val="false"/>
          <w:iCs w:val="false"/>
        </w:rPr>
        <w:t xml:space="preserve"> reports </w:t>
      </w:r>
      <w:r>
        <w:rPr>
          <w:rFonts w:ascii="Consolas" w:cs="Consolas" w:eastAsia="Consolas" w:hAnsi="Consolas"/>
          <w:b w:val="false"/>
          <w:bCs w:val="false"/>
          <w:i w:val="false"/>
          <w:iCs w:val="false"/>
          <w:sz w:val="19"/>
          <w:szCs w:val="19"/>
        </w:rPr>
        <w:t xml:space="preserve">R100</w:t>
      </w:r>
      <w:r>
        <w:rPr>
          <w:b w:val="false"/>
          <w:bCs w:val="false"/>
          <w:i w:val="false"/>
          <w:iCs w:val="false"/>
        </w:rPr>
        <w:t xml:space="preserve"> for every file and the commit contains zero content diff. This is a test of the move itself, and it is the reason the shims are deferred to Step 5 — a surviving file at the old path prevents git from pairing the deletion with the addition, and rename detection fails, permanently breaking </w:t>
      </w:r>
      <w:r>
        <w:rPr>
          <w:rFonts w:ascii="Consolas" w:cs="Consolas" w:eastAsia="Consolas" w:hAnsi="Consolas"/>
          <w:b w:val="false"/>
          <w:bCs w:val="false"/>
          <w:i w:val="false"/>
          <w:iCs w:val="false"/>
          <w:sz w:val="19"/>
          <w:szCs w:val="19"/>
        </w:rPr>
        <w:t xml:space="preserve">git log --follow</w:t>
      </w:r>
      <w:r>
        <w:rPr>
          <w:b w:val="false"/>
          <w:bCs w:val="false"/>
          <w:i w:val="false"/>
          <w:iCs w:val="false"/>
        </w:rPr>
        <w:t xml:space="preserve"> across the move.</w:t>
      </w:r>
    </w:p>
    <w:p>
      <w:pPr>
        <w:spacing w:after="90" w:line="264"/>
        <w:jc w:val="left"/>
      </w:pPr>
      <w:r>
        <w:rPr>
          <w:b/>
          <w:bCs/>
          <w:i w:val="false"/>
          <w:iCs w:val="false"/>
        </w:rPr>
        <w:t xml:space="preserve">Regression gate. </w:t>
      </w:r>
      <w:r>
        <w:rPr>
          <w:b w:val="false"/>
          <w:bCs w:val="false"/>
          <w:i w:val="false"/>
          <w:iCs w:val="false"/>
        </w:rPr>
        <w:t xml:space="preserve">SWCME’s own suite, run from its new location: </w:t>
      </w:r>
      <w:r>
        <w:rPr>
          <w:rFonts w:ascii="Consolas" w:cs="Consolas" w:eastAsia="Consolas" w:hAnsi="Consolas"/>
          <w:b w:val="false"/>
          <w:bCs w:val="false"/>
          <w:i w:val="false"/>
          <w:iCs w:val="false"/>
          <w:sz w:val="19"/>
          <w:szCs w:val="19"/>
        </w:rPr>
        <w:t xml:space="preserve">./output/test_swcme --all</w:t>
      </w:r>
      <w:r>
        <w:rPr>
          <w:b w:val="false"/>
          <w:bCs w:val="false"/>
          <w:i w:val="false"/>
          <w:iCs w:val="false"/>
        </w:rPr>
        <w:t xml:space="preserve">, with particular attention to PST04, PST05, PST07, OUT01–OUT08, CFG01–CFG04, SHK05 and SHK12. Plus srcSEP’s </w:t>
      </w:r>
      <w:r>
        <w:rPr>
          <w:rFonts w:ascii="Consolas" w:cs="Consolas" w:eastAsia="Consolas" w:hAnsi="Consolas"/>
          <w:b w:val="false"/>
          <w:bCs w:val="false"/>
          <w:i w:val="false"/>
          <w:iCs w:val="false"/>
          <w:sz w:val="19"/>
          <w:szCs w:val="19"/>
        </w:rPr>
        <w:t xml:space="preserve">make test</w:t>
      </w:r>
      <w:r>
        <w:rPr>
          <w:b w:val="false"/>
          <w:bCs w:val="false"/>
          <w:i w:val="false"/>
          <w:iCs w:val="false"/>
        </w:rPr>
        <w:t xml:space="preserve"> and the AMPS-wide build.</w:t>
      </w:r>
    </w:p>
    <w:p>
      <w:pPr>
        <w:spacing w:after="160" w:line="264"/>
        <w:jc w:val="left"/>
      </w:pPr>
      <w:r>
        <w:rPr>
          <w:b/>
          <w:bCs/>
          <w:i w:val="false"/>
          <w:iCs w:val="false"/>
        </w:rPr>
        <w:t xml:space="preserve">Why this step can break earlier work. </w:t>
      </w:r>
      <w:r>
        <w:rPr>
          <w:b w:val="false"/>
          <w:bCs w:val="false"/>
          <w:i w:val="false"/>
          <w:iCs w:val="false"/>
        </w:rPr>
        <w:t xml:space="preserve">SWCME’s test makefile, its three demonstration programs, and its validation runners all use relative paths whose depth changed. Because the commit contains no content change, any failure is by construction a path problem and not a physics problem — which is exactly the property that makes the isolated move worth the extra commit.</w:t>
      </w:r>
    </w:p>
    <w:p>
      <w:pPr>
        <w:pStyle w:val="Heading3"/>
        <w:spacing w:after="100" w:before="220"/>
      </w:pPr>
      <w:r>
        <w:t xml:space="preserve">Step 5 — Build SWCME as a shared library and add the srcSEP shims</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src/models/swcme/makefile</w:t>
      </w:r>
      <w:r>
        <w:rPr>
          <w:b w:val="false"/>
          <w:bCs w:val="false"/>
          <w:i w:val="false"/>
          <w:iCs w:val="false"/>
        </w:rPr>
        <w:t xml:space="preserve"> produces </w:t>
      </w:r>
      <w:r>
        <w:rPr>
          <w:rFonts w:ascii="Consolas" w:cs="Consolas" w:eastAsia="Consolas" w:hAnsi="Consolas"/>
          <w:b w:val="false"/>
          <w:bCs w:val="false"/>
          <w:i w:val="false"/>
          <w:iCs w:val="false"/>
          <w:sz w:val="19"/>
          <w:szCs w:val="19"/>
        </w:rPr>
        <w:t xml:space="preserve">swcme.a</w:t>
      </w:r>
      <w:r>
        <w:rPr>
          <w:b w:val="false"/>
          <w:bCs w:val="false"/>
          <w:i w:val="false"/>
          <w:iCs w:val="false"/>
        </w:rPr>
        <w:t xml:space="preserve"> from </w:t>
      </w:r>
      <w:r>
        <w:rPr>
          <w:rFonts w:ascii="Consolas" w:cs="Consolas" w:eastAsia="Consolas" w:hAnsi="Consolas"/>
          <w:b w:val="false"/>
          <w:bCs w:val="false"/>
          <w:i w:val="false"/>
          <w:iCs w:val="false"/>
          <w:sz w:val="19"/>
          <w:szCs w:val="19"/>
        </w:rPr>
        <w:t xml:space="preserve">swcme3d.cpp</w:t>
      </w:r>
      <w:r>
        <w:rPr>
          <w:b w:val="false"/>
          <w:bCs w:val="false"/>
          <w:i w:val="false"/>
          <w:iCs w:val="false"/>
        </w:rPr>
        <w:t xml:space="preserve"> with the project’s standard flags; it is registered in the top-level AMPS makefile beside the other </w:t>
      </w:r>
      <w:r>
        <w:rPr>
          <w:rFonts w:ascii="Consolas" w:cs="Consolas" w:eastAsia="Consolas" w:hAnsi="Consolas"/>
          <w:b w:val="false"/>
          <w:bCs w:val="false"/>
          <w:i w:val="false"/>
          <w:iCs w:val="false"/>
          <w:sz w:val="19"/>
          <w:szCs w:val="19"/>
        </w:rPr>
        <w:t xml:space="preserve">src/models</w:t>
      </w:r>
      <w:r>
        <w:rPr>
          <w:b w:val="false"/>
          <w:bCs w:val="false"/>
          <w:i w:val="false"/>
          <w:iCs w:val="false"/>
        </w:rPr>
        <w:t xml:space="preserve"> libraries. Forwarding headers appear at </w:t>
      </w:r>
      <w:r>
        <w:rPr>
          <w:rFonts w:ascii="Consolas" w:cs="Consolas" w:eastAsia="Consolas" w:hAnsi="Consolas"/>
          <w:b w:val="false"/>
          <w:bCs w:val="false"/>
          <w:i w:val="false"/>
          <w:iCs w:val="false"/>
          <w:sz w:val="19"/>
          <w:szCs w:val="19"/>
        </w:rPr>
        <w:t xml:space="preserve">srcSEP/swcme/*.hpp</w:t>
      </w:r>
      <w:r>
        <w:rPr>
          <w:b w:val="false"/>
          <w:bCs w:val="false"/>
          <w:i w:val="false"/>
          <w:iCs w:val="false"/>
        </w:rPr>
        <w:t xml:space="preserve">, each a two-line include plus a </w:t>
      </w:r>
      <w:r>
        <w:rPr>
          <w:rFonts w:ascii="Consolas" w:cs="Consolas" w:eastAsia="Consolas" w:hAnsi="Consolas"/>
          <w:b w:val="false"/>
          <w:bCs w:val="false"/>
          <w:i w:val="false"/>
          <w:iCs w:val="false"/>
          <w:sz w:val="19"/>
          <w:szCs w:val="19"/>
        </w:rPr>
        <w:t xml:space="preserve">#pragma message</w:t>
      </w:r>
      <w:r>
        <w:rPr>
          <w:b w:val="false"/>
          <w:bCs w:val="false"/>
          <w:i w:val="false"/>
          <w:iCs w:val="false"/>
        </w:rPr>
        <w:t xml:space="preserve"> deprecation note. </w:t>
      </w:r>
      <w:r>
        <w:rPr>
          <w:rFonts w:ascii="Consolas" w:cs="Consolas" w:eastAsia="Consolas" w:hAnsi="Consolas"/>
          <w:b w:val="false"/>
          <w:bCs w:val="false"/>
          <w:i w:val="false"/>
          <w:iCs w:val="false"/>
          <w:sz w:val="19"/>
          <w:szCs w:val="19"/>
        </w:rPr>
        <w:t xml:space="preserve">MIGRATION_MANIFEST.md</w:t>
      </w:r>
      <w:r>
        <w:rPr>
          <w:b w:val="false"/>
          <w:bCs w:val="false"/>
          <w:i w:val="false"/>
          <w:iCs w:val="false"/>
        </w:rPr>
        <w:t xml:space="preserve"> records the mapping and the release in which the shims are removed.</w:t>
      </w:r>
    </w:p>
    <w:p>
      <w:pPr>
        <w:spacing w:after="90" w:line="264"/>
        <w:jc w:val="left"/>
      </w:pPr>
      <w:r>
        <w:rPr>
          <w:b/>
          <w:bCs/>
          <w:i w:val="false"/>
          <w:iCs w:val="false"/>
        </w:rPr>
        <w:t xml:space="preserve">New tests. </w:t>
      </w:r>
      <w:r>
        <w:rPr>
          <w:b w:val="false"/>
          <w:bCs w:val="false"/>
          <w:i w:val="false"/>
          <w:iCs w:val="false"/>
        </w:rPr>
        <w:t xml:space="preserve">SWC01: a Stage-1 translation unit includes the new path, constructs </w:t>
      </w:r>
      <w:r>
        <w:rPr>
          <w:rFonts w:ascii="Consolas" w:cs="Consolas" w:eastAsia="Consolas" w:hAnsi="Consolas"/>
          <w:b w:val="false"/>
          <w:bCs w:val="false"/>
          <w:i w:val="false"/>
          <w:iCs w:val="false"/>
          <w:sz w:val="19"/>
          <w:szCs w:val="19"/>
        </w:rPr>
        <w:t xml:space="preserve">Interface3D</w:t>
      </w:r>
      <w:r>
        <w:rPr>
          <w:b w:val="false"/>
          <w:bCs w:val="false"/>
          <w:i w:val="false"/>
          <w:iCs w:val="false"/>
        </w:rPr>
        <w:t xml:space="preserve"> with default parameters, prepares a state at t = 6 h, evaluates </w:t>
      </w:r>
      <w:r>
        <w:rPr>
          <w:rFonts w:ascii="Consolas" w:cs="Consolas" w:eastAsia="Consolas" w:hAnsi="Consolas"/>
          <w:b w:val="false"/>
          <w:bCs w:val="false"/>
          <w:i w:val="false"/>
          <w:iCs w:val="false"/>
          <w:sz w:val="19"/>
          <w:szCs w:val="19"/>
        </w:rPr>
        <w:t xml:space="preserve">BackgroundState</w:t>
      </w:r>
      <w:r>
        <w:rPr>
          <w:b w:val="false"/>
          <w:bCs w:val="false"/>
          <w:i w:val="false"/>
          <w:iCs w:val="false"/>
        </w:rPr>
        <w:t xml:space="preserve"> at five fixed positions, and writes </w:t>
      </w:r>
      <w:r>
        <w:rPr>
          <w:rFonts w:ascii="Consolas" w:cs="Consolas" w:eastAsia="Consolas" w:hAnsi="Consolas"/>
          <w:b w:val="false"/>
          <w:bCs w:val="false"/>
          <w:i w:val="false"/>
          <w:iCs w:val="false"/>
          <w:sz w:val="19"/>
          <w:szCs w:val="19"/>
        </w:rPr>
        <w:t xml:space="preserve">frozen/S05_swcme.txt</w:t>
      </w:r>
      <w:r>
        <w:rPr>
          <w:b w:val="false"/>
          <w:bCs w:val="false"/>
          <w:i w:val="false"/>
          <w:iCs w:val="false"/>
        </w:rPr>
        <w:t xml:space="preserve"> at full precision. SWC02: the same translation unit compiled against the old shim path must produce a byte-identical record and must emit the deprecation message.</w:t>
      </w:r>
    </w:p>
    <w:p>
      <w:pPr>
        <w:spacing w:after="90" w:line="264"/>
        <w:jc w:val="left"/>
      </w:pPr>
      <w:r>
        <w:rPr>
          <w:b/>
          <w:bCs/>
          <w:i w:val="false"/>
          <w:iCs w:val="false"/>
        </w:rPr>
        <w:t xml:space="preserve">Regression gate. </w:t>
      </w:r>
      <w:r>
        <w:rPr>
          <w:b w:val="false"/>
          <w:bCs w:val="false"/>
          <w:i w:val="false"/>
          <w:iCs w:val="false"/>
        </w:rPr>
        <w:t xml:space="preserve">Step 4’s complete SWCME suite, now built against </w:t>
      </w:r>
      <w:r>
        <w:rPr>
          <w:rFonts w:ascii="Consolas" w:cs="Consolas" w:eastAsia="Consolas" w:hAnsi="Consolas"/>
          <w:b w:val="false"/>
          <w:bCs w:val="false"/>
          <w:i w:val="false"/>
          <w:iCs w:val="false"/>
          <w:sz w:val="19"/>
          <w:szCs w:val="19"/>
        </w:rPr>
        <w:t xml:space="preserve">swcme.a</w:t>
      </w:r>
      <w:r>
        <w:rPr>
          <w:b w:val="false"/>
          <w:bCs w:val="false"/>
          <w:i w:val="false"/>
          <w:iCs w:val="false"/>
        </w:rPr>
        <w:t xml:space="preserve"> rather than per-application objects; srcSEP’s </w:t>
      </w:r>
      <w:r>
        <w:rPr>
          <w:rFonts w:ascii="Consolas" w:cs="Consolas" w:eastAsia="Consolas" w:hAnsi="Consolas"/>
          <w:b w:val="false"/>
          <w:bCs w:val="false"/>
          <w:i w:val="false"/>
          <w:iCs w:val="false"/>
          <w:sz w:val="19"/>
          <w:szCs w:val="19"/>
        </w:rPr>
        <w:t xml:space="preserve">make test</w:t>
      </w:r>
      <w:r>
        <w:rPr>
          <w:b w:val="false"/>
          <w:bCs w:val="false"/>
          <w:i w:val="false"/>
          <w:iCs w:val="false"/>
        </w:rPr>
        <w:t xml:space="preserve"> compiling through the shims; UTIL02.</w:t>
      </w:r>
    </w:p>
    <w:p>
      <w:pPr>
        <w:spacing w:after="160" w:line="264"/>
        <w:jc w:val="left"/>
      </w:pPr>
      <w:r>
        <w:rPr>
          <w:b/>
          <w:bCs/>
          <w:i w:val="false"/>
          <w:iCs w:val="false"/>
        </w:rPr>
        <w:t xml:space="preserve">Why this step can break earlier work. </w:t>
      </w:r>
      <w:r>
        <w:rPr>
          <w:b w:val="false"/>
          <w:bCs w:val="false"/>
          <w:i w:val="false"/>
          <w:iCs w:val="false"/>
        </w:rPr>
        <w:t xml:space="preserve">This is the step where the flag hazard flagged at Step 3 actually bites. SWCME was previously compiled with srcSEP’s application flags and is now compiled with the model-library flags. SHK05 compares against an 80-digit independent reference at a 2×10⁻⁹ relative tolerance and SHK12 at 2×10⁻⁷; those two, plus SWC01’s frozen record, are the specific gates that will detect a flag-induced numerical change. A tolerance-only test suite would pass and the problem would surface months later as an unexplained disagreement in Stage 3.</w:t>
      </w:r>
    </w:p>
    <w:p>
      <w:pPr>
        <w:pStyle w:val="Heading2"/>
        <w:spacing w:after="120" w:before="280"/>
      </w:pPr>
      <w:r>
        <w:t xml:space="preserve">12.4 Phase B — Mesh (Steps 6–11)</w:t>
      </w:r>
    </w:p>
    <w:p>
      <w:pPr>
        <w:pStyle w:val="Heading3"/>
        <w:spacing w:after="100" w:before="220"/>
      </w:pPr>
      <w:r>
        <w:t xml:space="preserve">Step 6 — Core types, constants, and the field-aligned triad</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core/sep3d_types.h</w:t>
      </w:r>
      <w:r>
        <w:rPr>
          <w:b w:val="false"/>
          <w:bCs w:val="false"/>
          <w:i w:val="false"/>
          <w:iCs w:val="false"/>
        </w:rPr>
        <w:t xml:space="preserve"> (Vec3, Tensor3, a re-export of </w:t>
      </w:r>
      <w:r>
        <w:rPr>
          <w:rFonts w:ascii="Consolas" w:cs="Consolas" w:eastAsia="Consolas" w:hAnsi="Consolas"/>
          <w:b w:val="false"/>
          <w:bCs w:val="false"/>
          <w:i w:val="false"/>
          <w:iCs w:val="false"/>
          <w:sz w:val="19"/>
          <w:szCs w:val="19"/>
        </w:rPr>
        <w:t xml:space="preserve">SEP::Transport::Status</w:t>
      </w:r>
      <w:r>
        <w:rPr>
          <w:b w:val="false"/>
          <w:bCs w:val="false"/>
          <w:i w:val="false"/>
          <w:iCs w:val="false"/>
        </w:rPr>
        <w:t xml:space="preserve">, and the physical constants) and </w:t>
      </w:r>
      <w:r>
        <w:rPr>
          <w:rFonts w:ascii="Consolas" w:cs="Consolas" w:eastAsia="Consolas" w:hAnsi="Consolas"/>
          <w:b w:val="false"/>
          <w:bCs w:val="false"/>
          <w:i w:val="false"/>
          <w:iCs w:val="false"/>
          <w:sz w:val="19"/>
          <w:szCs w:val="19"/>
        </w:rPr>
        <w:t xml:space="preserve">core/sep3d_geometry.{h,cpp}</w:t>
      </w:r>
      <w:r>
        <w:rPr>
          <w:b w:val="false"/>
          <w:bCs w:val="false"/>
          <w:i w:val="false"/>
          <w:iCs w:val="false"/>
        </w:rPr>
        <w:t xml:space="preserve"> (triad construction with the </w:t>
      </w:r>
      <w:r>
        <w:rPr>
          <w:rFonts w:ascii="Consolas" w:cs="Consolas" w:eastAsia="Consolas" w:hAnsi="Consolas"/>
          <w:b w:val="false"/>
          <w:bCs w:val="false"/>
          <w:i w:val="false"/>
          <w:iCs w:val="false"/>
          <w:sz w:val="19"/>
          <w:szCs w:val="19"/>
        </w:rPr>
        <w:t xml:space="preserve">ê₁ = normalize(ẑ × b̂)</w:t>
      </w:r>
      <w:r>
        <w:rPr>
          <w:b w:val="false"/>
          <w:bCs w:val="false"/>
          <w:i w:val="false"/>
          <w:iCs w:val="false"/>
        </w:rPr>
        <w:t xml:space="preserve"> rule and the </w:t>
      </w:r>
      <w:r>
        <w:rPr>
          <w:rFonts w:ascii="Consolas" w:cs="Consolas" w:eastAsia="Consolas" w:hAnsi="Consolas"/>
          <w:b w:val="false"/>
          <w:bCs w:val="false"/>
          <w:i w:val="false"/>
          <w:iCs w:val="false"/>
          <w:sz w:val="19"/>
          <w:szCs w:val="19"/>
        </w:rPr>
        <w:t xml:space="preserve">|b̂·ẑ| &gt; 0.9</w:t>
      </w:r>
      <w:r>
        <w:rPr>
          <w:b w:val="false"/>
          <w:bCs w:val="false"/>
          <w:i w:val="false"/>
          <w:iCs w:val="false"/>
        </w:rPr>
        <w:t xml:space="preserve"> fallback, gyrophase rotation, proper-rotation helpers). Constants are taken from SWCME’s headers by value, not retyped.</w:t>
      </w:r>
    </w:p>
    <w:p>
      <w:pPr>
        <w:spacing w:after="90" w:line="264"/>
        <w:jc w:val="left"/>
      </w:pPr>
      <w:r>
        <w:rPr>
          <w:b/>
          <w:bCs/>
          <w:i w:val="false"/>
          <w:iCs w:val="false"/>
        </w:rPr>
        <w:t xml:space="preserve">New tests. </w:t>
      </w:r>
      <w:r>
        <w:rPr>
          <w:b w:val="false"/>
          <w:bCs w:val="false"/>
          <w:i w:val="false"/>
          <w:iCs w:val="false"/>
        </w:rPr>
        <w:t xml:space="preserve">GEO01: triad orthonormality and right-handedness at 10⁶ deterministic directions including points within 10⁻¹² rad of ±ẑ and of the fallback switch locus, to 10⁻¹⁴. GEO02: the triad is continuous along a great circle except at the documented switch locus, and a rotationally invariant quantity built from it (for example </w:t>
      </w:r>
      <w:r>
        <w:rPr>
          <w:rFonts w:ascii="Consolas" w:cs="Consolas" w:eastAsia="Consolas" w:hAnsi="Consolas"/>
          <w:b w:val="false"/>
          <w:bCs w:val="false"/>
          <w:i w:val="false"/>
          <w:iCs w:val="false"/>
          <w:sz w:val="19"/>
          <w:szCs w:val="19"/>
        </w:rPr>
        <w:t xml:space="preserve">ê₁ê₁ + ê₂ê₂</w:t>
      </w:r>
      <w:r>
        <w:rPr>
          <w:b w:val="false"/>
          <w:bCs w:val="false"/>
          <w:i w:val="false"/>
          <w:iCs w:val="false"/>
        </w:rPr>
        <w:t xml:space="preserve">) is continuous everywhere including across the switch. GEO03: R☉, AU, c, e, m_p, m_e are bitwise equal to SWCME’s values.</w:t>
      </w:r>
    </w:p>
    <w:p>
      <w:pPr>
        <w:spacing w:after="90" w:line="264"/>
        <w:jc w:val="left"/>
      </w:pPr>
      <w:r>
        <w:rPr>
          <w:b/>
          <w:bCs/>
          <w:i w:val="false"/>
          <w:iCs w:val="false"/>
        </w:rPr>
        <w:t xml:space="preserve">Regression gate. </w:t>
      </w:r>
      <w:r>
        <w:rPr>
          <w:b w:val="false"/>
          <w:bCs w:val="false"/>
          <w:i w:val="false"/>
          <w:iCs w:val="false"/>
        </w:rPr>
        <w:t xml:space="preserve">HARN01–HARN04 (the registry now carries a real group and must still list, select, and report correctly), UTIL02, SWC01.</w:t>
      </w:r>
    </w:p>
    <w:p>
      <w:pPr>
        <w:spacing w:after="160" w:line="264"/>
        <w:jc w:val="left"/>
      </w:pPr>
      <w:r>
        <w:rPr>
          <w:b/>
          <w:bCs/>
          <w:i w:val="false"/>
          <w:iCs w:val="false"/>
        </w:rPr>
        <w:t xml:space="preserve">Why this step can break earlier work. </w:t>
      </w:r>
      <w:r>
        <w:rPr>
          <w:b w:val="false"/>
          <w:bCs w:val="false"/>
          <w:i w:val="false"/>
          <w:iCs w:val="false"/>
        </w:rPr>
        <w:t xml:space="preserve">GEO03 looks pedantic and is not. If srcSEP3D’s AU differs from SWCME’s in the twelfth digit, every later cross-check against SWCME — BG3D07, XM3D04, the whole of Stage 3 — fails by a small fixed factor that is extremely easy to misdiagnose as a physics discrepancy and extremely hard to find. Catching it here costs one test.</w:t>
      </w:r>
    </w:p>
    <w:p>
      <w:pPr>
        <w:pStyle w:val="Heading3"/>
        <w:spacing w:after="100" w:before="220"/>
      </w:pPr>
      <w:r>
        <w:t xml:space="preserve">Step 7 — The radial resolution law</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core/sep3d_mesh_resolution.{h,cpp}</w:t>
      </w:r>
      <w:r>
        <w:rPr>
          <w:b w:val="false"/>
          <w:bCs w:val="false"/>
          <w:i w:val="false"/>
          <w:iCs w:val="false"/>
        </w:rPr>
        <w:t xml:space="preserve"> with </w:t>
      </w:r>
      <w:r>
        <w:rPr>
          <w:rFonts w:ascii="Consolas" w:cs="Consolas" w:eastAsia="Consolas" w:hAnsi="Consolas"/>
          <w:b w:val="false"/>
          <w:bCs w:val="false"/>
          <w:i w:val="false"/>
          <w:iCs w:val="false"/>
          <w:sz w:val="19"/>
          <w:szCs w:val="19"/>
        </w:rPr>
        <w:t xml:space="preserve">ResolutionConfig</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RequestedResolutionM</w:t>
      </w:r>
      <w:r>
        <w:rPr>
          <w:b w:val="false"/>
          <w:bCs w:val="false"/>
          <w:i w:val="false"/>
          <w:iCs w:val="false"/>
        </w:rPr>
        <w:t xml:space="preserve"> implementing only the Δ_bg and Δ_sun terms, both the power-law and exponential forms. The closed forms are exposed as first-class functions — </w:t>
      </w:r>
      <w:r>
        <w:rPr>
          <w:rFonts w:ascii="Consolas" w:cs="Consolas" w:eastAsia="Consolas" w:hAnsi="Consolas"/>
          <w:b w:val="false"/>
          <w:bCs w:val="false"/>
          <w:i w:val="false"/>
          <w:iCs w:val="false"/>
          <w:sz w:val="19"/>
          <w:szCs w:val="19"/>
        </w:rPr>
        <w:t xml:space="preserve">TransitionRadiusM</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ExtraLevelsAtSurface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PredictedCellCount</w:t>
      </w:r>
      <w:r>
        <w:rPr>
          <w:b w:val="false"/>
          <w:bCs w:val="false"/>
          <w:i w:val="false"/>
          <w:iCs w:val="false"/>
        </w:rPr>
        <w:t xml:space="preserve"> — rather than being buried in documentation.</w:t>
      </w:r>
    </w:p>
    <w:p>
      <w:pPr>
        <w:spacing w:after="90" w:line="264"/>
        <w:jc w:val="left"/>
      </w:pPr>
      <w:r>
        <w:rPr>
          <w:b/>
          <w:bCs/>
          <w:i w:val="false"/>
          <w:iCs w:val="false"/>
        </w:rPr>
        <w:t xml:space="preserve">New tests. </w:t>
      </w:r>
      <w:r>
        <w:rPr>
          <w:b w:val="false"/>
          <w:bCs w:val="false"/>
          <w:i w:val="false"/>
          <w:iCs w:val="false"/>
        </w:rPr>
        <w:t xml:space="preserve">MSH3D01 (bounds and finiteness at 10⁶ points). MSH3D02 (Δ_sun(R☉) = Δ₀ exactly; r_t matches R☉(Δ_bg/Δ₀)^{1/α} to 10⁻¹²; with α = 1 the level drops by exactly one per radial octave). MSH3D03a: </w:t>
      </w:r>
      <w:r>
        <w:rPr>
          <w:rFonts w:ascii="Consolas" w:cs="Consolas" w:eastAsia="Consolas" w:hAnsi="Consolas"/>
          <w:b w:val="false"/>
          <w:bCs w:val="false"/>
          <w:i w:val="false"/>
          <w:iCs w:val="false"/>
          <w:sz w:val="19"/>
          <w:szCs w:val="19"/>
        </w:rPr>
        <w:t xml:space="preserve">PredictedCellCount</w:t>
      </w:r>
      <w:r>
        <w:rPr>
          <w:b w:val="false"/>
          <w:bCs w:val="false"/>
          <w:i w:val="false"/>
          <w:iCs w:val="false"/>
        </w:rPr>
        <w:t xml:space="preserve"> matches adaptive numerical quadrature of ∫4πr²dr/Δ(r)³ for five (Δ₀, α) pairs including α = 1, where the general formula is singular and the logarithmic branch must be used. Frozen record </w:t>
      </w:r>
      <w:r>
        <w:rPr>
          <w:rFonts w:ascii="Consolas" w:cs="Consolas" w:eastAsia="Consolas" w:hAnsi="Consolas"/>
          <w:b w:val="false"/>
          <w:bCs w:val="false"/>
          <w:i w:val="false"/>
          <w:iCs w:val="false"/>
          <w:sz w:val="19"/>
          <w:szCs w:val="19"/>
        </w:rPr>
        <w:t xml:space="preserve">frozen/S07_radial.txt</w:t>
      </w:r>
      <w:r>
        <w:rPr>
          <w:b w:val="false"/>
          <w:bCs w:val="false"/>
          <w:i w:val="false"/>
          <w:iCs w:val="false"/>
        </w:rPr>
        <w:t xml:space="preserve">: Δ_req at 10⁵ fixed points.</w:t>
      </w:r>
    </w:p>
    <w:p>
      <w:pPr>
        <w:spacing w:after="90" w:line="264"/>
        <w:jc w:val="left"/>
      </w:pPr>
      <w:r>
        <w:rPr>
          <w:b/>
          <w:bCs/>
          <w:i w:val="false"/>
          <w:iCs w:val="false"/>
        </w:rPr>
        <w:t xml:space="preserve">Regression gate. </w:t>
      </w:r>
      <w:r>
        <w:rPr>
          <w:b w:val="false"/>
          <w:bCs w:val="false"/>
          <w:i w:val="false"/>
          <w:iCs w:val="false"/>
        </w:rPr>
        <w:t xml:space="preserve">GEO01–GEO03.</w:t>
      </w:r>
    </w:p>
    <w:p>
      <w:pPr>
        <w:spacing w:after="160" w:line="264"/>
        <w:jc w:val="left"/>
      </w:pPr>
      <w:r>
        <w:rPr>
          <w:b/>
          <w:bCs/>
          <w:i w:val="false"/>
          <w:iCs w:val="false"/>
        </w:rPr>
        <w:t xml:space="preserve">Why this step can break earlier work. </w:t>
      </w:r>
      <w:r>
        <w:rPr>
          <w:b w:val="false"/>
          <w:bCs w:val="false"/>
          <w:i w:val="false"/>
          <w:iCs w:val="false"/>
        </w:rPr>
        <w:t xml:space="preserve">The law consumes R☉ and AU. An inconsistent constant shifts r_t and every predicted cell count, and MSH3D02’s closed-form comparison would pass anyway because both sides would use the same wrong constant — which is why GEO03 must remain in the gate rather than being considered "done".</w:t>
      </w:r>
    </w:p>
    <w:p>
      <w:pPr>
        <w:pStyle w:val="Heading3"/>
        <w:spacing w:after="100" w:before="220"/>
      </w:pPr>
      <w:r>
        <w:t xml:space="preserve">Step 8 — Flux-tube centreline and distance measure</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FluxTubeSpec</w:t>
      </w:r>
      <w:r>
        <w:rPr>
          <w:b w:val="false"/>
          <w:bCs w:val="false"/>
          <w:i w:val="false"/>
          <w:iCs w:val="false"/>
        </w:rPr>
        <w:t xml:space="preserve">; seed-from-target back-tracing; the </w:t>
      </w:r>
      <w:r>
        <w:rPr>
          <w:rFonts w:ascii="Consolas" w:cs="Consolas" w:eastAsia="Consolas" w:hAnsi="Consolas"/>
          <w:b w:val="false"/>
          <w:bCs w:val="false"/>
          <w:i w:val="false"/>
          <w:iCs w:val="false"/>
          <w:sz w:val="19"/>
          <w:szCs w:val="19"/>
        </w:rPr>
        <w:t xml:space="preserve">φ_c(r)</w:t>
      </w:r>
      <w:r>
        <w:rPr>
          <w:b w:val="false"/>
          <w:bCs w:val="false"/>
          <w:i w:val="false"/>
          <w:iCs w:val="false"/>
        </w:rPr>
        <w:t xml:space="preserve"> map with the finite source radius; the fast constant-radius distance and the exact minimising variant. The tube term is wired into the master </w:t>
      </w:r>
      <w:r>
        <w:rPr>
          <w:rFonts w:ascii="Consolas" w:cs="Consolas" w:eastAsia="Consolas" w:hAnsi="Consolas"/>
          <w:b w:val="false"/>
          <w:bCs w:val="false"/>
          <w:i w:val="false"/>
          <w:iCs w:val="false"/>
          <w:sz w:val="19"/>
          <w:szCs w:val="19"/>
        </w:rPr>
        <w:t xml:space="preserve">min()</w:t>
      </w:r>
      <w:r>
        <w:rPr>
          <w:b w:val="false"/>
          <w:bCs w:val="false"/>
          <w:i w:val="false"/>
          <w:iCs w:val="false"/>
        </w:rPr>
        <w:t xml:space="preserve"> but returns </w:t>
      </w:r>
      <w:r>
        <w:rPr>
          <w:rFonts w:ascii="Consolas" w:cs="Consolas" w:eastAsia="Consolas" w:hAnsi="Consolas"/>
          <w:b w:val="false"/>
          <w:bCs w:val="false"/>
          <w:i w:val="false"/>
          <w:iCs w:val="false"/>
          <w:sz w:val="19"/>
          <w:szCs w:val="19"/>
        </w:rPr>
        <w:t xml:space="preserve">+infinity</w:t>
      </w:r>
      <w:r>
        <w:rPr>
          <w:b w:val="false"/>
          <w:bCs w:val="false"/>
          <w:i w:val="false"/>
          <w:iCs w:val="false"/>
        </w:rPr>
        <w:t xml:space="preserve"> when no tube is configured.</w:t>
      </w:r>
    </w:p>
    <w:p>
      <w:pPr>
        <w:spacing w:after="90" w:line="264"/>
        <w:jc w:val="left"/>
      </w:pPr>
      <w:r>
        <w:rPr>
          <w:b/>
          <w:bCs/>
          <w:i w:val="false"/>
          <w:iCs w:val="false"/>
        </w:rPr>
        <w:t xml:space="preserve">New tests. </w:t>
      </w:r>
      <w:r>
        <w:rPr>
          <w:b w:val="false"/>
          <w:bCs w:val="false"/>
          <w:i w:val="false"/>
          <w:iCs w:val="false"/>
        </w:rPr>
        <w:t xml:space="preserve">MSH3D04: d(x) = 0 on the analytic centreline at 10⁴ radii to 10⁻⁹ r, and the distance is invariant under rotation about the solar rotation axis combined with the corresponding φ shift. MSH3D05: the fast and exact measures differ at second order in d/r, with observed order ≥ 1.9.</w:t>
      </w:r>
    </w:p>
    <w:p>
      <w:pPr>
        <w:spacing w:after="90" w:line="264"/>
        <w:jc w:val="left"/>
      </w:pPr>
      <w:r>
        <w:rPr>
          <w:b/>
          <w:bCs/>
          <w:i w:val="false"/>
          <w:iCs w:val="false"/>
        </w:rPr>
        <w:t xml:space="preserve">Regression gate. </w:t>
      </w:r>
      <w:r>
        <w:rPr>
          <w:b w:val="false"/>
          <w:bCs w:val="false"/>
          <w:i w:val="false"/>
          <w:iCs w:val="false"/>
        </w:rPr>
        <w:t xml:space="preserve">MSH3D01, MSH3D02, and — the important one — byte identity against </w:t>
      </w:r>
      <w:r>
        <w:rPr>
          <w:rFonts w:ascii="Consolas" w:cs="Consolas" w:eastAsia="Consolas" w:hAnsi="Consolas"/>
          <w:b w:val="false"/>
          <w:bCs w:val="false"/>
          <w:i w:val="false"/>
          <w:iCs w:val="false"/>
          <w:sz w:val="19"/>
          <w:szCs w:val="19"/>
        </w:rPr>
        <w:t xml:space="preserve">frozen/S07_radial.txt</w:t>
      </w:r>
      <w:r>
        <w:rPr>
          <w:b w:val="false"/>
          <w:bCs w:val="false"/>
          <w:i w:val="false"/>
          <w:iCs w:val="false"/>
        </w:rPr>
        <w:t xml:space="preserve"> with no tube configured.</w:t>
      </w:r>
    </w:p>
    <w:p>
      <w:pPr>
        <w:spacing w:after="160" w:line="264"/>
        <w:jc w:val="left"/>
      </w:pPr>
      <w:r>
        <w:rPr>
          <w:b/>
          <w:bCs/>
          <w:i w:val="false"/>
          <w:iCs w:val="false"/>
        </w:rPr>
        <w:t xml:space="preserve">Why this step can break earlier work. </w:t>
      </w:r>
      <w:r>
        <w:rPr>
          <w:b w:val="false"/>
          <w:bCs w:val="false"/>
          <w:i w:val="false"/>
          <w:iCs w:val="false"/>
        </w:rPr>
        <w:t xml:space="preserve">Adding a third argument to a </w:t>
      </w:r>
      <w:r>
        <w:rPr>
          <w:rFonts w:ascii="Consolas" w:cs="Consolas" w:eastAsia="Consolas" w:hAnsi="Consolas"/>
          <w:b w:val="false"/>
          <w:bCs w:val="false"/>
          <w:i w:val="false"/>
          <w:iCs w:val="false"/>
          <w:sz w:val="19"/>
          <w:szCs w:val="19"/>
        </w:rPr>
        <w:t xml:space="preserve">min()</w:t>
      </w:r>
      <w:r>
        <w:rPr>
          <w:b w:val="false"/>
          <w:bCs w:val="false"/>
          <w:i w:val="false"/>
          <w:iCs w:val="false"/>
        </w:rPr>
        <w:t xml:space="preserve"> is the classic place to introduce a silent change. If the unconfigured tube term returns a large finite number instead of true infinity, or returns Δ_bg, most points are unaffected and a handful near a quantisation boundary flip one level. No tolerance-based test sees it. The frozen no-tube sample is the only thing that does, and it is the reason the record was created at Step 7.</w:t>
      </w:r>
    </w:p>
    <w:p>
      <w:pPr>
        <w:pStyle w:val="Heading3"/>
        <w:spacing w:after="100" w:before="220"/>
      </w:pPr>
      <w:r>
        <w:t xml:space="preserve">Step 9 — Tube profile, shoulder, and the 2:1 balance floor</w:t>
      </w:r>
    </w:p>
    <w:p>
      <w:pPr>
        <w:spacing w:after="90" w:line="264"/>
        <w:jc w:val="left"/>
      </w:pPr>
      <w:r>
        <w:rPr>
          <w:b/>
          <w:bCs/>
          <w:i w:val="false"/>
          <w:iCs w:val="false"/>
        </w:rPr>
        <w:t xml:space="preserve">Implements. </w:t>
      </w:r>
      <w:r>
        <w:rPr>
          <w:b w:val="false"/>
          <w:bCs w:val="false"/>
          <w:i w:val="false"/>
          <w:iCs w:val="false"/>
        </w:rPr>
        <w:t xml:space="preserve">The level-offset form </w:t>
      </w:r>
      <w:r>
        <w:rPr>
          <w:rFonts w:ascii="Consolas" w:cs="Consolas" w:eastAsia="Consolas" w:hAnsi="Consolas"/>
          <w:b w:val="false"/>
          <w:bCs w:val="false"/>
          <w:i w:val="false"/>
          <w:iCs w:val="false"/>
          <w:sz w:val="19"/>
          <w:szCs w:val="19"/>
        </w:rPr>
        <w:t xml:space="preserve">Δ_tube = Δ_amb · 2^(−Λ g)</w:t>
      </w:r>
      <w:r>
        <w:rPr>
          <w:b w:val="false"/>
          <w:bCs w:val="false"/>
          <w:i w:val="false"/>
          <w:iCs w:val="false"/>
        </w:rPr>
        <w:t xml:space="preserve"> with </w:t>
      </w:r>
      <w:r>
        <w:rPr>
          <w:rFonts w:ascii="Consolas" w:cs="Consolas" w:eastAsia="Consolas" w:hAnsi="Consolas"/>
          <w:b w:val="false"/>
          <w:bCs w:val="false"/>
          <w:i w:val="false"/>
          <w:iCs w:val="false"/>
          <w:sz w:val="19"/>
          <w:szCs w:val="19"/>
        </w:rPr>
        <w:t xml:space="preserve">g = ½[1 − tanh((d − w)/h)]</w:t>
      </w:r>
      <w:r>
        <w:rPr>
          <w:b w:val="false"/>
          <w:bCs w:val="false"/>
          <w:i w:val="false"/>
          <w:iCs w:val="false"/>
        </w:rPr>
        <w:t xml:space="preserve">; the three width laws; </w:t>
      </w:r>
      <w:r>
        <w:rPr>
          <w:rFonts w:ascii="Consolas" w:cs="Consolas" w:eastAsia="Consolas" w:hAnsi="Consolas"/>
          <w:b w:val="false"/>
          <w:bCs w:val="false"/>
          <w:i w:val="false"/>
          <w:iCs w:val="false"/>
          <w:sz w:val="19"/>
          <w:szCs w:val="19"/>
        </w:rPr>
        <w:t xml:space="preserve">h(r) = max(σ w(r), h_min(r))</w:t>
      </w:r>
      <w:r>
        <w:rPr>
          <w:b w:val="false"/>
          <w:bCs w:val="false"/>
          <w:i w:val="false"/>
          <w:iCs w:val="false"/>
        </w:rPr>
        <w:t xml:space="preserve"> with the closed-form balance floor; the startup report naming which constraint binds, per radial decade. The tanh tail is truncated to exactly zero beyond </w:t>
      </w:r>
      <w:r>
        <w:rPr>
          <w:rFonts w:ascii="Consolas" w:cs="Consolas" w:eastAsia="Consolas" w:hAnsi="Consolas"/>
          <w:b w:val="false"/>
          <w:bCs w:val="false"/>
          <w:i w:val="false"/>
          <w:iCs w:val="false"/>
          <w:sz w:val="19"/>
          <w:szCs w:val="19"/>
        </w:rPr>
        <w:t xml:space="preserve">|d − w| &gt; 12 h</w:t>
      </w:r>
      <w:r>
        <w:rPr>
          <w:b w:val="false"/>
          <w:bCs w:val="false"/>
          <w:i w:val="false"/>
          <w:iCs w:val="false"/>
        </w:rPr>
        <w:t xml:space="preserve">.</w:t>
      </w:r>
    </w:p>
    <w:p>
      <w:pPr>
        <w:spacing w:after="90" w:line="264"/>
        <w:jc w:val="left"/>
      </w:pPr>
      <w:r>
        <w:rPr>
          <w:b/>
          <w:bCs/>
          <w:i w:val="false"/>
          <w:iCs w:val="false"/>
        </w:rPr>
        <w:t xml:space="preserve">New tests. </w:t>
      </w:r>
      <w:r>
        <w:rPr>
          <w:b w:val="false"/>
          <w:bCs w:val="false"/>
          <w:i w:val="false"/>
          <w:iCs w:val="false"/>
        </w:rPr>
        <w:t xml:space="preserve">MSH3D06 (full refinement for d &lt; 0.80 w, ambient for d &gt; 1.20 w at the default shoulder, monotone between, exact level equality at the stated radii). MSH3D08 (multiple tubes compose by minimum; a tube outside the domain is a no-op). BAL01: </w:t>
      </w:r>
      <w:r>
        <w:rPr>
          <w:rFonts w:ascii="Consolas" w:cs="Consolas" w:eastAsia="Consolas" w:hAnsi="Consolas"/>
          <w:b w:val="false"/>
          <w:bCs w:val="false"/>
          <w:i w:val="false"/>
          <w:iCs w:val="false"/>
          <w:sz w:val="19"/>
          <w:szCs w:val="19"/>
        </w:rPr>
        <w:t xml:space="preserve">h_min</w:t>
      </w:r>
      <w:r>
        <w:rPr>
          <w:b w:val="false"/>
          <w:bCs w:val="false"/>
          <w:i w:val="false"/>
          <w:iCs w:val="false"/>
        </w:rPr>
        <w:t xml:space="preserve"> matches its closed form and the binding-constraint report names the correct one across four radial decades, including the crossover near 0.35 AU at the defaults.</w:t>
      </w:r>
    </w:p>
    <w:p>
      <w:pPr>
        <w:spacing w:after="90" w:line="264"/>
        <w:jc w:val="left"/>
      </w:pPr>
      <w:r>
        <w:rPr>
          <w:b/>
          <w:bCs/>
          <w:i w:val="false"/>
          <w:iCs w:val="false"/>
        </w:rPr>
        <w:t xml:space="preserve">Regression gate. </w:t>
      </w:r>
      <w:r>
        <w:rPr>
          <w:b w:val="false"/>
          <w:bCs w:val="false"/>
          <w:i w:val="false"/>
          <w:iCs w:val="false"/>
        </w:rPr>
        <w:t xml:space="preserve">MSH3D04, MSH3D05, MSH3D01, MSH3D02, and byte identity against </w:t>
      </w:r>
      <w:r>
        <w:rPr>
          <w:rFonts w:ascii="Consolas" w:cs="Consolas" w:eastAsia="Consolas" w:hAnsi="Consolas"/>
          <w:b w:val="false"/>
          <w:bCs w:val="false"/>
          <w:i w:val="false"/>
          <w:iCs w:val="false"/>
          <w:sz w:val="19"/>
          <w:szCs w:val="19"/>
        </w:rPr>
        <w:t xml:space="preserve">frozen/S07_radial.txt</w:t>
      </w:r>
      <w:r>
        <w:rPr>
          <w:b w:val="false"/>
          <w:bCs w:val="false"/>
          <w:i w:val="false"/>
          <w:iCs w:val="false"/>
        </w:rPr>
        <w:t xml:space="preserve"> with no tube configured.</w:t>
      </w:r>
    </w:p>
    <w:p>
      <w:pPr>
        <w:spacing w:after="160" w:line="264"/>
        <w:jc w:val="left"/>
      </w:pPr>
      <w:r>
        <w:rPr>
          <w:b/>
          <w:bCs/>
          <w:i w:val="false"/>
          <w:iCs w:val="false"/>
        </w:rPr>
        <w:t xml:space="preserve">Why this step can break earlier work. </w:t>
      </w:r>
      <w:r>
        <w:rPr>
          <w:b w:val="false"/>
          <w:bCs w:val="false"/>
          <w:i w:val="false"/>
          <w:iCs w:val="false"/>
        </w:rPr>
        <w:t xml:space="preserve">A tanh never reaches zero. Without the explicit truncation, a tube on the far side of the Sun contributes a 10⁻¹⁶ modulation everywhere, which is invisible except at points where </w:t>
      </w:r>
      <w:r>
        <w:rPr>
          <w:rFonts w:ascii="Consolas" w:cs="Consolas" w:eastAsia="Consolas" w:hAnsi="Consolas"/>
          <w:b w:val="false"/>
          <w:bCs w:val="false"/>
          <w:i w:val="false"/>
          <w:iCs w:val="false"/>
          <w:sz w:val="19"/>
          <w:szCs w:val="19"/>
        </w:rPr>
        <w:t xml:space="preserve">log₂(Δ_root/Δ_req)</w:t>
      </w:r>
      <w:r>
        <w:rPr>
          <w:b w:val="false"/>
          <w:bCs w:val="false"/>
          <w:i w:val="false"/>
          <w:iCs w:val="false"/>
        </w:rPr>
        <w:t xml:space="preserve"> sits within 10⁻¹⁶ of an integer — and there it flips a level. The truncation is in the implementation specifically because of this, and the frozen no-tube sample is the check that it works.</w:t>
      </w:r>
    </w:p>
    <w:p>
      <w:pPr>
        <w:pStyle w:val="Heading3"/>
        <w:spacing w:after="100" w:before="220"/>
      </w:pPr>
      <w:r>
        <w:t xml:space="preserve">Step 10 — The standalone octree emulator and the budget tool</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BuildLevelMap</w:t>
      </w:r>
      <w:r>
        <w:rPr>
          <w:b w:val="false"/>
          <w:bCs w:val="false"/>
          <w:i w:val="false"/>
          <w:iCs w:val="false"/>
        </w:rPr>
        <w:t xml:space="preserve"> reproduces the AMPS build decision: probe the block mid-point and every corner node including the ghost layer, take the minimum, quantise to a power of two, then apply 2:1 balancing to fixpoint. </w:t>
      </w:r>
      <w:r>
        <w:rPr>
          <w:rFonts w:ascii="Consolas" w:cs="Consolas" w:eastAsia="Consolas" w:hAnsi="Consolas"/>
          <w:b w:val="false"/>
          <w:bCs w:val="false"/>
          <w:i w:val="false"/>
          <w:iCs w:val="false"/>
          <w:sz w:val="19"/>
          <w:szCs w:val="19"/>
        </w:rPr>
        <w:t xml:space="preserve">LevelMapStatistics</w:t>
      </w:r>
      <w:r>
        <w:rPr>
          <w:b w:val="false"/>
          <w:bCs w:val="false"/>
          <w:i w:val="false"/>
          <w:iCs w:val="false"/>
        </w:rPr>
        <w:t xml:space="preserve"> returns the per-level leaf histogram, total cells, estimated memory, and the maximum neighbour level jump. </w:t>
      </w:r>
      <w:r>
        <w:rPr>
          <w:rFonts w:ascii="Consolas" w:cs="Consolas" w:eastAsia="Consolas" w:hAnsi="Consolas"/>
          <w:b w:val="false"/>
          <w:bCs w:val="false"/>
          <w:i w:val="false"/>
          <w:iCs w:val="false"/>
          <w:sz w:val="19"/>
          <w:szCs w:val="19"/>
        </w:rPr>
        <w:t xml:space="preserve">--print-mesh-budget</w:t>
      </w:r>
      <w:r>
        <w:rPr>
          <w:b w:val="false"/>
          <w:bCs w:val="false"/>
          <w:i w:val="false"/>
          <w:iCs w:val="false"/>
        </w:rPr>
        <w:t xml:space="preserve"> prints it.</w:t>
      </w:r>
    </w:p>
    <w:p>
      <w:pPr>
        <w:spacing w:after="90" w:line="264"/>
        <w:jc w:val="left"/>
      </w:pPr>
      <w:r>
        <w:rPr>
          <w:b/>
          <w:bCs/>
          <w:i w:val="false"/>
          <w:iCs w:val="false"/>
        </w:rPr>
        <w:t xml:space="preserve">New tests. </w:t>
      </w:r>
      <w:r>
        <w:rPr>
          <w:b w:val="false"/>
          <w:bCs w:val="false"/>
          <w:i w:val="false"/>
          <w:iCs w:val="false"/>
        </w:rPr>
        <w:t xml:space="preserve">MSH3D03 (emulator leaf count within 25% of the closed-form prediction for five configurations — the spread is the expected effect of power-of-two quantisation). MSH3D07 (maximum neighbour level jump is exactly 1; and the paired negative control, a deliberately under-width shoulder, must be reported as widened rather than silently accepted). MSH3D09 (bit-identical level map across repeated runs, thread counts, and tube specification order). MSH3D10 (memory estimate equals a direct count of stored doubles).</w:t>
      </w:r>
    </w:p>
    <w:p>
      <w:pPr>
        <w:spacing w:after="90" w:line="264"/>
        <w:jc w:val="left"/>
      </w:pPr>
      <w:r>
        <w:rPr>
          <w:b/>
          <w:bCs/>
          <w:i w:val="false"/>
          <w:iCs w:val="false"/>
        </w:rPr>
        <w:t xml:space="preserve">Regression gate. </w:t>
      </w:r>
      <w:r>
        <w:rPr>
          <w:b w:val="false"/>
          <w:bCs w:val="false"/>
          <w:i w:val="false"/>
          <w:iCs w:val="false"/>
        </w:rPr>
        <w:t xml:space="preserve">Every MSH3D test from Steps 7–9, plus the frozen no-tube sample.</w:t>
      </w:r>
    </w:p>
    <w:p>
      <w:pPr>
        <w:spacing w:after="160" w:line="264"/>
        <w:jc w:val="left"/>
      </w:pPr>
      <w:r>
        <w:rPr>
          <w:b/>
          <w:bCs/>
          <w:i w:val="false"/>
          <w:iCs w:val="false"/>
        </w:rPr>
        <w:t xml:space="preserve">Why this step can break earlier work. </w:t>
      </w:r>
      <w:r>
        <w:rPr>
          <w:b w:val="false"/>
          <w:bCs w:val="false"/>
          <w:i w:val="false"/>
          <w:iCs w:val="false"/>
        </w:rPr>
        <w:t xml:space="preserve">The emulator and the law are two descriptions of the same thing, and the tempting failure mode is to adjust the law until the emulator’s balance test passes. The frozen sample makes that impossible without the change being visible as a deliberate re-freeze, which is the point.</w:t>
      </w:r>
    </w:p>
    <w:p>
      <w:pPr>
        <w:pStyle w:val="Heading3"/>
        <w:spacing w:after="100" w:before="220"/>
      </w:pPr>
      <w:r>
        <w:t xml:space="preserve">Step 11 — The AMPS mesh adapter</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amps/amps_mesh.cpp</w:t>
      </w:r>
      <w:r>
        <w:rPr>
          <w:b w:val="false"/>
          <w:bCs w:val="false"/>
          <w:i w:val="false"/>
          <w:iCs w:val="false"/>
        </w:rPr>
        <w:t xml:space="preserve">: domain presets, the inner sphere as an AMPS internal boundary, cube and spherical outer modes, the four-line </w:t>
      </w:r>
      <w:r>
        <w:rPr>
          <w:rFonts w:ascii="Consolas" w:cs="Consolas" w:eastAsia="Consolas" w:hAnsi="Consolas"/>
          <w:b w:val="false"/>
          <w:bCs w:val="false"/>
          <w:i w:val="false"/>
          <w:iCs w:val="false"/>
          <w:sz w:val="19"/>
          <w:szCs w:val="19"/>
        </w:rPr>
        <w:t xml:space="preserve">localResolution</w:t>
      </w:r>
      <w:r>
        <w:rPr>
          <w:b w:val="false"/>
          <w:bCs w:val="false"/>
          <w:i w:val="false"/>
          <w:iCs w:val="false"/>
        </w:rPr>
        <w:t xml:space="preserve"> wrapper over the core law, mesh build, </w:t>
      </w:r>
      <w:r>
        <w:rPr>
          <w:rFonts w:ascii="Consolas" w:cs="Consolas" w:eastAsia="Consolas" w:hAnsi="Consolas"/>
          <w:b w:val="false"/>
          <w:bCs w:val="false"/>
          <w:i w:val="false"/>
          <w:iCs w:val="false"/>
          <w:sz w:val="19"/>
          <w:szCs w:val="19"/>
        </w:rPr>
        <w:t xml:space="preserve">saveMeshFile</w:t>
      </w:r>
      <w:r>
        <w:rPr>
          <w:b w:val="false"/>
          <w:bCs w:val="false"/>
          <w:i w:val="false"/>
          <w:iCs w:val="false"/>
        </w:rPr>
        <w:t xml:space="preserve">/</w:t>
      </w:r>
      <w:r>
        <w:rPr>
          <w:rFonts w:ascii="Consolas" w:cs="Consolas" w:eastAsia="Consolas" w:hAnsi="Consolas"/>
          <w:b w:val="false"/>
          <w:bCs w:val="false"/>
          <w:i w:val="false"/>
          <w:iCs w:val="false"/>
          <w:sz w:val="19"/>
          <w:szCs w:val="19"/>
        </w:rPr>
        <w:t xml:space="preserve">readMeshFile</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InitLoadMeasure</w:t>
      </w:r>
      <w:r>
        <w:rPr>
          <w:b w:val="false"/>
          <w:bCs w:val="false"/>
          <w:i w:val="false"/>
          <w:iCs w:val="false"/>
        </w:rPr>
        <w:t xml:space="preserve">.</w:t>
      </w:r>
    </w:p>
    <w:p>
      <w:pPr>
        <w:spacing w:after="90" w:line="264"/>
        <w:jc w:val="left"/>
      </w:pPr>
      <w:r>
        <w:rPr>
          <w:b/>
          <w:bCs/>
          <w:i w:val="false"/>
          <w:iCs w:val="false"/>
        </w:rPr>
        <w:t xml:space="preserve">New tests. </w:t>
      </w:r>
      <w:r>
        <w:rPr>
          <w:b w:val="false"/>
          <w:bCs w:val="false"/>
          <w:i w:val="false"/>
          <w:iCs w:val="false"/>
        </w:rPr>
        <w:t xml:space="preserve">NAT3D01 (linked): the mesh AMPS builds has the same leaf count and the same per-level histogram as the emulator predicted for the identical configuration. On failure the message must report all three candidate causes — a bug in the emulator, a bug in the law, or a wrong assumption about </w:t>
      </w:r>
      <w:r>
        <w:rPr>
          <w:rFonts w:ascii="Consolas" w:cs="Consolas" w:eastAsia="Consolas" w:hAnsi="Consolas"/>
          <w:b w:val="false"/>
          <w:bCs w:val="false"/>
          <w:i w:val="false"/>
          <w:iCs w:val="false"/>
          <w:sz w:val="19"/>
          <w:szCs w:val="19"/>
        </w:rPr>
        <w:t xml:space="preserve">_BLOCK_CELLS_X_</w:t>
      </w:r>
      <w:r>
        <w:rPr>
          <w:b w:val="false"/>
          <w:bCs w:val="false"/>
          <w:i w:val="false"/>
          <w:iCs w:val="false"/>
        </w:rPr>
        <w:t xml:space="preserve"> or the ghost width — because the test alone cannot distinguish them.</w:t>
      </w:r>
    </w:p>
    <w:p>
      <w:pPr>
        <w:spacing w:after="90" w:line="264"/>
        <w:jc w:val="left"/>
      </w:pPr>
      <w:r>
        <w:rPr>
          <w:b/>
          <w:bCs/>
          <w:i w:val="false"/>
          <w:iCs w:val="false"/>
        </w:rPr>
        <w:t xml:space="preserve">Regression gate. </w:t>
      </w:r>
      <w:r>
        <w:rPr>
          <w:b w:val="false"/>
          <w:bCs w:val="false"/>
          <w:i w:val="false"/>
          <w:iCs w:val="false"/>
        </w:rPr>
        <w:t xml:space="preserve">The complete Stage-1 suite. The adapter is L2 and must not have required any change to L0.</w:t>
      </w:r>
    </w:p>
    <w:p>
      <w:pPr>
        <w:spacing w:after="160" w:line="264"/>
        <w:jc w:val="left"/>
      </w:pPr>
      <w:r>
        <w:rPr>
          <w:b/>
          <w:bCs/>
          <w:i w:val="false"/>
          <w:iCs w:val="false"/>
        </w:rPr>
        <w:t xml:space="preserve">Why this step can break earlier work. </w:t>
      </w:r>
      <w:r>
        <w:rPr>
          <w:b w:val="false"/>
          <w:bCs w:val="false"/>
          <w:i w:val="false"/>
          <w:iCs w:val="false"/>
        </w:rPr>
        <w:t xml:space="preserve">This is the first moment where a developer, faced with a mismatch between prediction and reality, could "fix" it by editing the core law. The Stage-1 gate plus the frozen sample turn that into a visible, justified change rather than a quiet one.</w:t>
      </w:r>
    </w:p>
    <w:p>
      <w:pPr>
        <w:pStyle w:val="Heading2"/>
        <w:spacing w:after="120" w:before="280"/>
      </w:pPr>
      <w:r>
        <w:t xml:space="preserve">12.5 Phase C — Background (Steps 12–17)</w:t>
      </w:r>
    </w:p>
    <w:p>
      <w:pPr>
        <w:pStyle w:val="Heading3"/>
        <w:spacing w:after="100" w:before="220"/>
      </w:pPr>
      <w:r>
        <w:t xml:space="preserve">Step 12 — The provider contract and the analytic Parker field</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background/bg_provider.h</w:t>
      </w:r>
      <w:r>
        <w:rPr>
          <w:b w:val="false"/>
          <w:bCs w:val="false"/>
          <w:i w:val="false"/>
          <w:iCs w:val="false"/>
        </w:rPr>
        <w:t xml:space="preserve"> with </w:t>
      </w:r>
      <w:r>
        <w:rPr>
          <w:rFonts w:ascii="Consolas" w:cs="Consolas" w:eastAsia="Consolas" w:hAnsi="Consolas"/>
          <w:b w:val="false"/>
          <w:bCs w:val="false"/>
          <w:i w:val="false"/>
          <w:iCs w:val="false"/>
          <w:sz w:val="19"/>
          <w:szCs w:val="19"/>
        </w:rPr>
        <w:t xml:space="preserve">BackgroundSample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BackgroundProvider</w:t>
      </w:r>
      <w:r>
        <w:rPr>
          <w:b w:val="false"/>
          <w:bCs w:val="false"/>
          <w:i w:val="false"/>
          <w:iCs w:val="false"/>
        </w:rPr>
        <w:t xml:space="preserve">, and the capability flags. </w:t>
      </w:r>
      <w:r>
        <w:rPr>
          <w:rFonts w:ascii="Consolas" w:cs="Consolas" w:eastAsia="Consolas" w:hAnsi="Consolas"/>
          <w:b w:val="false"/>
          <w:bCs w:val="false"/>
          <w:i w:val="false"/>
          <w:iCs w:val="false"/>
          <w:sz w:val="19"/>
          <w:szCs w:val="19"/>
        </w:rPr>
        <w:t xml:space="preserve">core/sep3d_parker_field.{h,cpp}</w:t>
      </w:r>
      <w:r>
        <w:rPr>
          <w:b w:val="false"/>
          <w:bCs w:val="false"/>
          <w:i w:val="false"/>
          <w:iCs w:val="false"/>
        </w:rPr>
        <w:t xml:space="preserve"> implements B only — the radial normalisation, the local </w:t>
      </w:r>
      <w:r>
        <w:rPr>
          <w:rFonts w:ascii="Consolas" w:cs="Consolas" w:eastAsia="Consolas" w:hAnsi="Consolas"/>
          <w:b w:val="false"/>
          <w:bCs w:val="false"/>
          <w:i w:val="false"/>
          <w:iCs w:val="false"/>
          <w:sz w:val="19"/>
          <w:szCs w:val="19"/>
        </w:rPr>
        <w:t xml:space="preserve">sinθ = |Ω̂ × r̂|</w:t>
      </w:r>
      <w:r>
        <w:rPr>
          <w:b w:val="false"/>
          <w:bCs w:val="false"/>
          <w:i w:val="false"/>
          <w:iCs w:val="false"/>
        </w:rPr>
        <w:t xml:space="preserve">, the </w:t>
      </w:r>
      <w:r>
        <w:rPr>
          <w:rFonts w:ascii="Consolas" w:cs="Consolas" w:eastAsia="Consolas" w:hAnsi="Consolas"/>
          <w:b w:val="false"/>
          <w:bCs w:val="false"/>
          <w:i w:val="false"/>
          <w:iCs w:val="false"/>
          <w:sz w:val="19"/>
          <w:szCs w:val="19"/>
        </w:rPr>
        <w:t xml:space="preserve">ê_φ ∥ Ω̂ × r̂</w:t>
      </w:r>
      <w:r>
        <w:rPr>
          <w:b w:val="false"/>
          <w:bCs w:val="false"/>
          <w:i w:val="false"/>
          <w:iCs w:val="false"/>
        </w:rPr>
        <w:t xml:space="preserve"> convention that vanishes continuously at the poles, and the polarity. </w:t>
      </w:r>
      <w:r>
        <w:rPr>
          <w:rFonts w:ascii="Consolas" w:cs="Consolas" w:eastAsia="Consolas" w:hAnsi="Consolas"/>
          <w:b w:val="false"/>
          <w:bCs w:val="false"/>
          <w:i w:val="false"/>
          <w:iCs w:val="false"/>
          <w:sz w:val="19"/>
          <w:szCs w:val="19"/>
        </w:rPr>
        <w:t xml:space="preserve">background/bg_parker.cpp</w:t>
      </w:r>
      <w:r>
        <w:rPr>
          <w:b w:val="false"/>
          <w:bCs w:val="false"/>
          <w:i w:val="false"/>
          <w:iCs w:val="false"/>
        </w:rPr>
        <w:t xml:space="preserve"> wraps it. Gradients, focusing length, and the field-line map are deliberately deferred to Step 13.</w:t>
      </w:r>
    </w:p>
    <w:p>
      <w:pPr>
        <w:spacing w:after="90" w:line="264"/>
        <w:jc w:val="left"/>
      </w:pPr>
      <w:r>
        <w:rPr>
          <w:b/>
          <w:bCs/>
          <w:i w:val="false"/>
          <w:iCs w:val="false"/>
        </w:rPr>
        <w:t xml:space="preserve">New tests. </w:t>
      </w:r>
      <w:r>
        <w:rPr>
          <w:b w:val="false"/>
          <w:bCs w:val="false"/>
          <w:i w:val="false"/>
          <w:iCs w:val="false"/>
        </w:rPr>
        <w:t xml:space="preserve">BG3D01 (∇·B = 0 with a converged fourth-order stencil at 1,024 points across four rotation axes, both polarities, zero and finite source radius: median normalised residual &lt; 10⁻⁸, max &lt; 10⁻⁶). BG3D02 (the component ratios and the r⁻² scaling to 10⁻¹²). BG3D05 (the polar limit down to 10⁻¹² rad from the axis). Cross-check CX01: the Parker field equals SWCME’s </w:t>
      </w:r>
      <w:r>
        <w:rPr>
          <w:rFonts w:ascii="Consolas" w:cs="Consolas" w:eastAsia="Consolas" w:hAnsi="Consolas"/>
          <w:b w:val="false"/>
          <w:bCs w:val="false"/>
          <w:i w:val="false"/>
          <w:iCs w:val="false"/>
          <w:sz w:val="19"/>
          <w:szCs w:val="19"/>
        </w:rPr>
        <w:t xml:space="preserve">swcme3d</w:t>
      </w:r>
      <w:r>
        <w:rPr>
          <w:b w:val="false"/>
          <w:bCs w:val="false"/>
          <w:i w:val="false"/>
          <w:iCs w:val="false"/>
        </w:rPr>
        <w:t xml:space="preserve"> field at 10³ shared positions for a matched configuration, to 10⁻¹³ relative. Frozen record </w:t>
      </w:r>
      <w:r>
        <w:rPr>
          <w:rFonts w:ascii="Consolas" w:cs="Consolas" w:eastAsia="Consolas" w:hAnsi="Consolas"/>
          <w:b w:val="false"/>
          <w:bCs w:val="false"/>
          <w:i w:val="false"/>
          <w:iCs w:val="false"/>
          <w:sz w:val="19"/>
          <w:szCs w:val="19"/>
        </w:rPr>
        <w:t xml:space="preserve">frozen/S12_parker.txt</w:t>
      </w:r>
      <w:r>
        <w:rPr>
          <w:b w:val="false"/>
          <w:bCs w:val="false"/>
          <w:i w:val="false"/>
          <w:iCs w:val="false"/>
        </w:rPr>
        <w:t xml:space="preserve">.</w:t>
      </w:r>
    </w:p>
    <w:p>
      <w:pPr>
        <w:spacing w:after="90" w:line="264"/>
        <w:jc w:val="left"/>
      </w:pPr>
      <w:r>
        <w:rPr>
          <w:b/>
          <w:bCs/>
          <w:i w:val="false"/>
          <w:iCs w:val="false"/>
        </w:rPr>
        <w:t xml:space="preserve">Regression gate. </w:t>
      </w:r>
      <w:r>
        <w:rPr>
          <w:b w:val="false"/>
          <w:bCs w:val="false"/>
          <w:i w:val="false"/>
          <w:iCs w:val="false"/>
        </w:rPr>
        <w:t xml:space="preserve">GEO01–GEO03, SWC01, and the full mesh suite.</w:t>
      </w:r>
    </w:p>
    <w:p>
      <w:pPr>
        <w:spacing w:after="160" w:line="264"/>
        <w:jc w:val="left"/>
      </w:pPr>
      <w:r>
        <w:rPr>
          <w:b/>
          <w:bCs/>
          <w:i w:val="false"/>
          <w:iCs w:val="false"/>
        </w:rPr>
        <w:t xml:space="preserve">Why this step can break earlier work. </w:t>
      </w:r>
      <w:r>
        <w:rPr>
          <w:b w:val="false"/>
          <w:bCs w:val="false"/>
          <w:i w:val="false"/>
          <w:iCs w:val="false"/>
        </w:rPr>
        <w:t xml:space="preserve">CX01 is the payoff for GEO03. Two independently written implementations of the same published formulation agreeing to 10⁻¹³ is strong evidence that both are right; agreeing to 10⁻⁷ would mean one of them has a subtly different convention — most likely the source radius entering the 1 AU normalisation, which is exactly the defect SWCME’s own PAR01 was written to catch.</w:t>
      </w:r>
    </w:p>
    <w:p>
      <w:pPr>
        <w:pStyle w:val="Heading3"/>
        <w:spacing w:after="100" w:before="220"/>
      </w:pPr>
      <w:r>
        <w:t xml:space="preserve">Step 13 — Parker derivatives: gradients, focusing length, arc length, field-line map</w:t>
      </w:r>
    </w:p>
    <w:p>
      <w:pPr>
        <w:spacing w:after="90" w:line="264"/>
        <w:jc w:val="left"/>
      </w:pPr>
      <w:r>
        <w:rPr>
          <w:b/>
          <w:bCs/>
          <w:i w:val="false"/>
          <w:iCs w:val="false"/>
        </w:rPr>
        <w:t xml:space="preserve">Implements. </w:t>
      </w:r>
      <w:r>
        <w:rPr>
          <w:b w:val="false"/>
          <w:bCs w:val="false"/>
          <w:i w:val="false"/>
          <w:iCs w:val="false"/>
        </w:rPr>
        <w:t xml:space="preserve">The symbolically differentiated </w:t>
      </w:r>
      <w:r>
        <w:rPr>
          <w:rFonts w:ascii="Consolas" w:cs="Consolas" w:eastAsia="Consolas" w:hAnsi="Consolas"/>
          <w:b w:val="false"/>
          <w:bCs w:val="false"/>
          <w:i w:val="false"/>
          <w:iCs w:val="false"/>
          <w:sz w:val="19"/>
          <w:szCs w:val="19"/>
        </w:rPr>
        <w:t xml:space="preserve">∂B_i/∂x_j</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the curvature vector </w:t>
      </w:r>
      <w:r>
        <w:rPr>
          <w:rFonts w:ascii="Consolas" w:cs="Consolas" w:eastAsia="Consolas" w:hAnsi="Consolas"/>
          <w:b w:val="false"/>
          <w:bCs w:val="false"/>
          <w:i w:val="false"/>
          <w:iCs w:val="false"/>
          <w:sz w:val="19"/>
          <w:szCs w:val="19"/>
        </w:rPr>
        <w:t xml:space="preserve">(b̂·∇)b̂</w:t>
      </w:r>
      <w:r>
        <w:rPr>
          <w:b w:val="false"/>
          <w:bCs w:val="false"/>
          <w:i w:val="false"/>
          <w:iCs w:val="false"/>
        </w:rPr>
        <w:t xml:space="preserve">; the closed-form </w:t>
      </w:r>
      <w:r>
        <w:rPr>
          <w:rFonts w:ascii="Consolas" w:cs="Consolas" w:eastAsia="Consolas" w:hAnsi="Consolas"/>
          <w:b w:val="false"/>
          <w:bCs w:val="false"/>
          <w:i w:val="false"/>
          <w:iCs w:val="false"/>
          <w:sz w:val="19"/>
          <w:szCs w:val="19"/>
        </w:rPr>
        <w:t xml:space="preserve">L_B</w:t>
      </w:r>
      <w:r>
        <w:rPr>
          <w:b w:val="false"/>
          <w:bCs w:val="false"/>
          <w:i w:val="false"/>
          <w:iCs w:val="false"/>
        </w:rPr>
        <w:t xml:space="preserve">; the analytic arc length; and the </w:t>
      </w:r>
      <w:r>
        <w:rPr>
          <w:rFonts w:ascii="Consolas" w:cs="Consolas" w:eastAsia="Consolas" w:hAnsi="Consolas"/>
          <w:b w:val="false"/>
          <w:bCs w:val="false"/>
          <w:i w:val="false"/>
          <w:iCs w:val="false"/>
          <w:sz w:val="19"/>
          <w:szCs w:val="19"/>
        </w:rPr>
        <w:t xml:space="preserve">Δφ(r)</w:t>
      </w:r>
      <w:r>
        <w:rPr>
          <w:b w:val="false"/>
          <w:bCs w:val="false"/>
          <w:i w:val="false"/>
          <w:iCs w:val="false"/>
        </w:rPr>
        <w:t xml:space="preserve"> field-line map with the </w:t>
      </w:r>
      <w:r>
        <w:rPr>
          <w:rFonts w:ascii="Consolas" w:cs="Consolas" w:eastAsia="Consolas" w:hAnsi="Consolas"/>
          <w:b w:val="false"/>
          <w:bCs w:val="false"/>
          <w:i w:val="false"/>
          <w:iCs w:val="false"/>
          <w:sz w:val="19"/>
          <w:szCs w:val="19"/>
        </w:rPr>
        <w:t xml:space="preserve">r_b ln(r/r_obs)</w:t>
      </w:r>
      <w:r>
        <w:rPr>
          <w:b w:val="false"/>
          <w:bCs w:val="false"/>
          <w:i w:val="false"/>
          <w:iCs w:val="false"/>
        </w:rPr>
        <w:t xml:space="preserve"> term.</w:t>
      </w:r>
    </w:p>
    <w:p>
      <w:pPr>
        <w:spacing w:after="90" w:line="264"/>
        <w:jc w:val="left"/>
      </w:pPr>
      <w:r>
        <w:rPr>
          <w:b/>
          <w:bCs/>
          <w:i w:val="false"/>
          <w:iCs w:val="false"/>
        </w:rPr>
        <w:t xml:space="preserve">New tests. </w:t>
      </w:r>
      <w:r>
        <w:rPr>
          <w:b w:val="false"/>
          <w:bCs w:val="false"/>
          <w:i w:val="false"/>
          <w:iCs w:val="false"/>
        </w:rPr>
        <w:t xml:space="preserve">BG3D03 (a traced field line is tangent, or antitangent for negative polarity, to B within 10⁻⁸ rad). BG3D04 (closed-form L_B versus a converged fourth-order numerical −1/(d ln|B|/ds), relative error &lt; 10⁻⁷). BG3D06 (the analytic gradient tensor versus a converged numerical difference of the analytic field: observed order ≥ 1.9). BG3D10 (the derived scalars against closed forms to 10⁻¹⁰). CX02: arc length and L_B equal SWCME’s </w:t>
      </w:r>
      <w:r>
        <w:rPr>
          <w:rFonts w:ascii="Consolas" w:cs="Consolas" w:eastAsia="Consolas" w:hAnsi="Consolas"/>
          <w:b w:val="false"/>
          <w:bCs w:val="false"/>
          <w:i w:val="false"/>
          <w:iCs w:val="false"/>
          <w:sz w:val="19"/>
          <w:szCs w:val="19"/>
        </w:rPr>
        <w:t xml:space="preserve">swcme_solarwind.hpp</w:t>
      </w:r>
      <w:r>
        <w:rPr>
          <w:b w:val="false"/>
          <w:bCs w:val="false"/>
          <w:i w:val="false"/>
          <w:iCs w:val="false"/>
        </w:rPr>
        <w:t xml:space="preserve"> helpers to 10⁻¹¹.</w:t>
      </w:r>
    </w:p>
    <w:p>
      <w:pPr>
        <w:spacing w:after="90" w:line="264"/>
        <w:jc w:val="left"/>
      </w:pPr>
      <w:r>
        <w:rPr>
          <w:b/>
          <w:bCs/>
          <w:i w:val="false"/>
          <w:iCs w:val="false"/>
        </w:rPr>
        <w:t xml:space="preserve">Regression gate. </w:t>
      </w:r>
      <w:r>
        <w:rPr>
          <w:b w:val="false"/>
          <w:bCs w:val="false"/>
          <w:i w:val="false"/>
          <w:iCs w:val="false"/>
        </w:rPr>
        <w:t xml:space="preserve">BG3D01, BG3D02, BG3D05, CX01, byte identity against </w:t>
      </w:r>
      <w:r>
        <w:rPr>
          <w:rFonts w:ascii="Consolas" w:cs="Consolas" w:eastAsia="Consolas" w:hAnsi="Consolas"/>
          <w:b w:val="false"/>
          <w:bCs w:val="false"/>
          <w:i w:val="false"/>
          <w:iCs w:val="false"/>
          <w:sz w:val="19"/>
          <w:szCs w:val="19"/>
        </w:rPr>
        <w:t xml:space="preserve">frozen/S12_parker.txt</w:t>
      </w:r>
      <w:r>
        <w:rPr>
          <w:b w:val="false"/>
          <w:bCs w:val="false"/>
          <w:i w:val="false"/>
          <w:iCs w:val="false"/>
        </w:rPr>
        <w:t xml:space="preserve">.</w:t>
      </w:r>
    </w:p>
    <w:p>
      <w:pPr>
        <w:spacing w:after="160" w:line="264"/>
        <w:jc w:val="left"/>
      </w:pPr>
      <w:r>
        <w:rPr>
          <w:b/>
          <w:bCs/>
          <w:i w:val="false"/>
          <w:iCs w:val="false"/>
        </w:rPr>
        <w:t xml:space="preserve">Why this step can break earlier work. </w:t>
      </w:r>
      <w:r>
        <w:rPr>
          <w:b w:val="false"/>
          <w:bCs w:val="false"/>
          <w:i w:val="false"/>
          <w:iCs w:val="false"/>
        </w:rPr>
        <w:t xml:space="preserve">The field-line map and the mesh law’s tube centreline are the same formula written twice. If Step 13 refines the map — adding the source-radius logarithm, say — and the mesh law is not updated in the same commit, the refined tube and the actual field line quietly separate. The gate therefore also re-runs MSH3D04, and the implementation shares one function between the two rather than duplicating it.</w:t>
      </w:r>
    </w:p>
    <w:p>
      <w:pPr>
        <w:pStyle w:val="Heading3"/>
        <w:spacing w:after="100" w:before="220"/>
      </w:pPr>
      <w:r>
        <w:t xml:space="preserve">Step 14 — The SWCME provider</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background/bg_swcme.cpp</w:t>
      </w:r>
      <w:r>
        <w:rPr>
          <w:b w:val="false"/>
          <w:bCs w:val="false"/>
          <w:i w:val="false"/>
          <w:iCs w:val="false"/>
        </w:rPr>
        <w:t xml:space="preserve"> adapts </w:t>
      </w:r>
      <w:r>
        <w:rPr>
          <w:rFonts w:ascii="Consolas" w:cs="Consolas" w:eastAsia="Consolas" w:hAnsi="Consolas"/>
          <w:b w:val="false"/>
          <w:bCs w:val="false"/>
          <w:i w:val="false"/>
          <w:iCs w:val="false"/>
          <w:sz w:val="19"/>
          <w:szCs w:val="19"/>
        </w:rPr>
        <w:t xml:space="preserve">swcme::sep::Interface3D</w:t>
      </w:r>
      <w:r>
        <w:rPr>
          <w:b w:val="false"/>
          <w:bCs w:val="false"/>
          <w:i w:val="false"/>
          <w:iCs w:val="false"/>
        </w:rPr>
        <w:t xml:space="preserve"> to </w:t>
      </w:r>
      <w:r>
        <w:rPr>
          <w:rFonts w:ascii="Consolas" w:cs="Consolas" w:eastAsia="Consolas" w:hAnsi="Consolas"/>
          <w:b w:val="false"/>
          <w:bCs w:val="false"/>
          <w:i w:val="false"/>
          <w:iCs w:val="false"/>
          <w:sz w:val="19"/>
          <w:szCs w:val="19"/>
        </w:rPr>
        <w:t xml:space="preserve">BackgroundProvider</w:t>
      </w:r>
      <w:r>
        <w:rPr>
          <w:b w:val="false"/>
          <w:bCs w:val="false"/>
          <w:i w:val="false"/>
          <w:iCs w:val="false"/>
        </w:rPr>
        <w:t xml:space="preserve">. A single </w:t>
      </w:r>
      <w:r>
        <w:rPr>
          <w:rFonts w:ascii="Consolas" w:cs="Consolas" w:eastAsia="Consolas" w:hAnsi="Consolas"/>
          <w:b w:val="false"/>
          <w:bCs w:val="false"/>
          <w:i w:val="false"/>
          <w:iCs w:val="false"/>
          <w:sz w:val="19"/>
          <w:szCs w:val="19"/>
        </w:rPr>
        <w:t xml:space="preserve">SwcmeBackgroundService</w:t>
      </w:r>
      <w:r>
        <w:rPr>
          <w:b w:val="false"/>
          <w:bCs w:val="false"/>
          <w:i w:val="false"/>
          <w:iCs w:val="false"/>
        </w:rPr>
        <w:t xml:space="preserve"> owns the model and the prepared state and is the only code permitted to call </w:t>
      </w:r>
      <w:r>
        <w:rPr>
          <w:rFonts w:ascii="Consolas" w:cs="Consolas" w:eastAsia="Consolas" w:hAnsi="Consolas"/>
          <w:b w:val="false"/>
          <w:bCs w:val="false"/>
          <w:i w:val="false"/>
          <w:iCs w:val="false"/>
          <w:sz w:val="19"/>
          <w:szCs w:val="19"/>
        </w:rPr>
        <w:t xml:space="preserve">prepare()</w:t>
      </w:r>
      <w:r>
        <w:rPr>
          <w:b w:val="false"/>
          <w:bCs w:val="false"/>
          <w:i w:val="false"/>
          <w:iCs w:val="false"/>
        </w:rPr>
        <w:t xml:space="preserve">. The shim contains no physics: no pressure, no focusing, no path length, no shock logic.</w:t>
      </w:r>
    </w:p>
    <w:p>
      <w:pPr>
        <w:spacing w:after="90" w:line="264"/>
        <w:jc w:val="left"/>
      </w:pPr>
      <w:r>
        <w:rPr>
          <w:b/>
          <w:bCs/>
          <w:i w:val="false"/>
          <w:iCs w:val="false"/>
        </w:rPr>
        <w:t xml:space="preserve">New tests. </w:t>
      </w:r>
      <w:r>
        <w:rPr>
          <w:b w:val="false"/>
          <w:bCs w:val="false"/>
          <w:i w:val="false"/>
          <w:iCs w:val="false"/>
        </w:rPr>
        <w:t xml:space="preserve">BG3D07 (transparency: every </w:t>
      </w:r>
      <w:r>
        <w:rPr>
          <w:rFonts w:ascii="Consolas" w:cs="Consolas" w:eastAsia="Consolas" w:hAnsi="Consolas"/>
          <w:b w:val="false"/>
          <w:bCs w:val="false"/>
          <w:i w:val="false"/>
          <w:iCs w:val="false"/>
          <w:sz w:val="19"/>
          <w:szCs w:val="19"/>
        </w:rPr>
        <w:t xml:space="preserve">BackgroundSample</w:t>
      </w:r>
      <w:r>
        <w:rPr>
          <w:b w:val="false"/>
          <w:bCs w:val="false"/>
          <w:i w:val="false"/>
          <w:iCs w:val="false"/>
        </w:rPr>
        <w:t xml:space="preserve"> scalar equals a direct checked </w:t>
      </w:r>
      <w:r>
        <w:rPr>
          <w:rFonts w:ascii="Consolas" w:cs="Consolas" w:eastAsia="Consolas" w:hAnsi="Consolas"/>
          <w:b w:val="false"/>
          <w:bCs w:val="false"/>
          <w:i w:val="false"/>
          <w:iCs w:val="false"/>
          <w:sz w:val="19"/>
          <w:szCs w:val="19"/>
        </w:rPr>
        <w:t xml:space="preserve">swcme3d</w:t>
      </w:r>
      <w:r>
        <w:rPr>
          <w:b w:val="false"/>
          <w:bCs w:val="false"/>
          <w:i w:val="false"/>
          <w:iCs w:val="false"/>
        </w:rPr>
        <w:t xml:space="preserve"> call at identical positions and times, bitwise — the method SWCME’s own PST07 already uses). BG3D08 (ownership, configuration-mismatch, and stale-state rejections propagate without modifying the caller’s output object). PREP01: a counter asserts that </w:t>
      </w:r>
      <w:r>
        <w:rPr>
          <w:rFonts w:ascii="Consolas" w:cs="Consolas" w:eastAsia="Consolas" w:hAnsi="Consolas"/>
          <w:b w:val="false"/>
          <w:bCs w:val="false"/>
          <w:i w:val="false"/>
          <w:iCs w:val="false"/>
          <w:sz w:val="19"/>
          <w:szCs w:val="19"/>
        </w:rPr>
        <w:t xml:space="preserve">prepare()</w:t>
      </w:r>
      <w:r>
        <w:rPr>
          <w:b w:val="false"/>
          <w:bCs w:val="false"/>
          <w:i w:val="false"/>
          <w:iCs w:val="false"/>
        </w:rPr>
        <w:t xml:space="preserve"> is called exactly once per background-update cadence and never from an evaluation path.</w:t>
      </w:r>
    </w:p>
    <w:p>
      <w:pPr>
        <w:spacing w:after="90" w:line="264"/>
        <w:jc w:val="left"/>
      </w:pPr>
      <w:r>
        <w:rPr>
          <w:b/>
          <w:bCs/>
          <w:i w:val="false"/>
          <w:iCs w:val="false"/>
        </w:rPr>
        <w:t xml:space="preserve">Regression gate. </w:t>
      </w:r>
      <w:r>
        <w:rPr>
          <w:b w:val="false"/>
          <w:bCs w:val="false"/>
          <w:i w:val="false"/>
          <w:iCs w:val="false"/>
        </w:rPr>
        <w:t xml:space="preserve">SWC01, SWC02, CX01, CX02, the Parker suite, the mesh suite.</w:t>
      </w:r>
    </w:p>
    <w:p>
      <w:pPr>
        <w:spacing w:after="160" w:line="264"/>
        <w:jc w:val="left"/>
      </w:pPr>
      <w:r>
        <w:rPr>
          <w:b/>
          <w:bCs/>
          <w:i w:val="false"/>
          <w:iCs w:val="false"/>
        </w:rPr>
        <w:t xml:space="preserve">Why this step can break earlier work. </w:t>
      </w:r>
      <w:r>
        <w:rPr>
          <w:b w:val="false"/>
          <w:bCs w:val="false"/>
          <w:i w:val="false"/>
          <w:iCs w:val="false"/>
        </w:rPr>
        <w:t xml:space="preserve">PREP01 exists because </w:t>
      </w:r>
      <w:r>
        <w:rPr>
          <w:rFonts w:ascii="Consolas" w:cs="Consolas" w:eastAsia="Consolas" w:hAnsi="Consolas"/>
          <w:b w:val="false"/>
          <w:bCs w:val="false"/>
          <w:i w:val="false"/>
          <w:iCs w:val="false"/>
          <w:sz w:val="19"/>
          <w:szCs w:val="19"/>
        </w:rPr>
        <w:t xml:space="preserve">prepare_step()</w:t>
      </w:r>
      <w:r>
        <w:rPr>
          <w:b w:val="false"/>
          <w:bCs w:val="false"/>
          <w:i w:val="false"/>
          <w:iCs w:val="false"/>
        </w:rPr>
        <w:t xml:space="preserve"> is a legal call from anywhere and will produce correct answers if invoked per particle — it will merely be several orders of magnitude too slow. A correctness test can never catch this; only a counter can, and it is cheap to add now and expensive to retrofit after Step 23.</w:t>
      </w:r>
    </w:p>
    <w:p>
      <w:pPr>
        <w:pStyle w:val="Heading3"/>
        <w:spacing w:after="100" w:before="220"/>
      </w:pPr>
      <w:r>
        <w:t xml:space="preserve">Step 15 — Cell-centred storage</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amps/amps_background_store.cpp</w:t>
      </w:r>
      <w:r>
        <w:rPr>
          <w:b w:val="false"/>
          <w:bCs w:val="false"/>
          <w:i w:val="false"/>
          <w:iCs w:val="false"/>
        </w:rPr>
        <w:t xml:space="preserve">: register the DATAFILE offsets including the two new ones (</w:t>
      </w:r>
      <w:r>
        <w:rPr>
          <w:rFonts w:ascii="Consolas" w:cs="Consolas" w:eastAsia="Consolas" w:hAnsi="Consolas"/>
          <w:b w:val="false"/>
          <w:bCs w:val="false"/>
          <w:i w:val="false"/>
          <w:iCs w:val="false"/>
          <w:sz w:val="19"/>
          <w:szCs w:val="19"/>
        </w:rPr>
        <w:t xml:space="preserve">PlasmaVelocityGradient</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BackgroundValidity</w:t>
      </w:r>
      <w:r>
        <w:rPr>
          <w:b w:val="false"/>
          <w:bCs w:val="false"/>
          <w:i w:val="false"/>
          <w:iCs w:val="false"/>
        </w:rPr>
        <w:t xml:space="preserve">); fill cell centres one AMR block at a time through the provider’s structure-of-arrays batch evaluator; translate a batch failure index into a cell address; honour the validity flag.</w:t>
      </w:r>
    </w:p>
    <w:p>
      <w:pPr>
        <w:spacing w:after="90" w:line="264"/>
        <w:jc w:val="left"/>
      </w:pPr>
      <w:r>
        <w:rPr>
          <w:b/>
          <w:bCs/>
          <w:i w:val="false"/>
          <w:iCs w:val="false"/>
        </w:rPr>
        <w:t xml:space="preserve">New tests. </w:t>
      </w:r>
      <w:r>
        <w:rPr>
          <w:b w:val="false"/>
          <w:bCs w:val="false"/>
          <w:i w:val="false"/>
          <w:iCs w:val="false"/>
        </w:rPr>
        <w:t xml:space="preserve">NAT3D02 (stored values equal direct provider evaluations — bitwise for the analytic provider, within round-off for SWCME). BG3D11 (trilinear interpolation of a stored analytic field converges at second order on a uniform emulated grid). BG3D12 (an invalid cell anywhere in a stencil yields </w:t>
      </w:r>
      <w:r>
        <w:rPr>
          <w:rFonts w:ascii="Consolas" w:cs="Consolas" w:eastAsia="Consolas" w:hAnsi="Consolas"/>
          <w:b w:val="false"/>
          <w:bCs w:val="false"/>
          <w:i w:val="false"/>
          <w:iCs w:val="false"/>
          <w:sz w:val="19"/>
          <w:szCs w:val="19"/>
        </w:rPr>
        <w:t xml:space="preserve">valid = false</w:t>
      </w:r>
      <w:r>
        <w:rPr>
          <w:b w:val="false"/>
          <w:bCs w:val="false"/>
          <w:i w:val="false"/>
          <w:iCs w:val="false"/>
        </w:rPr>
        <w:t xml:space="preserve"> and no numerical value is invented).</w:t>
      </w:r>
    </w:p>
    <w:p>
      <w:pPr>
        <w:spacing w:after="90" w:line="264"/>
        <w:jc w:val="left"/>
      </w:pPr>
      <w:r>
        <w:rPr>
          <w:b/>
          <w:bCs/>
          <w:i w:val="false"/>
          <w:iCs w:val="false"/>
        </w:rPr>
        <w:t xml:space="preserve">Regression gate. </w:t>
      </w:r>
      <w:r>
        <w:rPr>
          <w:b w:val="false"/>
          <w:bCs w:val="false"/>
          <w:i w:val="false"/>
          <w:iCs w:val="false"/>
        </w:rPr>
        <w:t xml:space="preserve">NAT3D01, the full Stage-1 suite, BG3D07.</w:t>
      </w:r>
    </w:p>
    <w:p>
      <w:pPr>
        <w:spacing w:after="160" w:line="264"/>
        <w:jc w:val="left"/>
      </w:pPr>
      <w:r>
        <w:rPr>
          <w:b/>
          <w:bCs/>
          <w:i w:val="false"/>
          <w:iCs w:val="false"/>
        </w:rPr>
        <w:t xml:space="preserve">Why this step can break earlier work. </w:t>
      </w:r>
      <w:r>
        <w:rPr>
          <w:b w:val="false"/>
          <w:bCs w:val="false"/>
          <w:i w:val="false"/>
          <w:iCs w:val="false"/>
        </w:rPr>
        <w:t xml:space="preserve">Offset registration is order-dependent and global. Adding two offsets shifts the relative offsets of everything registered after them. If any code computed a background address by hand rather than through </w:t>
      </w:r>
      <w:r>
        <w:rPr>
          <w:rFonts w:ascii="Consolas" w:cs="Consolas" w:eastAsia="Consolas" w:hAnsi="Consolas"/>
          <w:b w:val="false"/>
          <w:bCs w:val="false"/>
          <w:i w:val="false"/>
          <w:iCs w:val="false"/>
          <w:sz w:val="19"/>
          <w:szCs w:val="19"/>
        </w:rPr>
        <w:t xml:space="preserve">Offset::X.RelativeOffset</w:t>
      </w:r>
      <w:r>
        <w:rPr>
          <w:b w:val="false"/>
          <w:bCs w:val="false"/>
          <w:i w:val="false"/>
          <w:iCs w:val="false"/>
        </w:rPr>
        <w:t xml:space="preserve">, it now reads the wrong field and returns a plausible number. NAT3D02’s bitwise comparison against the provider is what catches that immediately.</w:t>
      </w:r>
    </w:p>
    <w:p>
      <w:pPr>
        <w:pStyle w:val="Heading3"/>
        <w:spacing w:after="100" w:before="220"/>
      </w:pPr>
      <w:r>
        <w:t xml:space="preserve">Step 16 — Derived scalars, gradient generation, and time buffering</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amps/amps_field_gradients.cpp</w:t>
      </w:r>
      <w:r>
        <w:rPr>
          <w:b w:val="false"/>
          <w:bCs w:val="false"/>
          <w:i w:val="false"/>
          <w:iCs w:val="false"/>
        </w:rPr>
        <w:t xml:space="preserve">: precompute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(b̂·∇)b̂</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b̂b̂:∇U</w:t>
      </w:r>
      <w:r>
        <w:rPr>
          <w:b w:val="false"/>
          <w:bCs w:val="false"/>
          <w:i w:val="false"/>
          <w:iCs w:val="false"/>
        </w:rPr>
        <w:t xml:space="preserve"> at each cell centre using that cell’s own b̂, so they are interpolated as invariants; use the analytic path when the provider advertises it and the multi-block stencil otherwise. Enable the Curr/Next double buffer with linear time interpolation.</w:t>
      </w:r>
    </w:p>
    <w:p>
      <w:pPr>
        <w:spacing w:after="90" w:line="264"/>
        <w:jc w:val="left"/>
      </w:pPr>
      <w:r>
        <w:rPr>
          <w:b/>
          <w:bCs/>
          <w:i w:val="false"/>
          <w:iCs w:val="false"/>
        </w:rPr>
        <w:t xml:space="preserve">New tests. </w:t>
      </w:r>
      <w:r>
        <w:rPr>
          <w:b w:val="false"/>
          <w:bCs w:val="false"/>
          <w:i w:val="false"/>
          <w:iCs w:val="false"/>
        </w:rPr>
        <w:t xml:space="preserve">NAT3D03 (generated ∇|B| matches the analytic gradient in the interior to 1%; the discontinuity of ∇·b̂ across every refinement boundary in a reference mesh is reported as a metric and is below 5%). NAT3D11a (the Curr/Next interpolation is continuous in time: sampling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at 10³ times across a snapshot boundary shows no step larger than the local time derivative times the sampling interval).</w:t>
      </w:r>
    </w:p>
    <w:p>
      <w:pPr>
        <w:spacing w:after="90" w:line="264"/>
        <w:jc w:val="left"/>
      </w:pPr>
      <w:r>
        <w:rPr>
          <w:b/>
          <w:bCs/>
          <w:i w:val="false"/>
          <w:iCs w:val="false"/>
        </w:rPr>
        <w:t xml:space="preserve">Regression gate. </w:t>
      </w:r>
      <w:r>
        <w:rPr>
          <w:b w:val="false"/>
          <w:bCs w:val="false"/>
          <w:i w:val="false"/>
          <w:iCs w:val="false"/>
        </w:rPr>
        <w:t xml:space="preserve">NAT3D02 — and specifically, NAT3D02 re-run with a </w:t>
      </w:r>
      <w:r>
        <w:rPr>
          <w:b w:val="false"/>
          <w:bCs w:val="false"/>
          <w:i/>
          <w:iCs/>
        </w:rPr>
        <w:t xml:space="preserve">single</w:t>
      </w:r>
      <w:r>
        <w:rPr>
          <w:b w:val="false"/>
          <w:bCs w:val="false"/>
          <w:i w:val="false"/>
          <w:iCs w:val="false"/>
        </w:rPr>
        <w:t xml:space="preserve"> snapshot loaded, which must give results bitwise identical to Step 15.</w:t>
      </w:r>
    </w:p>
    <w:p>
      <w:pPr>
        <w:spacing w:after="160" w:line="264"/>
        <w:jc w:val="left"/>
      </w:pPr>
      <w:r>
        <w:rPr>
          <w:b/>
          <w:bCs/>
          <w:i w:val="false"/>
          <w:iCs w:val="false"/>
        </w:rPr>
        <w:t xml:space="preserve">Why this step can break earlier work. </w:t>
      </w:r>
      <w:r>
        <w:rPr>
          <w:b w:val="false"/>
          <w:bCs w:val="false"/>
          <w:i w:val="false"/>
          <w:iCs w:val="false"/>
        </w:rPr>
        <w:t xml:space="preserve">Turning on the double buffer changes the address arithmetic in </w:t>
      </w:r>
      <w:r>
        <w:rPr>
          <w:rFonts w:ascii="Consolas" w:cs="Consolas" w:eastAsia="Consolas" w:hAnsi="Consolas"/>
          <w:b w:val="false"/>
          <w:bCs w:val="false"/>
          <w:i w:val="false"/>
          <w:iCs w:val="false"/>
          <w:sz w:val="19"/>
          <w:szCs w:val="19"/>
        </w:rPr>
        <w:t xml:space="preserve">GetBackgroundValue</w:t>
      </w:r>
      <w:r>
        <w:rPr>
          <w:b w:val="false"/>
          <w:bCs w:val="false"/>
          <w:i w:val="false"/>
          <w:iCs w:val="false"/>
        </w:rPr>
        <w:t xml:space="preserve"> and introduces an interpolation weight α that is computed from the schedule. With one snapshot loaded, the </w:t>
      </w:r>
      <w:r>
        <w:rPr>
          <w:rFonts w:ascii="Consolas" w:cs="Consolas" w:eastAsia="Consolas" w:hAnsi="Consolas"/>
          <w:b w:val="false"/>
          <w:bCs w:val="false"/>
          <w:i w:val="false"/>
          <w:iCs w:val="false"/>
          <w:sz w:val="19"/>
          <w:szCs w:val="19"/>
        </w:rPr>
        <w:t xml:space="preserve">ReachedLastFile</w:t>
      </w:r>
      <w:r>
        <w:rPr>
          <w:b w:val="false"/>
          <w:bCs w:val="false"/>
          <w:i w:val="false"/>
          <w:iCs w:val="false"/>
        </w:rPr>
        <w:t xml:space="preserve"> branch is taken and α can legitimately evaluate to something other than 1 if the schedule has fewer than two entries. That produces a field blended with uninitialised memory. Re-running NAT3D02 in single-snapshot mode is the specific guard, and it is why the single-snapshot case is called out rather than assumed covered.</w:t>
      </w:r>
    </w:p>
    <w:p>
      <w:pPr>
        <w:pStyle w:val="Heading3"/>
        <w:spacing w:after="100" w:before="220"/>
      </w:pPr>
      <w:r>
        <w:t xml:space="preserve">Step 17 — The external-script specification and its inert tests</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BACKGROUND_FIELD.md</w:t>
      </w:r>
      <w:r>
        <w:rPr>
          <w:b w:val="false"/>
          <w:bCs w:val="false"/>
          <w:i w:val="false"/>
          <w:iCs w:val="false"/>
        </w:rPr>
        <w:t xml:space="preserve"> §5.5 in full; the CLI options parsed and validated but rejecting </w:t>
      </w:r>
      <w:r>
        <w:rPr>
          <w:rFonts w:ascii="Consolas" w:cs="Consolas" w:eastAsia="Consolas" w:hAnsi="Consolas"/>
          <w:b w:val="false"/>
          <w:bCs w:val="false"/>
          <w:i w:val="false"/>
          <w:iCs w:val="false"/>
          <w:sz w:val="19"/>
          <w:szCs w:val="19"/>
        </w:rPr>
        <w:t xml:space="preserve">--background-field external-script</w:t>
      </w:r>
      <w:r>
        <w:rPr>
          <w:b w:val="false"/>
          <w:bCs w:val="false"/>
          <w:i w:val="false"/>
          <w:iCs w:val="false"/>
        </w:rPr>
        <w:t xml:space="preserve"> with "reserved, not implemented in this release"; the cell-centre writer and field reader implemented as pure functions over byte buffers in L1, with no process launch; </w:t>
      </w:r>
      <w:r>
        <w:rPr>
          <w:rFonts w:ascii="Consolas" w:cs="Consolas" w:eastAsia="Consolas" w:hAnsi="Consolas"/>
          <w:b w:val="false"/>
          <w:bCs w:val="false"/>
          <w:i w:val="false"/>
          <w:iCs w:val="false"/>
          <w:sz w:val="19"/>
          <w:szCs w:val="19"/>
        </w:rPr>
        <w:t xml:space="preserve">test/stubs/parker_field_stub.py</w:t>
      </w:r>
      <w:r>
        <w:rPr>
          <w:b w:val="false"/>
          <w:bCs w:val="false"/>
          <w:i w:val="false"/>
          <w:iCs w:val="false"/>
        </w:rPr>
        <w:t xml:space="preserve">.</w:t>
      </w:r>
    </w:p>
    <w:p>
      <w:pPr>
        <w:spacing w:after="90" w:line="264"/>
        <w:jc w:val="left"/>
      </w:pPr>
      <w:r>
        <w:rPr>
          <w:b/>
          <w:bCs/>
          <w:i w:val="false"/>
          <w:iCs w:val="false"/>
        </w:rPr>
        <w:t xml:space="preserve">New tests. </w:t>
      </w:r>
      <w:r>
        <w:rPr>
          <w:b w:val="false"/>
          <w:bCs w:val="false"/>
          <w:i w:val="false"/>
          <w:iCs w:val="false"/>
        </w:rPr>
        <w:t xml:space="preserve">BGX01–BGX07 registered. BGX01 and BGX03 can run now, because they exercise only the writer and reader: a round trip through the byte buffers with the stub’s values pasted in reproduces the internal Parker field to 10⁻¹², and every corruption mode — shuffled rows, mesh-signature mismatch, checksum mismatch, truncation, wrong nPoints, wrong magic — is rejected with a distinct diagnostic. BGX02 and BGX04–BGX07 require the launcher and report SKIP with the reason "external launcher not implemented in this release".</w:t>
      </w:r>
    </w:p>
    <w:p>
      <w:pPr>
        <w:spacing w:after="90" w:line="264"/>
        <w:jc w:val="left"/>
      </w:pPr>
      <w:r>
        <w:rPr>
          <w:b/>
          <w:bCs/>
          <w:i w:val="false"/>
          <w:iCs w:val="false"/>
        </w:rPr>
        <w:t xml:space="preserve">Regression gate. </w:t>
      </w:r>
      <w:r>
        <w:rPr>
          <w:b w:val="false"/>
          <w:bCs w:val="false"/>
          <w:i w:val="false"/>
          <w:iCs w:val="false"/>
        </w:rPr>
        <w:t xml:space="preserve">The full background suite and the Stage-1 suite.</w:t>
      </w:r>
    </w:p>
    <w:p>
      <w:pPr>
        <w:spacing w:after="160" w:line="264"/>
        <w:jc w:val="left"/>
      </w:pPr>
      <w:r>
        <w:rPr>
          <w:b/>
          <w:bCs/>
          <w:i w:val="false"/>
          <w:iCs w:val="false"/>
        </w:rPr>
        <w:t xml:space="preserve">Why this step can break earlier work. </w:t>
      </w:r>
      <w:r>
        <w:rPr>
          <w:b w:val="false"/>
          <w:bCs w:val="false"/>
          <w:i w:val="false"/>
          <w:iCs w:val="false"/>
        </w:rPr>
        <w:t xml:space="preserve">This step adds no production code path, so the regression risk is low — but the CLI now parses seven new options, and CLI parsing is global. A mis-specified option table can shadow an existing option or change the arity of a neighbouring one. The gate’s CLI tests cover it; the reason to do the step here rather than later is that the background contract is fresh and the format can be written against it accurately.</w:t>
      </w:r>
    </w:p>
    <w:p>
      <w:pPr>
        <w:pStyle w:val="Heading2"/>
        <w:spacing w:after="120" w:before="280"/>
      </w:pPr>
      <w:r>
        <w:t xml:space="preserve">12.6 Phase D — Coefficients (Steps 18–19)</w:t>
      </w:r>
    </w:p>
    <w:p>
      <w:pPr>
        <w:pStyle w:val="Heading3"/>
        <w:spacing w:after="100" w:before="220"/>
      </w:pPr>
      <w:r>
        <w:t xml:space="preserve">Step 18 — The 3-D provider interfaces and the registry extension</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core/sep3d_coefficients.{h,cpp}</w:t>
      </w:r>
      <w:r>
        <w:rPr>
          <w:b w:val="false"/>
          <w:bCs w:val="false"/>
          <w:i w:val="false"/>
          <w:iCs w:val="false"/>
        </w:rPr>
        <w:t xml:space="preserve">: the 3-D provider interfaces taking a position vector and a </w:t>
      </w:r>
      <w:r>
        <w:rPr>
          <w:rFonts w:ascii="Consolas" w:cs="Consolas" w:eastAsia="Consolas" w:hAnsi="Consolas"/>
          <w:b w:val="false"/>
          <w:bCs w:val="false"/>
          <w:i w:val="false"/>
          <w:iCs w:val="false"/>
          <w:sz w:val="19"/>
          <w:szCs w:val="19"/>
        </w:rPr>
        <w:t xml:space="preserve">BackgroundSample</w:t>
      </w:r>
      <w:r>
        <w:rPr>
          <w:b w:val="false"/>
          <w:bCs w:val="false"/>
          <w:i w:val="false"/>
          <w:iCs w:val="false"/>
        </w:rPr>
        <w:t xml:space="preserve"> rather than an arc length; the registry extended with the reserved perpendicular and drift slots, the spectrum-extension policy, and their parsers; the fingerprint extended to cover them; the </w:t>
      </w:r>
      <w:r>
        <w:rPr>
          <w:rFonts w:ascii="Consolas" w:cs="Consolas" w:eastAsia="Consolas" w:hAnsi="Consolas"/>
          <w:b w:val="false"/>
          <w:bCs w:val="false"/>
          <w:i w:val="false"/>
          <w:iCs w:val="false"/>
          <w:sz w:val="19"/>
          <w:szCs w:val="19"/>
        </w:rPr>
        <w:t xml:space="preserve">core/sep3d_cli.{h,cpp}</w:t>
      </w:r>
      <w:r>
        <w:rPr>
          <w:b w:val="false"/>
          <w:bCs w:val="false"/>
          <w:i w:val="false"/>
          <w:iCs w:val="false"/>
        </w:rPr>
        <w:t xml:space="preserve"> option table.</w:t>
      </w:r>
    </w:p>
    <w:p>
      <w:pPr>
        <w:spacing w:after="90" w:line="264"/>
        <w:jc w:val="left"/>
      </w:pPr>
      <w:r>
        <w:rPr>
          <w:b/>
          <w:bCs/>
          <w:i w:val="false"/>
          <w:iCs w:val="false"/>
        </w:rPr>
        <w:t xml:space="preserve">New tests. </w:t>
      </w:r>
      <w:r>
        <w:rPr>
          <w:b w:val="false"/>
          <w:bCs w:val="false"/>
          <w:i w:val="false"/>
          <w:iCs w:val="false"/>
        </w:rPr>
        <w:t xml:space="preserve">CLI3D01–CLI3D05, COEF3D01 (conversion round trips), COEF3D02 (every named provider reproduces the srcSEP 1-D implementation bitwise, by direct call into </w:t>
      </w:r>
      <w:r>
        <w:rPr>
          <w:rFonts w:ascii="Consolas" w:cs="Consolas" w:eastAsia="Consolas" w:hAnsi="Consolas"/>
          <w:b w:val="false"/>
          <w:bCs w:val="false"/>
          <w:i w:val="false"/>
          <w:iCs w:val="false"/>
          <w:sz w:val="19"/>
          <w:szCs w:val="19"/>
        </w:rPr>
        <w:t xml:space="preserve">sep_util.a</w:t>
      </w:r>
      <w:r>
        <w:rPr>
          <w:b w:val="false"/>
          <w:bCs w:val="false"/>
          <w:i w:val="false"/>
          <w:iCs w:val="false"/>
        </w:rPr>
        <w:t xml:space="preserve">), COEF3D06 (every reserved name rejected with its exact diagnostic), COEF3D07 (the spectrum-extension policies for a 100 keV electron whose resonant k lies outside the configured band), COEF3D08 (ballistic is exactly </w:t>
      </w:r>
      <w:r>
        <w:rPr>
          <w:rFonts w:ascii="Consolas" w:cs="Consolas" w:eastAsia="Consolas" w:hAnsi="Consolas"/>
          <w:b w:val="false"/>
          <w:bCs w:val="false"/>
          <w:i w:val="false"/>
          <w:iCs w:val="false"/>
          <w:sz w:val="19"/>
          <w:szCs w:val="19"/>
        </w:rPr>
        <w:t xml:space="preserve">isinf</w:t>
      </w:r>
      <w:r>
        <w:rPr>
          <w:b w:val="false"/>
          <w:bCs w:val="false"/>
          <w:i w:val="false"/>
          <w:iCs w:val="false"/>
        </w:rPr>
        <w:t xml:space="preserve"> with a zero event rate, never a finite clamp).</w:t>
      </w:r>
    </w:p>
    <w:p>
      <w:pPr>
        <w:spacing w:after="90" w:line="264"/>
        <w:jc w:val="left"/>
      </w:pPr>
      <w:r>
        <w:rPr>
          <w:b/>
          <w:bCs/>
          <w:i w:val="false"/>
          <w:iCs w:val="false"/>
        </w:rPr>
        <w:t xml:space="preserve">Regression gate. </w:t>
      </w:r>
      <w:r>
        <w:rPr>
          <w:b w:val="false"/>
          <w:bCs w:val="false"/>
          <w:i w:val="false"/>
          <w:iCs w:val="false"/>
        </w:rPr>
        <w:t xml:space="preserve">UTIL02 — and this is the one that matters — byte identity of </w:t>
      </w:r>
      <w:r>
        <w:rPr>
          <w:rFonts w:ascii="Consolas" w:cs="Consolas" w:eastAsia="Consolas" w:hAnsi="Consolas"/>
          <w:b w:val="false"/>
          <w:bCs w:val="false"/>
          <w:i w:val="false"/>
          <w:iCs w:val="false"/>
          <w:sz w:val="19"/>
          <w:szCs w:val="19"/>
        </w:rPr>
        <w:t xml:space="preserve">frozen/S03_kernels.txt</w:t>
      </w:r>
      <w:r>
        <w:rPr>
          <w:b w:val="false"/>
          <w:bCs w:val="false"/>
          <w:i w:val="false"/>
          <w:iCs w:val="false"/>
        </w:rPr>
        <w:t xml:space="preserve">, which includes </w:t>
      </w:r>
      <w:r>
        <w:rPr>
          <w:rFonts w:ascii="Consolas" w:cs="Consolas" w:eastAsia="Consolas" w:hAnsi="Consolas"/>
          <w:b w:val="false"/>
          <w:bCs w:val="false"/>
          <w:i w:val="false"/>
          <w:iCs w:val="false"/>
          <w:sz w:val="19"/>
          <w:szCs w:val="19"/>
        </w:rPr>
        <w:t xml:space="preserve">ConfigurationFingerprint</w:t>
      </w:r>
      <w:r>
        <w:rPr>
          <w:b w:val="false"/>
          <w:bCs w:val="false"/>
          <w:i w:val="false"/>
          <w:iCs w:val="false"/>
        </w:rPr>
        <w:t xml:space="preserve"> for eight configurations.</w:t>
      </w:r>
    </w:p>
    <w:p>
      <w:pPr>
        <w:spacing w:after="160" w:line="264"/>
        <w:jc w:val="left"/>
      </w:pPr>
      <w:r>
        <w:rPr>
          <w:b/>
          <w:bCs/>
          <w:i w:val="false"/>
          <w:iCs w:val="false"/>
        </w:rPr>
        <w:t xml:space="preserve">Why this step can break earlier work. </w:t>
      </w:r>
      <w:r>
        <w:rPr>
          <w:b w:val="false"/>
          <w:bCs w:val="false"/>
          <w:i w:val="false"/>
          <w:iCs w:val="false"/>
        </w:rPr>
        <w:t xml:space="preserve">Extending the fingerprint to cover two new slots will change the fingerprint of every existing configuration unless the extension is appended in a way that preserves the previous hash for previously-valid inputs — or unless the version tag is bumped deliberately. If it changes silently, every srcSEP checkpoint and every archived run manifest becomes unverifiable, and nobody notices until a restart is rejected months later. UTIL02 forces the decision to be explicit: either the record still matches, or it is re-frozen with a stated version bump.</w:t>
      </w:r>
    </w:p>
    <w:p>
      <w:pPr>
        <w:pStyle w:val="Heading3"/>
        <w:spacing w:after="100" w:before="220"/>
      </w:pPr>
      <w:r>
        <w:t xml:space="preserve">Step 19 — Tensor assembly, ∇·κ, and the κ∥ gradient</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AssembleDiffusionTensor</w:t>
      </w:r>
      <w:r>
        <w:rPr>
          <w:b w:val="false"/>
          <w:bCs w:val="false"/>
          <w:i w:val="false"/>
          <w:iCs w:val="false"/>
        </w:rPr>
        <w:t xml:space="preserve"> returning κ∥, κ⊥ = 0, κ_A = 0, the triad, </w:t>
      </w:r>
      <w:r>
        <w:rPr>
          <w:rFonts w:ascii="Consolas" w:cs="Consolas" w:eastAsia="Consolas" w:hAnsi="Consolas"/>
          <w:b w:val="false"/>
          <w:bCs w:val="false"/>
          <w:i w:val="false"/>
          <w:iCs w:val="false"/>
          <w:sz w:val="19"/>
          <w:szCs w:val="19"/>
        </w:rPr>
        <w:t xml:space="preserve">∇·κ</w:t>
      </w:r>
      <w:r>
        <w:rPr>
          <w:b w:val="false"/>
          <w:bCs w:val="false"/>
          <w:i w:val="false"/>
          <w:iCs w:val="false"/>
        </w:rPr>
        <w:t xml:space="preserve"> from the closed form, and provenance; both κ∥-gradient modes (numerical central difference along b̂ with </w:t>
      </w:r>
      <w:r>
        <w:rPr>
          <w:rFonts w:ascii="Consolas" w:cs="Consolas" w:eastAsia="Consolas" w:hAnsi="Consolas"/>
          <w:b w:val="false"/>
          <w:bCs w:val="false"/>
          <w:i w:val="false"/>
          <w:iCs w:val="false"/>
          <w:sz w:val="19"/>
          <w:szCs w:val="19"/>
        </w:rPr>
        <w:t xml:space="preserve">h = min(0.25 Δ_cell, 0.05 L_B)</w:t>
      </w:r>
      <w:r>
        <w:rPr>
          <w:b w:val="false"/>
          <w:bCs w:val="false"/>
          <w:i w:val="false"/>
          <w:iCs w:val="false"/>
        </w:rPr>
        <w:t xml:space="preserve">, and the analytic chain rule when the provider advertises it).</w:t>
      </w:r>
    </w:p>
    <w:p>
      <w:pPr>
        <w:spacing w:after="90" w:line="264"/>
        <w:jc w:val="left"/>
      </w:pPr>
      <w:r>
        <w:rPr>
          <w:b/>
          <w:bCs/>
          <w:i w:val="false"/>
          <w:iCs w:val="false"/>
        </w:rPr>
        <w:t xml:space="preserve">New tests. </w:t>
      </w:r>
      <w:r>
        <w:rPr>
          <w:b w:val="false"/>
          <w:bCs w:val="false"/>
          <w:i w:val="false"/>
          <w:iCs w:val="false"/>
        </w:rPr>
        <w:t xml:space="preserve">COEF3D03 (with κ⊥ = 0, </w:t>
      </w:r>
      <w:r>
        <w:rPr>
          <w:rFonts w:ascii="Consolas" w:cs="Consolas" w:eastAsia="Consolas" w:hAnsi="Consolas"/>
          <w:b w:val="false"/>
          <w:bCs w:val="false"/>
          <w:i w:val="false"/>
          <w:iCs w:val="false"/>
          <w:sz w:val="19"/>
          <w:szCs w:val="19"/>
        </w:rPr>
        <w:t xml:space="preserve">κ·n̂ = κ∥(b̂·n̂)b̂</w:t>
      </w:r>
      <w:r>
        <w:rPr>
          <w:b w:val="false"/>
          <w:bCs w:val="false"/>
          <w:i w:val="false"/>
          <w:iCs w:val="false"/>
        </w:rPr>
        <w:t xml:space="preserve"> for 10³ random n̂, to 10⁻¹⁴). COEF3D04 (the closed-form ∇·κ equals the numerical divergence of the assembled tensor on an analytic Parker background: observed order ≥ 1.9). COEF3D05 (the triad is orthonormal and continuous along a traced Parker line including near the pole). PRK3D04 (numerical and analytic κ∥-gradient modes agree; the numerical mode converges at second order in h).</w:t>
      </w:r>
    </w:p>
    <w:p>
      <w:pPr>
        <w:spacing w:after="90" w:line="264"/>
        <w:jc w:val="left"/>
      </w:pPr>
      <w:r>
        <w:rPr>
          <w:b/>
          <w:bCs/>
          <w:i w:val="false"/>
          <w:iCs w:val="false"/>
        </w:rPr>
        <w:t xml:space="preserve">Regression gate. </w:t>
      </w:r>
      <w:r>
        <w:rPr>
          <w:b w:val="false"/>
          <w:bCs w:val="false"/>
          <w:i w:val="false"/>
          <w:iCs w:val="false"/>
        </w:rPr>
        <w:t xml:space="preserve">All of Phase C, COEF3D01–COEF3D02, CLI3D01–CLI3D05.</w:t>
      </w:r>
    </w:p>
    <w:p>
      <w:pPr>
        <w:spacing w:after="160" w:line="264"/>
        <w:jc w:val="left"/>
      </w:pPr>
      <w:r>
        <w:rPr>
          <w:b/>
          <w:bCs/>
          <w:i w:val="false"/>
          <w:iCs w:val="false"/>
        </w:rPr>
        <w:t xml:space="preserve">Why this step can break earlier work. </w:t>
      </w:r>
      <w:r>
        <w:rPr>
          <w:b w:val="false"/>
          <w:bCs w:val="false"/>
          <w:i w:val="false"/>
          <w:iCs w:val="false"/>
        </w:rPr>
        <w:t xml:space="preserve">The closed-form ∇·κ consumes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(b̂·∇)b̂</w:t>
      </w:r>
      <w:r>
        <w:rPr>
          <w:b w:val="false"/>
          <w:bCs w:val="false"/>
          <w:i w:val="false"/>
          <w:iCs w:val="false"/>
        </w:rPr>
        <w:t xml:space="preserve"> — the two scalars Step 16 chose to precompute at cell centres. If Step 19’s derivation uses a different sign convention for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than Step 13 did, COEF3D04 will pass (both sides use the same convention) while the mover silently drifts the wrong way. The gate therefore keeps BG3D10, which pins </w:t>
      </w:r>
      <w:r>
        <w:rPr>
          <w:rFonts w:ascii="Consolas" w:cs="Consolas" w:eastAsia="Consolas" w:hAnsi="Consolas"/>
          <w:b w:val="false"/>
          <w:bCs w:val="false"/>
          <w:i w:val="false"/>
          <w:iCs w:val="false"/>
          <w:sz w:val="19"/>
          <w:szCs w:val="19"/>
        </w:rPr>
        <w:t xml:space="preserve">∇·b̂</w:t>
      </w:r>
      <w:r>
        <w:rPr>
          <w:b w:val="false"/>
          <w:bCs w:val="false"/>
          <w:i w:val="false"/>
          <w:iCs w:val="false"/>
        </w:rPr>
        <w:t xml:space="preserve"> against an independent closed form, and PRK3D05 at Step 21 is the test that closes the loop.</w:t>
      </w:r>
    </w:p>
    <w:p>
      <w:pPr>
        <w:pStyle w:val="Heading2"/>
        <w:spacing w:after="120" w:before="280"/>
      </w:pPr>
      <w:r>
        <w:t xml:space="preserve">12.7 Phase E — Movers (Steps 20–23)</w:t>
      </w:r>
    </w:p>
    <w:p>
      <w:pPr>
        <w:pStyle w:val="Heading3"/>
        <w:spacing w:after="100" w:before="220"/>
      </w:pPr>
      <w:r>
        <w:t xml:space="preserve">Step 20 — The substep selector</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core/sep3d_timestep.{h,cpp}</w:t>
      </w:r>
      <w:r>
        <w:rPr>
          <w:b w:val="false"/>
          <w:bCs w:val="false"/>
          <w:i w:val="false"/>
          <w:iCs w:val="false"/>
        </w:rPr>
        <w:t xml:space="preserve">: the ten named limits of §4.7, </w:t>
      </w:r>
      <w:r>
        <w:rPr>
          <w:rFonts w:ascii="Consolas" w:cs="Consolas" w:eastAsia="Consolas" w:hAnsi="Consolas"/>
          <w:b w:val="false"/>
          <w:bCs w:val="false"/>
          <w:i w:val="false"/>
          <w:iCs w:val="false"/>
          <w:sz w:val="19"/>
          <w:szCs w:val="19"/>
        </w:rPr>
        <w:t xml:space="preserve">SelectSubstep</w:t>
      </w:r>
      <w:r>
        <w:rPr>
          <w:b w:val="false"/>
          <w:bCs w:val="false"/>
          <w:i w:val="false"/>
          <w:iCs w:val="false"/>
        </w:rPr>
        <w:t xml:space="preserve"> returning the minimum together with the binding limit’s name and a per-limit counter, and </w:t>
      </w:r>
      <w:r>
        <w:rPr>
          <w:rFonts w:ascii="Consolas" w:cs="Consolas" w:eastAsia="Consolas" w:hAnsi="Consolas"/>
          <w:b w:val="false"/>
          <w:bCs w:val="false"/>
          <w:i w:val="false"/>
          <w:iCs w:val="false"/>
          <w:sz w:val="19"/>
          <w:szCs w:val="19"/>
        </w:rPr>
        <w:t xml:space="preserve">StepUnderflow</w:t>
      </w:r>
      <w:r>
        <w:rPr>
          <w:b w:val="false"/>
          <w:bCs w:val="false"/>
          <w:i w:val="false"/>
          <w:iCs w:val="false"/>
        </w:rPr>
        <w:t xml:space="preserve"> when the minimum falls below the declared floor.</w:t>
      </w:r>
    </w:p>
    <w:p>
      <w:pPr>
        <w:spacing w:after="90" w:line="264"/>
        <w:jc w:val="left"/>
      </w:pPr>
      <w:r>
        <w:rPr>
          <w:b/>
          <w:bCs/>
          <w:i w:val="false"/>
          <w:iCs w:val="false"/>
        </w:rPr>
        <w:t xml:space="preserve">New tests. </w:t>
      </w:r>
      <w:r>
        <w:rPr>
          <w:b w:val="false"/>
          <w:bCs w:val="false"/>
          <w:i w:val="false"/>
          <w:iCs w:val="false"/>
        </w:rPr>
        <w:t xml:space="preserve">PRK3D09: each named limit is made binding in turn by construction and the selector reports the correct name and count; a forced underflow returns </w:t>
      </w:r>
      <w:r>
        <w:rPr>
          <w:rFonts w:ascii="Consolas" w:cs="Consolas" w:eastAsia="Consolas" w:hAnsi="Consolas"/>
          <w:b w:val="false"/>
          <w:bCs w:val="false"/>
          <w:i w:val="false"/>
          <w:iCs w:val="false"/>
          <w:sz w:val="19"/>
          <w:szCs w:val="19"/>
        </w:rPr>
        <w:t xml:space="preserve">StepUnderflow</w:t>
      </w:r>
      <w:r>
        <w:rPr>
          <w:b w:val="false"/>
          <w:bCs w:val="false"/>
          <w:i w:val="false"/>
          <w:iCs w:val="false"/>
        </w:rPr>
        <w:t xml:space="preserve"> rather than clamping. Frozen record </w:t>
      </w:r>
      <w:r>
        <w:rPr>
          <w:rFonts w:ascii="Consolas" w:cs="Consolas" w:eastAsia="Consolas" w:hAnsi="Consolas"/>
          <w:b w:val="false"/>
          <w:bCs w:val="false"/>
          <w:i w:val="false"/>
          <w:iCs w:val="false"/>
          <w:sz w:val="19"/>
          <w:szCs w:val="19"/>
        </w:rPr>
        <w:t xml:space="preserve">frozen/S20_substeps.txt</w:t>
      </w:r>
      <w:r>
        <w:rPr>
          <w:b w:val="false"/>
          <w:bCs w:val="false"/>
          <w:i w:val="false"/>
          <w:iCs w:val="false"/>
        </w:rPr>
        <w:t xml:space="preserve">: the selected step and binding name for 200 fixed limit sets.</w:t>
      </w:r>
    </w:p>
    <w:p>
      <w:pPr>
        <w:spacing w:after="90" w:line="264"/>
        <w:jc w:val="left"/>
      </w:pPr>
      <w:r>
        <w:rPr>
          <w:b/>
          <w:bCs/>
          <w:i w:val="false"/>
          <w:iCs w:val="false"/>
        </w:rPr>
        <w:t xml:space="preserve">Regression gate. </w:t>
      </w:r>
      <w:r>
        <w:rPr>
          <w:b w:val="false"/>
          <w:bCs w:val="false"/>
          <w:i w:val="false"/>
          <w:iCs w:val="false"/>
        </w:rPr>
        <w:t xml:space="preserve">UTIL02 — the srcSEP </w:t>
      </w:r>
      <w:r>
        <w:rPr>
          <w:rFonts w:ascii="Consolas" w:cs="Consolas" w:eastAsia="Consolas" w:hAnsi="Consolas"/>
          <w:b w:val="false"/>
          <w:bCs w:val="false"/>
          <w:i w:val="false"/>
          <w:iCs w:val="false"/>
          <w:sz w:val="19"/>
          <w:szCs w:val="19"/>
        </w:rPr>
        <w:t xml:space="preserve">SelectSubstep</w:t>
      </w:r>
      <w:r>
        <w:rPr>
          <w:b w:val="false"/>
          <w:bCs w:val="false"/>
          <w:i w:val="false"/>
          <w:iCs w:val="false"/>
        </w:rPr>
        <w:t xml:space="preserve"> values are in that frozen record, and the 3-D selector must not have modified the shared implementation.</w:t>
      </w:r>
    </w:p>
    <w:p>
      <w:pPr>
        <w:spacing w:after="160" w:line="264"/>
        <w:jc w:val="left"/>
      </w:pPr>
      <w:r>
        <w:rPr>
          <w:b/>
          <w:bCs/>
          <w:i w:val="false"/>
          <w:iCs w:val="false"/>
        </w:rPr>
        <w:t xml:space="preserve">Why this step can break earlier work. </w:t>
      </w:r>
      <w:r>
        <w:rPr>
          <w:b w:val="false"/>
          <w:bCs w:val="false"/>
          <w:i w:val="false"/>
          <w:iCs w:val="false"/>
        </w:rPr>
        <w:t xml:space="preserve">The temptation is to add the new 3-D limits by editing </w:t>
      </w:r>
      <w:r>
        <w:rPr>
          <w:rFonts w:ascii="Consolas" w:cs="Consolas" w:eastAsia="Consolas" w:hAnsi="Consolas"/>
          <w:b w:val="false"/>
          <w:bCs w:val="false"/>
          <w:i w:val="false"/>
          <w:iCs w:val="false"/>
          <w:sz w:val="19"/>
          <w:szCs w:val="19"/>
        </w:rPr>
        <w:t xml:space="preserve">sep_transport_common</w:t>
      </w:r>
      <w:r>
        <w:rPr>
          <w:b w:val="false"/>
          <w:bCs w:val="false"/>
          <w:i w:val="false"/>
          <w:iCs w:val="false"/>
        </w:rPr>
        <w:t xml:space="preserve"> directly, which is shared with srcSEP. If that happens, srcSEP’s already-validated movers silently take different step sizes and every one of its validation cases shifts. The 3-D limits must be assembled in </w:t>
      </w:r>
      <w:r>
        <w:rPr>
          <w:rFonts w:ascii="Consolas" w:cs="Consolas" w:eastAsia="Consolas" w:hAnsi="Consolas"/>
          <w:b w:val="false"/>
          <w:bCs w:val="false"/>
          <w:i w:val="false"/>
          <w:iCs w:val="false"/>
          <w:sz w:val="19"/>
          <w:szCs w:val="19"/>
        </w:rPr>
        <w:t xml:space="preserve">sep3d_timestep</w:t>
      </w:r>
      <w:r>
        <w:rPr>
          <w:b w:val="false"/>
          <w:bCs w:val="false"/>
          <w:i w:val="false"/>
          <w:iCs w:val="false"/>
        </w:rPr>
        <w:t xml:space="preserve"> and passed to the unmodified shared selector; UTIL02 is what enforces that.</w:t>
      </w:r>
    </w:p>
    <w:p>
      <w:pPr>
        <w:pStyle w:val="Heading3"/>
        <w:spacing w:after="100" w:before="220"/>
      </w:pPr>
      <w:r>
        <w:t xml:space="preserve">Step 21 — The Parker 3-D core</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core/sep3d_parker_core.{h,cpp}</w:t>
      </w:r>
      <w:r>
        <w:rPr>
          <w:b w:val="false"/>
          <w:bCs w:val="false"/>
          <w:i w:val="false"/>
          <w:iCs w:val="false"/>
        </w:rPr>
        <w:t xml:space="preserve">: the symmetric half-cool / drift-and-diffuse / half-cool split, the three-component noise decomposed in the triad with the perpendicular draws present and multiplied by zero, exact cooling, and keyed streams with the </w:t>
      </w:r>
      <w:r>
        <w:rPr>
          <w:rFonts w:ascii="Consolas" w:cs="Consolas" w:eastAsia="Consolas" w:hAnsi="Consolas"/>
          <w:b w:val="false"/>
          <w:bCs w:val="false"/>
          <w:i w:val="false"/>
          <w:iCs w:val="false"/>
          <w:sz w:val="19"/>
          <w:szCs w:val="19"/>
        </w:rPr>
        <w:t xml:space="preserve">parallel-noise</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perp-noise-1</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perp-noise-2</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gyrophase</w:t>
      </w:r>
      <w:r>
        <w:rPr>
          <w:b w:val="false"/>
          <w:bCs w:val="false"/>
          <w:i w:val="false"/>
          <w:iCs w:val="false"/>
        </w:rPr>
        <w:t xml:space="preserve"> purposes.</w:t>
      </w:r>
    </w:p>
    <w:p>
      <w:pPr>
        <w:spacing w:after="90" w:line="264"/>
        <w:jc w:val="left"/>
      </w:pPr>
      <w:r>
        <w:rPr>
          <w:b/>
          <w:bCs/>
          <w:i w:val="false"/>
          <w:iCs w:val="false"/>
        </w:rPr>
        <w:t xml:space="preserve">New tests. </w:t>
      </w:r>
      <w:r>
        <w:rPr>
          <w:b w:val="false"/>
          <w:bCs w:val="false"/>
          <w:i w:val="false"/>
          <w:iCs w:val="false"/>
        </w:rPr>
        <w:t xml:space="preserve">PRK3D01–PRK3D03 (uniform-field variance, exact advection, orientation invariance over 20 random field directions), PRK3D05 (the ∇·κ equilibrium test — a uniform density in a periodic slab with spatially varying κ∥ must stay uniform to within 1%, </w:t>
      </w:r>
      <w:r>
        <w:rPr>
          <w:b w:val="false"/>
          <w:bCs w:val="false"/>
          <w:i/>
          <w:iCs/>
        </w:rPr>
        <w:t xml:space="preserve">and</w:t>
      </w:r>
      <w:r>
        <w:rPr>
          <w:b w:val="false"/>
          <w:bCs w:val="false"/>
          <w:i w:val="false"/>
          <w:iCs w:val="false"/>
        </w:rPr>
        <w:t xml:space="preserve"> the paired sign-flipped control must fail), PRK3D06 (adiabatic cooling against the exact characteristic), PRK3D07 (inverse-Gaussian first passage), PRK3D08 (against an independently coded conservative radial finite-volume solver), PRK3D10 (bitwise reproducibility across thread counts and list orderings).</w:t>
      </w:r>
    </w:p>
    <w:p>
      <w:pPr>
        <w:spacing w:after="90" w:line="264"/>
        <w:jc w:val="left"/>
      </w:pPr>
      <w:r>
        <w:rPr>
          <w:b/>
          <w:bCs/>
          <w:i w:val="false"/>
          <w:iCs w:val="false"/>
        </w:rPr>
        <w:t xml:space="preserve">Regression gate. </w:t>
      </w:r>
      <w:r>
        <w:rPr>
          <w:b w:val="false"/>
          <w:bCs w:val="false"/>
          <w:i w:val="false"/>
          <w:iCs w:val="false"/>
        </w:rPr>
        <w:t xml:space="preserve">All of Phase D, </w:t>
      </w:r>
      <w:r>
        <w:rPr>
          <w:rFonts w:ascii="Consolas" w:cs="Consolas" w:eastAsia="Consolas" w:hAnsi="Consolas"/>
          <w:b w:val="false"/>
          <w:bCs w:val="false"/>
          <w:i w:val="false"/>
          <w:iCs w:val="false"/>
          <w:sz w:val="19"/>
          <w:szCs w:val="19"/>
        </w:rPr>
        <w:t xml:space="preserve">frozen/S20_substeps.txt</w:t>
      </w:r>
      <w:r>
        <w:rPr>
          <w:b w:val="false"/>
          <w:bCs w:val="false"/>
          <w:i w:val="false"/>
          <w:iCs w:val="false"/>
        </w:rPr>
        <w:t xml:space="preserve">, and the full Phase C suite.</w:t>
      </w:r>
    </w:p>
    <w:p>
      <w:pPr>
        <w:spacing w:after="160" w:line="264"/>
        <w:jc w:val="left"/>
      </w:pPr>
      <w:r>
        <w:rPr>
          <w:b/>
          <w:bCs/>
          <w:i w:val="false"/>
          <w:iCs w:val="false"/>
        </w:rPr>
        <w:t xml:space="preserve">Why this step can break earlier work. </w:t>
      </w:r>
      <w:r>
        <w:rPr>
          <w:b w:val="false"/>
          <w:bCs w:val="false"/>
          <w:i w:val="false"/>
          <w:iCs w:val="false"/>
        </w:rPr>
        <w:t xml:space="preserve">PRK3D05 is the single most important test in the plan and this is where it first runs. It is the only test that can detect a sign error or a missing term in </w:t>
      </w:r>
      <w:r>
        <w:rPr>
          <w:rFonts w:ascii="Consolas" w:cs="Consolas" w:eastAsia="Consolas" w:hAnsi="Consolas"/>
          <w:b w:val="false"/>
          <w:bCs w:val="false"/>
          <w:i w:val="false"/>
          <w:iCs w:val="false"/>
          <w:sz w:val="19"/>
          <w:szCs w:val="19"/>
        </w:rPr>
        <w:t xml:space="preserve">∇·κ</w:t>
      </w:r>
      <w:r>
        <w:rPr>
          <w:b w:val="false"/>
          <w:bCs w:val="false"/>
          <w:i w:val="false"/>
          <w:iCs w:val="false"/>
        </w:rPr>
        <w:t xml:space="preserve">, because such an error produces a physically plausible, slowly developing density migration that every other test — variance, advection, cooling, first passage — will happily pass. Its negative control is mandatory: a test that cannot be made to fail is not evidence.</w:t>
      </w:r>
    </w:p>
    <w:p>
      <w:pPr>
        <w:pStyle w:val="Heading3"/>
        <w:spacing w:after="100" w:before="220"/>
      </w:pPr>
      <w:r>
        <w:t xml:space="preserve">Step 22 — The focused-transport 3-D core</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core/sep3d_focused_core.{h,cpp}</w:t>
      </w:r>
      <w:r>
        <w:rPr>
          <w:b w:val="false"/>
          <w:bCs w:val="false"/>
          <w:i w:val="false"/>
          <w:iCs w:val="false"/>
        </w:rPr>
        <w:t xml:space="preserve">: the five-stage symmetric split, the reflecting Milstein μ operator reused unmodified from </w:t>
      </w:r>
      <w:r>
        <w:rPr>
          <w:rFonts w:ascii="Consolas" w:cs="Consolas" w:eastAsia="Consolas" w:hAnsi="Consolas"/>
          <w:b w:val="false"/>
          <w:bCs w:val="false"/>
          <w:i w:val="false"/>
          <w:iCs w:val="false"/>
          <w:sz w:val="19"/>
          <w:szCs w:val="19"/>
        </w:rPr>
        <w:t xml:space="preserve">sep_focused_transport_core</w:t>
      </w:r>
      <w:r>
        <w:rPr>
          <w:b w:val="false"/>
          <w:bCs w:val="false"/>
          <w:i w:val="false"/>
          <w:iCs w:val="false"/>
        </w:rPr>
        <w:t xml:space="preserve">, both equation modes with </w:t>
      </w:r>
      <w:r>
        <w:rPr>
          <w:rFonts w:ascii="Consolas" w:cs="Consolas" w:eastAsia="Consolas" w:hAnsi="Consolas"/>
          <w:b w:val="false"/>
          <w:bCs w:val="false"/>
          <w:i w:val="false"/>
          <w:iCs w:val="false"/>
          <w:sz w:val="19"/>
          <w:szCs w:val="19"/>
        </w:rPr>
        <w:t xml:space="preserve">full</w:t>
      </w:r>
      <w:r>
        <w:rPr>
          <w:b w:val="false"/>
          <w:bCs w:val="false"/>
          <w:i w:val="false"/>
          <w:iCs w:val="false"/>
        </w:rPr>
        <w:t xml:space="preserve"> as the default and </w:t>
      </w:r>
      <w:r>
        <w:rPr>
          <w:rFonts w:ascii="Consolas" w:cs="Consolas" w:eastAsia="Consolas" w:hAnsi="Consolas"/>
          <w:b w:val="false"/>
          <w:bCs w:val="false"/>
          <w:i w:val="false"/>
          <w:iCs w:val="false"/>
          <w:sz w:val="19"/>
          <w:szCs w:val="19"/>
        </w:rPr>
        <w:t xml:space="preserve">reduced</w:t>
      </w:r>
      <w:r>
        <w:rPr>
          <w:b w:val="false"/>
          <w:bCs w:val="false"/>
          <w:i w:val="false"/>
          <w:iCs w:val="false"/>
        </w:rPr>
        <w:t xml:space="preserve"> requiring an explicit flag and a manifest tag, and midpoint streaming.</w:t>
      </w:r>
    </w:p>
    <w:p>
      <w:pPr>
        <w:spacing w:after="90" w:line="264"/>
        <w:jc w:val="left"/>
      </w:pPr>
      <w:r>
        <w:rPr>
          <w:b/>
          <w:bCs/>
          <w:i w:val="false"/>
          <w:iCs w:val="false"/>
        </w:rPr>
        <w:t xml:space="preserve">New tests. </w:t>
      </w:r>
      <w:r>
        <w:rPr>
          <w:b w:val="false"/>
          <w:bCs w:val="false"/>
          <w:i w:val="false"/>
          <w:iCs w:val="false"/>
        </w:rPr>
        <w:t xml:space="preserve">FTE3D01–FTE3D07 and FTE3D09–FTE3D12. The two that carry the most weight are FTE3D02 (magnetic-moment conservation: </w:t>
      </w:r>
      <w:r>
        <w:rPr>
          <w:rFonts w:ascii="Consolas" w:cs="Consolas" w:eastAsia="Consolas" w:hAnsi="Consolas"/>
          <w:b w:val="false"/>
          <w:bCs w:val="false"/>
          <w:i w:val="false"/>
          <w:iCs w:val="false"/>
          <w:sz w:val="19"/>
          <w:szCs w:val="19"/>
        </w:rPr>
        <w:t xml:space="preserve">(1−μ²)/|B|</w:t>
      </w:r>
      <w:r>
        <w:rPr>
          <w:b w:val="false"/>
          <w:bCs w:val="false"/>
          <w:i w:val="false"/>
          <w:iCs w:val="false"/>
        </w:rPr>
        <w:t xml:space="preserve"> invariant to 10⁻⁸ over 10⁵ steps, with second-order convergence in Δt) and FTE3D04 (Legendre modes 1–6 decaying at </w:t>
      </w:r>
      <w:r>
        <w:rPr>
          <w:rFonts w:ascii="Consolas" w:cs="Consolas" w:eastAsia="Consolas" w:hAnsi="Consolas"/>
          <w:b w:val="false"/>
          <w:bCs w:val="false"/>
          <w:i w:val="false"/>
          <w:iCs w:val="false"/>
          <w:sz w:val="19"/>
          <w:szCs w:val="19"/>
        </w:rPr>
        <w:t xml:space="preserve">l(l+1)D₀</w:t>
      </w:r>
      <w:r>
        <w:rPr>
          <w:b w:val="false"/>
          <w:bCs w:val="false"/>
          <w:i w:val="false"/>
          <w:iCs w:val="false"/>
        </w:rPr>
        <w:t xml:space="preserve"> within 2%). FTE3D08 is the zero-κ⊥ identity: the release-1 path must be bitwise identical to a parallel-only reference build.</w:t>
      </w:r>
    </w:p>
    <w:p>
      <w:pPr>
        <w:spacing w:after="90" w:line="264"/>
        <w:jc w:val="left"/>
      </w:pPr>
      <w:r>
        <w:rPr>
          <w:b/>
          <w:bCs/>
          <w:i w:val="false"/>
          <w:iCs w:val="false"/>
        </w:rPr>
        <w:t xml:space="preserve">Regression gate. </w:t>
      </w:r>
      <w:r>
        <w:rPr>
          <w:b w:val="false"/>
          <w:bCs w:val="false"/>
          <w:i w:val="false"/>
          <w:iCs w:val="false"/>
        </w:rPr>
        <w:t xml:space="preserve">PRK3D01–PRK3D10 in full, plus UTIL02, because the μ operator is shared with srcSEP.</w:t>
      </w:r>
    </w:p>
    <w:p>
      <w:pPr>
        <w:spacing w:after="160" w:line="264"/>
        <w:jc w:val="left"/>
      </w:pPr>
      <w:r>
        <w:rPr>
          <w:b/>
          <w:bCs/>
          <w:i w:val="false"/>
          <w:iCs w:val="false"/>
        </w:rPr>
        <w:t xml:space="preserve">Why this step can break earlier work. </w:t>
      </w:r>
      <w:r>
        <w:rPr>
          <w:b w:val="false"/>
          <w:bCs w:val="false"/>
          <w:i w:val="false"/>
          <w:iCs w:val="false"/>
        </w:rPr>
        <w:t xml:space="preserve">Two mechanisms. First, the focused core needs </w:t>
      </w:r>
      <w:r>
        <w:rPr>
          <w:rFonts w:ascii="Consolas" w:cs="Consolas" w:eastAsia="Consolas" w:hAnsi="Consolas"/>
          <w:b w:val="false"/>
          <w:bCs w:val="false"/>
          <w:i w:val="false"/>
          <w:iCs w:val="false"/>
          <w:sz w:val="19"/>
          <w:szCs w:val="19"/>
        </w:rPr>
        <w:t xml:space="preserve">b̂b̂:∇U</w:t>
      </w:r>
      <w:r>
        <w:rPr>
          <w:b w:val="false"/>
          <w:bCs w:val="false"/>
          <w:i w:val="false"/>
          <w:iCs w:val="false"/>
        </w:rPr>
        <w:t xml:space="preserve">, which the Parker core does not use; if obtaining it requires a change to </w:t>
      </w:r>
      <w:r>
        <w:rPr>
          <w:rFonts w:ascii="Consolas" w:cs="Consolas" w:eastAsia="Consolas" w:hAnsi="Consolas"/>
          <w:b w:val="false"/>
          <w:bCs w:val="false"/>
          <w:i w:val="false"/>
          <w:iCs w:val="false"/>
          <w:sz w:val="19"/>
          <w:szCs w:val="19"/>
        </w:rPr>
        <w:t xml:space="preserve">BackgroundSample</w:t>
      </w:r>
      <w:r>
        <w:rPr>
          <w:b w:val="false"/>
          <w:bCs w:val="false"/>
          <w:i w:val="false"/>
          <w:iCs w:val="false"/>
        </w:rPr>
        <w:t xml:space="preserve"> or to the cell-centre layout, every Parker result shifts. Second, if the shared μ operator is edited rather than reused, srcSEP’s CV06 equivalent breaks. FTE3D07 — the strong-scattering limit reproducing the Parker ensemble with </w:t>
      </w:r>
      <w:r>
        <w:rPr>
          <w:rFonts w:ascii="Consolas" w:cs="Consolas" w:eastAsia="Consolas" w:hAnsi="Consolas"/>
          <w:b w:val="false"/>
          <w:bCs w:val="false"/>
          <w:i w:val="false"/>
          <w:iCs w:val="false"/>
          <w:sz w:val="19"/>
          <w:szCs w:val="19"/>
        </w:rPr>
        <w:t xml:space="preserve">κ∥ = vλ∥/3</w:t>
      </w:r>
      <w:r>
        <w:rPr>
          <w:b w:val="false"/>
          <w:bCs w:val="false"/>
          <w:i w:val="false"/>
          <w:iCs w:val="false"/>
        </w:rPr>
        <w:t xml:space="preserve"> — is the test that ties the two cores together and would expose a background inconsistency between them.</w:t>
      </w:r>
    </w:p>
    <w:p>
      <w:pPr>
        <w:pStyle w:val="Heading3"/>
        <w:spacing w:after="100" w:before="220"/>
      </w:pPr>
      <w:r>
        <w:t xml:space="preserve">Step 23 — The AMPS mover shells and the dispatch adapter</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amps/amps_mover_parker.cpp</w:t>
      </w:r>
      <w:r>
        <w:rPr>
          <w:b w:val="false"/>
          <w:bCs w:val="false"/>
          <w:i w:val="false"/>
          <w:iCs w:val="false"/>
        </w:rPr>
        <w:t xml:space="preserve">, </w:t>
      </w:r>
      <w:r>
        <w:rPr>
          <w:rFonts w:ascii="Consolas" w:cs="Consolas" w:eastAsia="Consolas" w:hAnsi="Consolas"/>
          <w:b w:val="false"/>
          <w:bCs w:val="false"/>
          <w:i w:val="false"/>
          <w:iCs w:val="false"/>
          <w:sz w:val="19"/>
          <w:szCs w:val="19"/>
        </w:rPr>
        <w:t xml:space="preserve">amps/amps_mover_focused.cpp</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amps/amps_mover_dispatch.cpp</w:t>
      </w:r>
      <w:r>
        <w:rPr>
          <w:b w:val="false"/>
          <w:bCs w:val="false"/>
          <w:i w:val="false"/>
          <w:iCs w:val="false"/>
        </w:rPr>
        <w:t xml:space="preserve">: the validating adapter of §7.2, the capability registry, </w:t>
      </w:r>
      <w:r>
        <w:rPr>
          <w:rFonts w:ascii="Consolas" w:cs="Consolas" w:eastAsia="Consolas" w:hAnsi="Consolas"/>
          <w:b w:val="false"/>
          <w:bCs w:val="false"/>
          <w:i w:val="false"/>
          <w:iCs w:val="false"/>
          <w:sz w:val="19"/>
          <w:szCs w:val="19"/>
        </w:rPr>
        <w:t xml:space="preserve">--list-movers</w:t>
      </w:r>
      <w:r>
        <w:rPr>
          <w:b w:val="false"/>
          <w:bCs w:val="false"/>
          <w:i w:val="false"/>
          <w:iCs w:val="false"/>
        </w:rPr>
        <w:t xml:space="preserve">, boundary handling, and commitment to the cell’s temporary particle list. The shells marshal state and translate status codes; they contain no numerics.</w:t>
      </w:r>
    </w:p>
    <w:p>
      <w:pPr>
        <w:spacing w:after="90" w:line="264"/>
        <w:jc w:val="left"/>
      </w:pPr>
      <w:r>
        <w:rPr>
          <w:b/>
          <w:bCs/>
          <w:i w:val="false"/>
          <w:iCs w:val="false"/>
        </w:rPr>
        <w:t xml:space="preserve">New tests. </w:t>
      </w:r>
      <w:r>
        <w:rPr>
          <w:b w:val="false"/>
          <w:bCs w:val="false"/>
          <w:i w:val="false"/>
          <w:iCs w:val="false"/>
        </w:rPr>
        <w:t xml:space="preserve">NAT3D04 (a single particle crossing many blocks and several refinement jumps has a continuous trajectory with no rejected step). NAT3D05 (per-species, per-iteration integer identity: injected = in-domain + absorbed-inner + escaped-outer + deleted-invalid). SHELL01: for a fixed particle and background, one call through the AMPS shell produces a final state bitwise identical to calling the core directly with the same inputs — the shell is proved to be transparent rather than assumed to be.</w:t>
      </w:r>
    </w:p>
    <w:p>
      <w:pPr>
        <w:spacing w:after="90" w:line="264"/>
        <w:jc w:val="left"/>
      </w:pPr>
      <w:r>
        <w:rPr>
          <w:b/>
          <w:bCs/>
          <w:i w:val="false"/>
          <w:iCs w:val="false"/>
        </w:rPr>
        <w:t xml:space="preserve">Regression gate. </w:t>
      </w:r>
      <w:r>
        <w:rPr>
          <w:b w:val="false"/>
          <w:bCs w:val="false"/>
          <w:i w:val="false"/>
          <w:iCs w:val="false"/>
        </w:rPr>
        <w:t xml:space="preserve">The complete Stage-1 suite, unchanged. NAT3D01–NAT3D03.</w:t>
      </w:r>
    </w:p>
    <w:p>
      <w:pPr>
        <w:spacing w:after="160" w:line="264"/>
        <w:jc w:val="left"/>
      </w:pPr>
      <w:r>
        <w:rPr>
          <w:b/>
          <w:bCs/>
          <w:i w:val="false"/>
          <w:iCs w:val="false"/>
        </w:rPr>
        <w:t xml:space="preserve">Why this step can break earlier work. </w:t>
      </w:r>
      <w:r>
        <w:rPr>
          <w:b w:val="false"/>
          <w:bCs w:val="false"/>
          <w:i w:val="false"/>
          <w:iCs w:val="false"/>
        </w:rPr>
        <w:t xml:space="preserve">SHELL01 exists because the shell is where a "small convenience" — clamping μ before the call, rounding a position onto a cell centre, reusing a stale </w:t>
      </w:r>
      <w:r>
        <w:rPr>
          <w:rFonts w:ascii="Consolas" w:cs="Consolas" w:eastAsia="Consolas" w:hAnsi="Consolas"/>
          <w:b w:val="false"/>
          <w:bCs w:val="false"/>
          <w:i w:val="false"/>
          <w:iCs w:val="false"/>
          <w:sz w:val="19"/>
          <w:szCs w:val="19"/>
        </w:rPr>
        <w:t xml:space="preserve">BackgroundSample</w:t>
      </w:r>
      <w:r>
        <w:rPr>
          <w:b w:val="false"/>
          <w:bCs w:val="false"/>
          <w:i w:val="false"/>
          <w:iCs w:val="false"/>
        </w:rPr>
        <w:t xml:space="preserve"> across substeps — gets added. Any of those invalidates every Stage-1 result for the linked application while leaving Stage 1 green, because Stage 1 never goes through the shell. Bitwise equivalence between the two paths is the only check that covers this.</w:t>
      </w:r>
    </w:p>
    <w:p>
      <w:pPr>
        <w:pStyle w:val="Heading2"/>
        <w:spacing w:after="120" w:before="280"/>
      </w:pPr>
      <w:r>
        <w:t xml:space="preserve">12.8 Phase F — Sources, sampling, output (Steps 24–26)</w:t>
      </w:r>
    </w:p>
    <w:p>
      <w:pPr>
        <w:pStyle w:val="Heading3"/>
        <w:spacing w:after="100" w:before="220"/>
      </w:pPr>
      <w:r>
        <w:t xml:space="preserve">Step 24 — Particle sources</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amps/amps_injection.cpp</w:t>
      </w:r>
      <w:r>
        <w:rPr>
          <w:b w:val="false"/>
          <w:bCs w:val="false"/>
          <w:i w:val="false"/>
          <w:iCs w:val="false"/>
        </w:rPr>
        <w:t xml:space="preserve">: inner-boundary, volumetric, and file sources; the SWCME shock source using </w:t>
      </w:r>
      <w:r>
        <w:rPr>
          <w:rFonts w:ascii="Consolas" w:cs="Consolas" w:eastAsia="Consolas" w:hAnsi="Consolas"/>
          <w:b w:val="false"/>
          <w:bCs w:val="false"/>
          <w:i w:val="false"/>
          <w:iCs w:val="false"/>
          <w:sz w:val="19"/>
          <w:szCs w:val="19"/>
        </w:rPr>
        <w:t xml:space="preserve">build_shock_surface_source()</w:t>
      </w:r>
      <w:r>
        <w:rPr>
          <w:b w:val="false"/>
          <w:bCs w:val="false"/>
          <w:i w:val="false"/>
          <w:iCs w:val="false"/>
        </w:rPr>
        <w:t xml:space="preserve"> and </w:t>
      </w:r>
      <w:r>
        <w:rPr>
          <w:rFonts w:ascii="Consolas" w:cs="Consolas" w:eastAsia="Consolas" w:hAnsi="Consolas"/>
          <w:b w:val="false"/>
          <w:bCs w:val="false"/>
          <w:i w:val="false"/>
          <w:iCs w:val="false"/>
          <w:sz w:val="19"/>
          <w:szCs w:val="19"/>
        </w:rPr>
        <w:t xml:space="preserve">sample_triangle_by_area()</w:t>
      </w:r>
      <w:r>
        <w:rPr>
          <w:b w:val="false"/>
          <w:bCs w:val="false"/>
          <w:i w:val="false"/>
          <w:iCs w:val="false"/>
        </w:rPr>
        <w:t xml:space="preserve"> with a keyed variate; all spectra obtained from srcSEP’s </w:t>
      </w:r>
      <w:r>
        <w:rPr>
          <w:rFonts w:ascii="Consolas" w:cs="Consolas" w:eastAsia="Consolas" w:hAnsi="Consolas"/>
          <w:b w:val="false"/>
          <w:bCs w:val="false"/>
          <w:i w:val="false"/>
          <w:iCs w:val="false"/>
          <w:sz w:val="19"/>
          <w:szCs w:val="19"/>
        </w:rPr>
        <w:t xml:space="preserve">sep_injection_spectrum</w:t>
      </w:r>
      <w:r>
        <w:rPr>
          <w:b w:val="false"/>
          <w:bCs w:val="false"/>
          <w:i w:val="false"/>
          <w:iCs w:val="false"/>
        </w:rPr>
        <w:t xml:space="preserve"> and all species properties from </w:t>
      </w:r>
      <w:r>
        <w:rPr>
          <w:rFonts w:ascii="Consolas" w:cs="Consolas" w:eastAsia="Consolas" w:hAnsi="Consolas"/>
          <w:b w:val="false"/>
          <w:bCs w:val="false"/>
          <w:i w:val="false"/>
          <w:iCs w:val="false"/>
          <w:sz w:val="19"/>
          <w:szCs w:val="19"/>
        </w:rPr>
        <w:t xml:space="preserve">SpeciesSource</w:t>
      </w:r>
      <w:r>
        <w:rPr>
          <w:b w:val="false"/>
          <w:bCs w:val="false"/>
          <w:i w:val="false"/>
          <w:iCs w:val="false"/>
        </w:rPr>
        <w:t xml:space="preserve">.</w:t>
      </w:r>
    </w:p>
    <w:p>
      <w:pPr>
        <w:spacing w:after="90" w:line="264"/>
        <w:jc w:val="left"/>
      </w:pPr>
      <w:r>
        <w:rPr>
          <w:b/>
          <w:bCs/>
          <w:i w:val="false"/>
          <w:iCs w:val="false"/>
        </w:rPr>
        <w:t xml:space="preserve">New tests. </w:t>
      </w:r>
      <w:r>
        <w:rPr>
          <w:b w:val="false"/>
          <w:bCs w:val="false"/>
          <w:i w:val="false"/>
          <w:iCs w:val="false"/>
        </w:rPr>
        <w:t xml:space="preserve">INJ01: for identical spectral parameters, the injected population is statistically indistinguishable from srcSEP’s (two-sample Kolmogorov–Smirnov on momentum, p &gt; 0.01, over 10⁵ particles). INJ02: area-weighted shock-surface selection is unbiased — a χ² test over the triangle set with a fixed seed. INJ03: injection is reproducible across rank counts, because the variate comes from a keyed stream rather than the process RNG.</w:t>
      </w:r>
    </w:p>
    <w:p>
      <w:pPr>
        <w:spacing w:after="90" w:line="264"/>
        <w:jc w:val="left"/>
      </w:pPr>
      <w:r>
        <w:rPr>
          <w:b/>
          <w:bCs/>
          <w:i w:val="false"/>
          <w:iCs w:val="false"/>
        </w:rPr>
        <w:t xml:space="preserve">Regression gate. </w:t>
      </w:r>
      <w:r>
        <w:rPr>
          <w:b w:val="false"/>
          <w:bCs w:val="false"/>
          <w:i w:val="false"/>
          <w:iCs w:val="false"/>
        </w:rPr>
        <w:t xml:space="preserve">NAT3D05 (the conservation identity now has a real source term), SHELL01, the full Stage-1 suite, and the SWCME suite (the shock-source path calls into it).</w:t>
      </w:r>
    </w:p>
    <w:p>
      <w:pPr>
        <w:spacing w:after="160" w:line="264"/>
        <w:jc w:val="left"/>
      </w:pPr>
      <w:r>
        <w:rPr>
          <w:b/>
          <w:bCs/>
          <w:i w:val="false"/>
          <w:iCs w:val="false"/>
        </w:rPr>
        <w:t xml:space="preserve">Why this step can break earlier work. </w:t>
      </w:r>
      <w:r>
        <w:rPr>
          <w:b w:val="false"/>
          <w:bCs w:val="false"/>
          <w:i w:val="false"/>
          <w:iCs w:val="false"/>
        </w:rPr>
        <w:t xml:space="preserve">INJ01 is a Stage-3 prerequisite masquerading as a Stage-2 test. If srcSEP3D and srcSEP inject even slightly different populations, XM3D01 and XM3D02 measure the difference in the sources rather than the difference in the transport, and the most valuable validation asset in the plan is wasted. Establishing it here, where it is cheap to diagnose, is the point.</w:t>
      </w:r>
    </w:p>
    <w:p>
      <w:pPr>
        <w:pStyle w:val="Heading3"/>
        <w:spacing w:after="100" w:before="220"/>
      </w:pPr>
      <w:r>
        <w:t xml:space="preserve">Step 25 — Sampling</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core/sep3d_sampling_core.{h,cpp}</w:t>
      </w:r>
      <w:r>
        <w:rPr>
          <w:b w:val="false"/>
          <w:bCs w:val="false"/>
          <w:i w:val="false"/>
          <w:iCs w:val="false"/>
        </w:rPr>
        <w:t xml:space="preserve"> (half-open bins with separate underflow, overflow and invalid counters; Σw and Σw² accumulation; unit-bearing products) and </w:t>
      </w:r>
      <w:r>
        <w:rPr>
          <w:rFonts w:ascii="Consolas" w:cs="Consolas" w:eastAsia="Consolas" w:hAnsi="Consolas"/>
          <w:b w:val="false"/>
          <w:bCs w:val="false"/>
          <w:i w:val="false"/>
          <w:iCs w:val="false"/>
          <w:sz w:val="19"/>
          <w:szCs w:val="19"/>
        </w:rPr>
        <w:t xml:space="preserve">amps/amps_sampling.cpp</w:t>
      </w:r>
      <w:r>
        <w:rPr>
          <w:b w:val="false"/>
          <w:bCs w:val="false"/>
          <w:i w:val="false"/>
          <w:iCs w:val="false"/>
        </w:rPr>
        <w:t xml:space="preserve"> (cell products, virtual spacecraft, field-line projection, the generalised global energy distribution, and the diagnostic counters).</w:t>
      </w:r>
    </w:p>
    <w:p>
      <w:pPr>
        <w:spacing w:after="90" w:line="264"/>
        <w:jc w:val="left"/>
      </w:pPr>
      <w:r>
        <w:rPr>
          <w:b/>
          <w:bCs/>
          <w:i w:val="false"/>
          <w:iCs w:val="false"/>
        </w:rPr>
        <w:t xml:space="preserve">New tests. </w:t>
      </w:r>
      <w:r>
        <w:rPr>
          <w:b w:val="false"/>
          <w:bCs w:val="false"/>
          <w:i w:val="false"/>
          <w:iCs w:val="false"/>
        </w:rPr>
        <w:t xml:space="preserve">SMP3D01–SMP3D05 (bin correctness, effective sample size, unit consistency against an analytic mono-energetic beam, Legendre moment extraction against a known anisotropy, virtual-spacecraft averaging-volume convergence). SMP01b: sampling a population and then advancing it produces the same trajectories as advancing it without sampling — bitwise.</w:t>
      </w:r>
    </w:p>
    <w:p>
      <w:pPr>
        <w:spacing w:after="90" w:line="264"/>
        <w:jc w:val="left"/>
      </w:pPr>
      <w:r>
        <w:rPr>
          <w:b/>
          <w:bCs/>
          <w:i w:val="false"/>
          <w:iCs w:val="false"/>
        </w:rPr>
        <w:t xml:space="preserve">Regression gate. </w:t>
      </w:r>
      <w:r>
        <w:rPr>
          <w:b w:val="false"/>
          <w:bCs w:val="false"/>
          <w:i w:val="false"/>
          <w:iCs w:val="false"/>
        </w:rPr>
        <w:t xml:space="preserve">PRK3D10 and FTE3D12 (bitwise reproducibility), NAT3D05, SHELL01.</w:t>
      </w:r>
    </w:p>
    <w:p>
      <w:pPr>
        <w:spacing w:after="160" w:line="264"/>
        <w:jc w:val="left"/>
      </w:pPr>
      <w:r>
        <w:rPr>
          <w:b/>
          <w:bCs/>
          <w:i w:val="false"/>
          <w:iCs w:val="false"/>
        </w:rPr>
        <w:t xml:space="preserve">Why this step can break earlier work. </w:t>
      </w:r>
      <w:r>
        <w:rPr>
          <w:b w:val="false"/>
          <w:bCs w:val="false"/>
          <w:i w:val="false"/>
          <w:iCs w:val="false"/>
        </w:rPr>
        <w:t xml:space="preserve">SMP01b is there because samplers walk the particle buffer and the cheapest way to compute a per-particle quantity is often to write it into a spare field. Anything that touches particle state, or that draws from a random stream without its own purpose tag, shifts every subsequent trajectory. The bitwise sampling-on versus sampling-off comparison is the direct test, and it is far easier to run now than to bisect for later.</w:t>
      </w:r>
    </w:p>
    <w:p>
      <w:pPr>
        <w:pStyle w:val="Heading3"/>
        <w:spacing w:after="100" w:before="220"/>
      </w:pPr>
      <w:r>
        <w:t xml:space="preserve">Step 26 — Output, manifest, and restart</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amps/amps_output.cpp</w:t>
      </w:r>
      <w:r>
        <w:rPr>
          <w:b w:val="false"/>
          <w:bCs w:val="false"/>
          <w:i w:val="false"/>
          <w:iCs w:val="false"/>
        </w:rPr>
        <w:t xml:space="preserve">: transactional writers following SWCME’s staging-file and atomic-rename contract; unit-bearing Tecplot variable names; </w:t>
      </w:r>
      <w:r>
        <w:rPr>
          <w:rFonts w:ascii="Consolas" w:cs="Consolas" w:eastAsia="Consolas" w:hAnsi="Consolas"/>
          <w:b w:val="false"/>
          <w:bCs w:val="false"/>
          <w:i w:val="false"/>
          <w:iCs w:val="false"/>
          <w:sz w:val="19"/>
          <w:szCs w:val="19"/>
        </w:rPr>
        <w:t xml:space="preserve">manifest.json</w:t>
      </w:r>
      <w:r>
        <w:rPr>
          <w:b w:val="false"/>
          <w:bCs w:val="false"/>
          <w:i w:val="false"/>
          <w:iCs w:val="false"/>
        </w:rPr>
        <w:t xml:space="preserve"> with the resolved configuration, the fingerprint, every provider manifest, the source-tree hash, compiler identity, rank and thread counts, and hashed artifacts; restart covering the particle buffer, the background snapshot generation, the RNG key state, and the accumulated counters.</w:t>
      </w:r>
    </w:p>
    <w:p>
      <w:pPr>
        <w:spacing w:after="90" w:line="264"/>
        <w:jc w:val="left"/>
      </w:pPr>
      <w:r>
        <w:rPr>
          <w:b/>
          <w:bCs/>
          <w:i w:val="false"/>
          <w:iCs w:val="false"/>
        </w:rPr>
        <w:t xml:space="preserve">New tests. </w:t>
      </w:r>
      <w:r>
        <w:rPr>
          <w:b w:val="false"/>
          <w:bCs w:val="false"/>
          <w:i w:val="false"/>
          <w:iCs w:val="false"/>
        </w:rPr>
        <w:t xml:space="preserve">NAT3D07 (a restart from iteration N reproduces the uninterrupted run at 2N, bitwise, in both particle state and sampled moments). NAT3D08 (a fingerprint mismatch on restart is rejected and names both fingerprints). NAT3D12 (every product parses under an independently written grammar with the declared variable names, and no staging file survives either a successful or a failed write).</w:t>
      </w:r>
    </w:p>
    <w:p>
      <w:pPr>
        <w:spacing w:after="90" w:line="264"/>
        <w:jc w:val="left"/>
      </w:pPr>
      <w:r>
        <w:rPr>
          <w:b/>
          <w:bCs/>
          <w:i w:val="false"/>
          <w:iCs w:val="false"/>
        </w:rPr>
        <w:t xml:space="preserve">Regression gate. </w:t>
      </w:r>
      <w:r>
        <w:rPr>
          <w:b w:val="false"/>
          <w:bCs w:val="false"/>
          <w:i w:val="false"/>
          <w:iCs w:val="false"/>
        </w:rPr>
        <w:t xml:space="preserve">SMP01b, PRK3D10, FTE3D12, NAT3D05.</w:t>
      </w:r>
    </w:p>
    <w:p>
      <w:pPr>
        <w:spacing w:after="160" w:line="264"/>
        <w:jc w:val="left"/>
      </w:pPr>
      <w:r>
        <w:rPr>
          <w:b/>
          <w:bCs/>
          <w:i w:val="false"/>
          <w:iCs w:val="false"/>
        </w:rPr>
        <w:t xml:space="preserve">Why this step can break earlier work. </w:t>
      </w:r>
      <w:r>
        <w:rPr>
          <w:b w:val="false"/>
          <w:bCs w:val="false"/>
          <w:i w:val="false"/>
          <w:iCs w:val="false"/>
        </w:rPr>
        <w:t xml:space="preserve">NAT3D07 is a far stronger test than it looks. Bitwise restart equivalence can only hold if the RNG key state, every diagnostic counter, the background snapshot generation, and the substep phase are all serialised. In practice the first attempt almost always omits one — usually the RNG — and the omission is invisible in any single continuous run. This is the test that finds it.</w:t>
      </w:r>
    </w:p>
    <w:p>
      <w:pPr>
        <w:pStyle w:val="Heading2"/>
        <w:spacing w:after="120" w:before="280"/>
      </w:pPr>
      <w:r>
        <w:t xml:space="preserve">12.9 Phase G — Integration and validation (Steps 27–29)</w:t>
      </w:r>
    </w:p>
    <w:p>
      <w:pPr>
        <w:pStyle w:val="Heading3"/>
        <w:spacing w:after="100" w:before="220"/>
      </w:pPr>
      <w:r>
        <w:t xml:space="preserve">Step 27 — MPI reproducibility and load balance</w:t>
      </w:r>
    </w:p>
    <w:p>
      <w:pPr>
        <w:spacing w:after="90" w:line="264"/>
        <w:jc w:val="left"/>
      </w:pPr>
      <w:r>
        <w:rPr>
          <w:b/>
          <w:bCs/>
          <w:i w:val="false"/>
          <w:iCs w:val="false"/>
        </w:rPr>
        <w:t xml:space="preserve">Implements. </w:t>
      </w:r>
      <w:r>
        <w:rPr>
          <w:b w:val="false"/>
          <w:bCs w:val="false"/>
          <w:i w:val="false"/>
          <w:iCs w:val="false"/>
        </w:rPr>
        <w:t xml:space="preserve">Deterministic reduction of sampled moments using srcSEP’s physical-key-and-canonical-order contract; load-measure tuning for the strongly non-uniform mesh; the spherical-outer-boundary optimisation.</w:t>
      </w:r>
    </w:p>
    <w:p>
      <w:pPr>
        <w:spacing w:after="90" w:line="264"/>
        <w:jc w:val="left"/>
      </w:pPr>
      <w:r>
        <w:rPr>
          <w:b/>
          <w:bCs/>
          <w:i w:val="false"/>
          <w:iCs w:val="false"/>
        </w:rPr>
        <w:t xml:space="preserve">New tests. </w:t>
      </w:r>
      <w:r>
        <w:rPr>
          <w:b w:val="false"/>
          <w:bCs w:val="false"/>
          <w:i w:val="false"/>
          <w:iCs w:val="false"/>
        </w:rPr>
        <w:t xml:space="preserve">NAT3D06 (sampled moments bit-identical on 1, 2, 4, 8 and 64 ranks and on 1/2/4/8 threads). NAT3D09 (per-rank particle-count spread: max/mean &lt; 2.0 over a full run, reported as a metric). NAT3D10 (memory and wall-clock against the declared budgets).</w:t>
      </w:r>
    </w:p>
    <w:p>
      <w:pPr>
        <w:spacing w:after="90" w:line="264"/>
        <w:jc w:val="left"/>
      </w:pPr>
      <w:r>
        <w:rPr>
          <w:b/>
          <w:bCs/>
          <w:i w:val="false"/>
          <w:iCs w:val="false"/>
        </w:rPr>
        <w:t xml:space="preserve">Regression gate. </w:t>
      </w:r>
      <w:r>
        <w:rPr>
          <w:b w:val="false"/>
          <w:bCs w:val="false"/>
          <w:i w:val="false"/>
          <w:iCs w:val="false"/>
        </w:rPr>
        <w:t xml:space="preserve">NAT3D07 — restart must remain bitwise after the reduction changes — plus the complete Stage-1 and Stage-2 suites on a single rank.</w:t>
      </w:r>
    </w:p>
    <w:p>
      <w:pPr>
        <w:spacing w:after="160" w:line="264"/>
        <w:jc w:val="left"/>
      </w:pPr>
      <w:r>
        <w:rPr>
          <w:b/>
          <w:bCs/>
          <w:i w:val="false"/>
          <w:iCs w:val="false"/>
        </w:rPr>
        <w:t xml:space="preserve">Why this step can break earlier work. </w:t>
      </w:r>
      <w:r>
        <w:rPr>
          <w:b w:val="false"/>
          <w:bCs w:val="false"/>
          <w:i w:val="false"/>
          <w:iCs w:val="false"/>
        </w:rPr>
        <w:t xml:space="preserve">Making a reduction deterministic usually means sorting contributions before summing. If the sort key includes anything rank- or address-derived, the result is reproducible for a fixed rank count and different across rank counts — which passes a single-rank restart test and fails NAT3D06. Running both in the same gate is what distinguishes the two failure modes.</w:t>
      </w:r>
    </w:p>
    <w:p>
      <w:pPr>
        <w:pStyle w:val="Heading3"/>
        <w:spacing w:after="100" w:before="220"/>
      </w:pPr>
      <w:r>
        <w:t xml:space="preserve">Step 28 — Cross-model validation against srcSEP 1-D</w:t>
      </w:r>
    </w:p>
    <w:p>
      <w:pPr>
        <w:spacing w:after="90" w:line="264"/>
        <w:jc w:val="left"/>
      </w:pPr>
      <w:r>
        <w:rPr>
          <w:b/>
          <w:bCs/>
          <w:i w:val="false"/>
          <w:iCs w:val="false"/>
        </w:rPr>
        <w:t xml:space="preserve">Implements. </w:t>
      </w:r>
      <w:r>
        <w:rPr>
          <w:rFonts w:ascii="Consolas" w:cs="Consolas" w:eastAsia="Consolas" w:hAnsi="Consolas"/>
          <w:b w:val="false"/>
          <w:bCs w:val="false"/>
          <w:i w:val="false"/>
          <w:iCs w:val="false"/>
          <w:sz w:val="19"/>
          <w:szCs w:val="19"/>
        </w:rPr>
        <w:t xml:space="preserve">validation/</w:t>
      </w:r>
      <w:r>
        <w:rPr>
          <w:b w:val="false"/>
          <w:bCs w:val="false"/>
          <w:i w:val="false"/>
          <w:iCs w:val="false"/>
        </w:rPr>
        <w:t xml:space="preserve"> case registry, runners, reviewed inputs, and figure generation; the field-line projection wired into the case output; XM3D01–XM3D05.</w:t>
      </w:r>
    </w:p>
    <w:p>
      <w:pPr>
        <w:spacing w:after="90" w:line="264"/>
        <w:jc w:val="left"/>
      </w:pPr>
      <w:r>
        <w:rPr>
          <w:b/>
          <w:bCs/>
          <w:i w:val="false"/>
          <w:iCs w:val="false"/>
        </w:rPr>
        <w:t xml:space="preserve">New tests. </w:t>
      </w:r>
      <w:r>
        <w:rPr>
          <w:b w:val="false"/>
          <w:bCs w:val="false"/>
          <w:i w:val="false"/>
          <w:iCs w:val="false"/>
        </w:rPr>
        <w:t xml:space="preserve">XM3D01 and XM3D02 as release gates (profiles within 10%, onset within one output interval, peak within 15%). XM3D05 as the convergence gate, which is run </w:t>
      </w:r>
      <w:r>
        <w:rPr>
          <w:b w:val="false"/>
          <w:bCs w:val="false"/>
          <w:i/>
          <w:iCs/>
        </w:rPr>
        <w:t xml:space="preserve">before</w:t>
      </w:r>
      <w:r>
        <w:rPr>
          <w:b w:val="false"/>
          <w:bCs w:val="false"/>
          <w:i w:val="false"/>
          <w:iCs w:val="false"/>
        </w:rPr>
        <w:t xml:space="preserve"> XM3D01 and XM3D02 are interpreted: repeat at Λ = 2, 3, 4 and Δ_bg levels 4, 5, 6, report the observed order, and require the default configuration to lie within 5% of the finest. XM3D03 as a documented diagnostic of the κ⊥ = 0 limitation.</w:t>
      </w:r>
    </w:p>
    <w:p>
      <w:pPr>
        <w:spacing w:after="90" w:line="264"/>
        <w:jc w:val="left"/>
      </w:pPr>
      <w:r>
        <w:rPr>
          <w:b/>
          <w:bCs/>
          <w:i w:val="false"/>
          <w:iCs w:val="false"/>
        </w:rPr>
        <w:t xml:space="preserve">Regression gate. </w:t>
      </w:r>
      <w:r>
        <w:rPr>
          <w:b w:val="false"/>
          <w:bCs w:val="false"/>
          <w:i w:val="false"/>
          <w:iCs w:val="false"/>
        </w:rPr>
        <w:t xml:space="preserve">INJ01 (identical sources), COEF3D02 (identical coefficient kernels), CX01 and CX02 (identical field formulation), and the complete Stage-1 and Stage-2 suites.</w:t>
      </w:r>
    </w:p>
    <w:p>
      <w:pPr>
        <w:spacing w:after="160" w:line="264"/>
        <w:jc w:val="left"/>
      </w:pPr>
      <w:r>
        <w:rPr>
          <w:b/>
          <w:bCs/>
          <w:i w:val="false"/>
          <w:iCs w:val="false"/>
        </w:rPr>
        <w:t xml:space="preserve">Why this step can break earlier work. </w:t>
      </w:r>
      <w:r>
        <w:rPr>
          <w:b w:val="false"/>
          <w:bCs w:val="false"/>
          <w:i w:val="false"/>
          <w:iCs w:val="false"/>
        </w:rPr>
        <w:t xml:space="preserve">The failure mode here is not a broken test but a broken conclusion. If XM3D01 disagrees, there are four candidate causes — different sources, different coefficients, different fields, or genuinely different transport — and only the fourth is interesting. Keeping INJ01, COEF3D02, CX01 and CX02 in the gate eliminates the first three by construction, so a disagreement means what it appears to mean. Running XM3D05 first eliminates a fifth: that the 3-D result is simply under-resolved.</w:t>
      </w:r>
    </w:p>
    <w:p>
      <w:pPr>
        <w:pStyle w:val="Heading3"/>
        <w:spacing w:after="100" w:before="220"/>
      </w:pPr>
      <w:r>
        <w:t xml:space="preserve">Step 29 — Observational cases</w:t>
      </w:r>
    </w:p>
    <w:p>
      <w:pPr>
        <w:spacing w:after="90" w:line="264"/>
        <w:jc w:val="left"/>
      </w:pPr>
      <w:r>
        <w:rPr>
          <w:b/>
          <w:bCs/>
          <w:i w:val="false"/>
          <w:iCs w:val="false"/>
        </w:rPr>
        <w:t xml:space="preserve">Implements. </w:t>
      </w:r>
      <w:r>
        <w:rPr>
          <w:b w:val="false"/>
          <w:bCs w:val="false"/>
          <w:i w:val="false"/>
          <w:iCs w:val="false"/>
        </w:rPr>
        <w:t xml:space="preserve">OV3D01–OV3D04 reusing srcSEP’s reviewed inputs, digitised spacecraft points, uncertainties and publication attributions; the virtual-spacecraft sampler placed at the observers’ actual positions; the evidence manifest with artifact hashes.</w:t>
      </w:r>
    </w:p>
    <w:p>
      <w:pPr>
        <w:spacing w:after="90" w:line="264"/>
        <w:jc w:val="left"/>
      </w:pPr>
      <w:r>
        <w:rPr>
          <w:b/>
          <w:bCs/>
          <w:i w:val="false"/>
          <w:iCs w:val="false"/>
        </w:rPr>
        <w:t xml:space="preserve">New tests. </w:t>
      </w:r>
      <w:r>
        <w:rPr>
          <w:b w:val="false"/>
          <w:bCs w:val="false"/>
          <w:i w:val="false"/>
          <w:iCs w:val="false"/>
        </w:rPr>
        <w:t xml:space="preserve">OV3D01 and OV3D02 as release gates. OV3D03 and OV3D04 as diagnostics whose reports must state, in the report text and not only in this plan, that perpendicular diffusion and drifts are disabled and that the model is therefore expected to under-predict at poorly connected observers.</w:t>
      </w:r>
    </w:p>
    <w:p>
      <w:pPr>
        <w:spacing w:after="90" w:line="264"/>
        <w:jc w:val="left"/>
      </w:pPr>
      <w:r>
        <w:rPr>
          <w:b/>
          <w:bCs/>
          <w:i w:val="false"/>
          <w:iCs w:val="false"/>
        </w:rPr>
        <w:t xml:space="preserve">Regression gate. </w:t>
      </w:r>
      <w:r>
        <w:rPr>
          <w:b w:val="false"/>
          <w:bCs w:val="false"/>
          <w:i w:val="false"/>
          <w:iCs w:val="false"/>
        </w:rPr>
        <w:t xml:space="preserve">XM3D01, XM3D02, XM3D05, and the complete Stage-1 and Stage-2 suites. Every case input is frozen and hashed; a case may not be re-run with a modified input unless the change is committed with a justification.</w:t>
      </w:r>
    </w:p>
    <w:p>
      <w:pPr>
        <w:spacing w:after="160" w:line="264"/>
        <w:jc w:val="left"/>
      </w:pPr>
      <w:r>
        <w:rPr>
          <w:b/>
          <w:bCs/>
          <w:i w:val="false"/>
          <w:iCs w:val="false"/>
        </w:rPr>
        <w:t xml:space="preserve">Why this step can break earlier work. </w:t>
      </w:r>
      <w:r>
        <w:rPr>
          <w:b w:val="false"/>
          <w:bCs w:val="false"/>
          <w:i w:val="false"/>
          <w:iCs w:val="false"/>
        </w:rPr>
        <w:t xml:space="preserve">The characteristic failure of an observational campaign is not a broken test — it is a tuned one. Freezing and hashing the inputs, keeping the cross-model gates in front, and requiring the diagnostic cases to state their own limitations are the three mechanisms that keep a disagreement pointing at the model rather than at the configuration.</w:t>
      </w:r>
    </w:p>
    <w:p>
      <w:pPr>
        <w:pStyle w:val="Heading2"/>
        <w:spacing w:after="120" w:before="280"/>
      </w:pPr>
      <w:r>
        <w:t xml:space="preserve">12.10 Where the ladder can be cut short</w:t>
      </w:r>
    </w:p>
    <w:p>
      <w:pPr>
        <w:spacing w:after="120" w:line="264"/>
        <w:jc w:val="left"/>
      </w:pPr>
      <w:r>
        <w:rPr>
          <w:b w:val="false"/>
          <w:bCs w:val="false"/>
          <w:i w:val="false"/>
          <w:iCs w:val="false"/>
        </w:rPr>
        <w:t xml:space="preserve">If the schedule compresses, the steps that can be deferred without invalidating anything already built are 17 (the external-script specification, though it is cheap and best written while the background contract is fresh), 24’s shock source (the file source is sufficient for XM3D01–XM3D03), and 29 (Stage 3 observational). The steps that cannot be deferred or reordered are 3 and 5 (the frozen kernel and SWCME records, which every later comparison depends on), 6 (constants), 8 and 9 (the frozen no-tube sample), 19 and 21 (∇·κ and its equilibrium test), 23 (shell transparency), and 28’s XM3D05 convergence gate. Those eight are the load-bearing points of the whole sequence.</w:t>
      </w:r>
    </w:p>
    <w:p>
      <w:r>
        <w:br w:type="page"/>
      </w:r>
    </w:p>
    <w:p>
      <w:pPr>
        <w:pStyle w:val="Heading1"/>
        <w:spacing w:after="160" w:before="360"/>
      </w:pPr>
      <w:r>
        <w:t xml:space="preserve">13. Risks and Open Decisions</w:t>
      </w:r>
    </w:p>
    <w:p>
      <w:pPr>
        <w:pStyle w:val="Heading2"/>
        <w:spacing w:after="120" w:before="280"/>
      </w:pPr>
      <w:r>
        <w:t xml:space="preserve">13.1 Technical risks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3000"/>
        <w:gridCol w:w="1900"/>
        <w:gridCol w:w="1200"/>
        <w:gridCol w:w="3980"/>
      </w:tblGrid>
      <w:tr>
        <w:trPr>
          <w:tblHeader/>
        </w:trPr>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Risk</w:t>
            </w:r>
          </w:p>
        </w:tc>
        <w:tc>
          <w:tcPr>
            <w:tcW w:type="dxa" w:w="1900"/>
            <w:shd w:fill="1F3864" w:val="clear"/>
            <w:tcMar>
              <w:top w:type="dxa" w:w="60"/>
              <w:left w:type="dxa" w:w="100"/>
              <w:bottom w:type="dxa" w:w="60"/>
              <w:right w:type="dxa" w:w="100"/>
            </w:tcMar>
          </w:tcPr>
          <w:p>
            <w:pPr>
              <w:spacing w:after="0" w:line="240"/>
            </w:pPr>
            <w:r>
              <w:rPr>
                <w:b/>
                <w:bCs/>
                <w:color w:val="FFFFFF"/>
                <w:sz w:val="18"/>
                <w:szCs w:val="18"/>
              </w:rPr>
              <w:t xml:space="preserve">Impact</w:t>
            </w:r>
          </w:p>
        </w:tc>
        <w:tc>
          <w:tcPr>
            <w:tcW w:type="dxa" w:w="1200"/>
            <w:shd w:fill="1F3864" w:val="clear"/>
            <w:tcMar>
              <w:top w:type="dxa" w:w="60"/>
              <w:left w:type="dxa" w:w="100"/>
              <w:bottom w:type="dxa" w:w="60"/>
              <w:right w:type="dxa" w:w="100"/>
            </w:tcMar>
          </w:tcPr>
          <w:p>
            <w:pPr>
              <w:spacing w:after="0" w:line="240"/>
            </w:pPr>
            <w:r>
              <w:rPr>
                <w:b/>
                <w:bCs/>
                <w:color w:val="FFFFFF"/>
                <w:sz w:val="18"/>
                <w:szCs w:val="18"/>
              </w:rPr>
              <w:t xml:space="preserve">Likelihood</w:t>
            </w:r>
          </w:p>
        </w:tc>
        <w:tc>
          <w:tcPr>
            <w:tcW w:type="dxa" w:w="3980"/>
            <w:shd w:fill="1F3864" w:val="clear"/>
            <w:tcMar>
              <w:top w:type="dxa" w:w="60"/>
              <w:left w:type="dxa" w:w="100"/>
              <w:bottom w:type="dxa" w:w="60"/>
              <w:right w:type="dxa" w:w="100"/>
            </w:tcMar>
          </w:tcPr>
          <w:p>
            <w:pPr>
              <w:spacing w:after="0" w:line="240"/>
            </w:pPr>
            <w:r>
              <w:rPr>
                <w:b/>
                <w:bCs/>
                <w:color w:val="FFFFFF"/>
                <w:sz w:val="18"/>
                <w:szCs w:val="18"/>
              </w:rPr>
              <w:t xml:space="preserve">Mitigation</w:t>
            </w:r>
          </w:p>
        </w:tc>
      </w:tr>
      <w:tr>
        <w:tc>
          <w:tcPr>
            <w:tcW w:type="dxa" w:w="3000"/>
            <w:tcMar>
              <w:top w:type="dxa" w:w="60"/>
              <w:left w:type="dxa" w:w="100"/>
              <w:bottom w:type="dxa" w:w="60"/>
              <w:right w:type="dxa" w:w="100"/>
            </w:tcMar>
          </w:tcPr>
          <w:p>
            <w:pPr>
              <w:spacing w:after="0" w:line="240"/>
            </w:pPr>
            <w:r>
              <w:rPr>
                <w:b w:val="false"/>
                <w:bCs w:val="false"/>
                <w:sz w:val="18"/>
                <w:szCs w:val="18"/>
              </w:rPr>
              <w:t xml:space="preserve">A sign or missing term in the Itô drift ∇·κ produces a slow, plausible-looking density migration</w:t>
            </w:r>
          </w:p>
        </w:tc>
        <w:tc>
          <w:tcPr>
            <w:tcW w:type="dxa" w:w="1900"/>
            <w:tcMar>
              <w:top w:type="dxa" w:w="60"/>
              <w:left w:type="dxa" w:w="100"/>
              <w:bottom w:type="dxa" w:w="60"/>
              <w:right w:type="dxa" w:w="100"/>
            </w:tcMar>
          </w:tcPr>
          <w:p>
            <w:pPr>
              <w:spacing w:after="0" w:line="240"/>
            </w:pPr>
            <w:r>
              <w:rPr>
                <w:b w:val="false"/>
                <w:bCs w:val="false"/>
                <w:sz w:val="18"/>
                <w:szCs w:val="18"/>
              </w:rPr>
              <w:t xml:space="preserve">High — corrupts every Parker result and is very hard to spot in an event simulation</w:t>
            </w:r>
          </w:p>
        </w:tc>
        <w:tc>
          <w:tcPr>
            <w:tcW w:type="dxa" w:w="1200"/>
            <w:tcMar>
              <w:top w:type="dxa" w:w="60"/>
              <w:left w:type="dxa" w:w="100"/>
              <w:bottom w:type="dxa" w:w="60"/>
              <w:right w:type="dxa" w:w="100"/>
            </w:tcMar>
          </w:tcPr>
          <w:p>
            <w:pPr>
              <w:spacing w:after="0" w:line="240"/>
            </w:pPr>
            <w:r>
              <w:rPr>
                <w:b w:val="false"/>
                <w:bCs w:val="false"/>
                <w:sz w:val="18"/>
                <w:szCs w:val="18"/>
              </w:rPr>
              <w:t xml:space="preserve">Medium</w:t>
            </w:r>
          </w:p>
        </w:tc>
        <w:tc>
          <w:tcPr>
            <w:tcW w:type="dxa" w:w="3980"/>
            <w:tcMar>
              <w:top w:type="dxa" w:w="60"/>
              <w:left w:type="dxa" w:w="100"/>
              <w:bottom w:type="dxa" w:w="60"/>
              <w:right w:type="dxa" w:w="100"/>
            </w:tcMar>
          </w:tcPr>
          <w:p>
            <w:pPr>
              <w:spacing w:after="0" w:line="240"/>
            </w:pPr>
            <w:r>
              <w:rPr>
                <w:b w:val="false"/>
                <w:bCs w:val="false"/>
                <w:sz w:val="18"/>
                <w:szCs w:val="18"/>
              </w:rPr>
              <w:t xml:space="preserve">PRK3D05 is designed specifically for this: a uniform density must remain uniform. It is run nightly with a deliberately sign-flipped negative control that must fail</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First-order ∇·b̂ error across refinement boundaries produces a spurious focusing force</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High — biases every fte3d result at exactly the places the mesh was refined</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Medium</w:t>
            </w:r>
          </w:p>
        </w:tc>
        <w:tc>
          <w:tcPr>
            <w:tcW w:type="dxa" w:w="3980"/>
            <w:shd w:fill="EEF1F6" w:val="clear"/>
            <w:tcMar>
              <w:top w:type="dxa" w:w="60"/>
              <w:left w:type="dxa" w:w="100"/>
              <w:bottom w:type="dxa" w:w="60"/>
              <w:right w:type="dxa" w:w="100"/>
            </w:tcMar>
          </w:tcPr>
          <w:p>
            <w:pPr>
              <w:spacing w:after="0" w:line="240"/>
            </w:pPr>
            <w:r>
              <w:rPr>
                <w:b w:val="false"/>
                <w:bCs w:val="false"/>
                <w:sz w:val="18"/>
                <w:szCs w:val="18"/>
              </w:rPr>
              <w:t xml:space="preserve">Analytic gradients for the Parker provider; multi-block stencils for the differenced path; NAT3D03 measures the boundary jump as a reported metric with a declared threshold</w:t>
            </w:r>
          </w:p>
        </w:tc>
      </w:tr>
      <w:tr>
        <w:tc>
          <w:tcPr>
            <w:tcW w:type="dxa" w:w="3000"/>
            <w:tcMar>
              <w:top w:type="dxa" w:w="60"/>
              <w:left w:type="dxa" w:w="100"/>
              <w:bottom w:type="dxa" w:w="60"/>
              <w:right w:type="dxa" w:w="100"/>
            </w:tcMar>
          </w:tcPr>
          <w:p>
            <w:pPr>
              <w:spacing w:after="0" w:line="240"/>
            </w:pPr>
            <w:r>
              <w:rPr>
                <w:b w:val="false"/>
                <w:bCs w:val="false"/>
                <w:sz w:val="18"/>
                <w:szCs w:val="18"/>
              </w:rPr>
              <w:t xml:space="preserve">The refined flux tube is much wider than requested because of 2:1 balancing</w:t>
            </w:r>
          </w:p>
        </w:tc>
        <w:tc>
          <w:tcPr>
            <w:tcW w:type="dxa" w:w="1900"/>
            <w:tcMar>
              <w:top w:type="dxa" w:w="60"/>
              <w:left w:type="dxa" w:w="100"/>
              <w:bottom w:type="dxa" w:w="60"/>
              <w:right w:type="dxa" w:w="100"/>
            </w:tcMar>
          </w:tcPr>
          <w:p>
            <w:pPr>
              <w:spacing w:after="0" w:line="240"/>
            </w:pPr>
            <w:r>
              <w:rPr>
                <w:b w:val="false"/>
                <w:bCs w:val="false"/>
                <w:sz w:val="18"/>
                <w:szCs w:val="18"/>
              </w:rPr>
              <w:t xml:space="preserve">Medium — unexpected memory and cost</w:t>
            </w:r>
          </w:p>
        </w:tc>
        <w:tc>
          <w:tcPr>
            <w:tcW w:type="dxa" w:w="1200"/>
            <w:tcMar>
              <w:top w:type="dxa" w:w="60"/>
              <w:left w:type="dxa" w:w="100"/>
              <w:bottom w:type="dxa" w:w="60"/>
              <w:right w:type="dxa" w:w="100"/>
            </w:tcMar>
          </w:tcPr>
          <w:p>
            <w:pPr>
              <w:spacing w:after="0" w:line="240"/>
            </w:pPr>
            <w:r>
              <w:rPr>
                <w:b w:val="false"/>
                <w:bCs w:val="false"/>
                <w:sz w:val="18"/>
                <w:szCs w:val="18"/>
              </w:rPr>
              <w:t xml:space="preserve">High</w:t>
            </w:r>
          </w:p>
        </w:tc>
        <w:tc>
          <w:tcPr>
            <w:tcW w:type="dxa" w:w="3980"/>
            <w:tcMar>
              <w:top w:type="dxa" w:w="60"/>
              <w:left w:type="dxa" w:w="100"/>
              <w:bottom w:type="dxa" w:w="60"/>
              <w:right w:type="dxa" w:w="100"/>
            </w:tcMar>
          </w:tcPr>
          <w:p>
            <w:pPr>
              <w:spacing w:after="0" w:line="240"/>
            </w:pPr>
            <w:r>
              <w:rPr>
                <w:b w:val="false"/>
                <w:bCs w:val="false"/>
                <w:sz w:val="18"/>
                <w:szCs w:val="18"/>
              </w:rPr>
              <w:t xml:space="preserve">Section 6.5 makes the balance floor explicit, the startup report names which constraint is binding, and MSH3D07 asserts the level map is balanced</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Background memory on a fine mesh exceeds the allocation</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Medium</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Medium</w:t>
            </w:r>
          </w:p>
        </w:tc>
        <w:tc>
          <w:tcPr>
            <w:tcW w:type="dxa" w:w="3980"/>
            <w:shd w:fill="EEF1F6" w:val="clear"/>
            <w:tcMar>
              <w:top w:type="dxa" w:w="60"/>
              <w:left w:type="dxa" w:w="100"/>
              <w:bottom w:type="dxa" w:w="60"/>
              <w:right w:type="dxa" w:w="100"/>
            </w:tcMar>
          </w:tcPr>
          <w:p>
            <w:pPr>
              <w:spacing w:after="0" w:line="240"/>
            </w:pPr>
            <w:r>
              <w:rPr>
                <w:b w:val="false"/>
                <w:bCs w:val="false"/>
                <w:sz w:val="18"/>
                <w:szCs w:val="18"/>
              </w:rPr>
              <w:t xml:space="preserve">The derived-scalar layout cuts per-cell storage by 40%; the budget tool predicts the cost before the run; the spherical outer boundary removes ~48% of background cells</w:t>
            </w:r>
          </w:p>
        </w:tc>
      </w:tr>
      <w:tr>
        <w:tc>
          <w:tcPr>
            <w:tcW w:type="dxa" w:w="3000"/>
            <w:tcMar>
              <w:top w:type="dxa" w:w="60"/>
              <w:left w:type="dxa" w:w="100"/>
              <w:bottom w:type="dxa" w:w="60"/>
              <w:right w:type="dxa" w:w="100"/>
            </w:tcMar>
          </w:tcPr>
          <w:p>
            <w:pPr>
              <w:spacing w:after="0" w:line="240"/>
            </w:pPr>
            <w:r>
              <w:rPr>
                <w:b w:val="false"/>
                <w:bCs w:val="false"/>
                <w:sz w:val="18"/>
                <w:szCs w:val="18"/>
              </w:rPr>
              <w:t xml:space="preserve">Electron time steps make mixed ion/electron runs impractical</w:t>
            </w:r>
          </w:p>
        </w:tc>
        <w:tc>
          <w:tcPr>
            <w:tcW w:type="dxa" w:w="1900"/>
            <w:tcMar>
              <w:top w:type="dxa" w:w="60"/>
              <w:left w:type="dxa" w:w="100"/>
              <w:bottom w:type="dxa" w:w="60"/>
              <w:right w:type="dxa" w:w="100"/>
            </w:tcMar>
          </w:tcPr>
          <w:p>
            <w:pPr>
              <w:spacing w:after="0" w:line="240"/>
            </w:pPr>
            <w:r>
              <w:rPr>
                <w:b w:val="false"/>
                <w:bCs w:val="false"/>
                <w:sz w:val="18"/>
                <w:szCs w:val="18"/>
              </w:rPr>
              <w:t xml:space="preserve">Medium</w:t>
            </w:r>
          </w:p>
        </w:tc>
        <w:tc>
          <w:tcPr>
            <w:tcW w:type="dxa" w:w="1200"/>
            <w:tcMar>
              <w:top w:type="dxa" w:w="60"/>
              <w:left w:type="dxa" w:w="100"/>
              <w:bottom w:type="dxa" w:w="60"/>
              <w:right w:type="dxa" w:w="100"/>
            </w:tcMar>
          </w:tcPr>
          <w:p>
            <w:pPr>
              <w:spacing w:after="0" w:line="240"/>
            </w:pPr>
            <w:r>
              <w:rPr>
                <w:b w:val="false"/>
                <w:bCs w:val="false"/>
                <w:sz w:val="18"/>
                <w:szCs w:val="18"/>
              </w:rPr>
              <w:t xml:space="preserve">Medium</w:t>
            </w:r>
          </w:p>
        </w:tc>
        <w:tc>
          <w:tcPr>
            <w:tcW w:type="dxa" w:w="3980"/>
            <w:tcMar>
              <w:top w:type="dxa" w:w="60"/>
              <w:left w:type="dxa" w:w="100"/>
              <w:bottom w:type="dxa" w:w="60"/>
              <w:right w:type="dxa" w:w="100"/>
            </w:tcMar>
          </w:tcPr>
          <w:p>
            <w:pPr>
              <w:spacing w:after="0" w:line="240"/>
            </w:pPr>
            <w:r>
              <w:rPr>
                <w:b w:val="false"/>
                <w:bCs w:val="false"/>
                <w:sz w:val="18"/>
                <w:szCs w:val="18"/>
              </w:rPr>
              <w:t xml:space="preserve">Species-dependent block time steps and independent per-species weights; the option to run electrons in a separate pass with the same background snapshot</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SWCME’s prepared-state cadence is mistaken for a per-particle API and prepare_step() ends up in a hot loop</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Medium — severe slowdown</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Low</w:t>
            </w:r>
          </w:p>
        </w:tc>
        <w:tc>
          <w:tcPr>
            <w:tcW w:type="dxa" w:w="3980"/>
            <w:shd w:fill="EEF1F6" w:val="clear"/>
            <w:tcMar>
              <w:top w:type="dxa" w:w="60"/>
              <w:left w:type="dxa" w:w="100"/>
              <w:bottom w:type="dxa" w:w="60"/>
              <w:right w:type="dxa" w:w="100"/>
            </w:tcMar>
          </w:tcPr>
          <w:p>
            <w:pPr>
              <w:spacing w:after="0" w:line="240"/>
            </w:pPr>
            <w:r>
              <w:rPr>
                <w:b w:val="false"/>
                <w:bCs w:val="false"/>
                <w:sz w:val="18"/>
                <w:szCs w:val="18"/>
              </w:rPr>
              <w:t xml:space="preserve">The single SwcmeBackgroundService owner is the only code permitted to call prepare(); a review checklist item and a counter that reports preparations per iteration</w:t>
            </w:r>
          </w:p>
        </w:tc>
      </w:tr>
      <w:tr>
        <w:tc>
          <w:tcPr>
            <w:tcW w:type="dxa" w:w="3000"/>
            <w:tcMar>
              <w:top w:type="dxa" w:w="60"/>
              <w:left w:type="dxa" w:w="100"/>
              <w:bottom w:type="dxa" w:w="60"/>
              <w:right w:type="dxa" w:w="100"/>
            </w:tcMar>
          </w:tcPr>
          <w:p>
            <w:pPr>
              <w:spacing w:after="0" w:line="240"/>
            </w:pPr>
            <w:r>
              <w:rPr>
                <w:b w:val="false"/>
                <w:bCs w:val="false"/>
                <w:sz w:val="18"/>
                <w:szCs w:val="18"/>
              </w:rPr>
              <w:t xml:space="preserve">The SWCME move breaks srcSEP mid-flight</w:t>
            </w:r>
          </w:p>
        </w:tc>
        <w:tc>
          <w:tcPr>
            <w:tcW w:type="dxa" w:w="1900"/>
            <w:tcMar>
              <w:top w:type="dxa" w:w="60"/>
              <w:left w:type="dxa" w:w="100"/>
              <w:bottom w:type="dxa" w:w="60"/>
              <w:right w:type="dxa" w:w="100"/>
            </w:tcMar>
          </w:tcPr>
          <w:p>
            <w:pPr>
              <w:spacing w:after="0" w:line="240"/>
            </w:pPr>
            <w:r>
              <w:rPr>
                <w:b w:val="false"/>
                <w:bCs w:val="false"/>
                <w:sz w:val="18"/>
                <w:szCs w:val="18"/>
              </w:rPr>
              <w:t xml:space="preserve">Medium</w:t>
            </w:r>
          </w:p>
        </w:tc>
        <w:tc>
          <w:tcPr>
            <w:tcW w:type="dxa" w:w="1200"/>
            <w:tcMar>
              <w:top w:type="dxa" w:w="60"/>
              <w:left w:type="dxa" w:w="100"/>
              <w:bottom w:type="dxa" w:w="60"/>
              <w:right w:type="dxa" w:w="100"/>
            </w:tcMar>
          </w:tcPr>
          <w:p>
            <w:pPr>
              <w:spacing w:after="0" w:line="240"/>
            </w:pPr>
            <w:r>
              <w:rPr>
                <w:b w:val="false"/>
                <w:bCs w:val="false"/>
                <w:sz w:val="18"/>
                <w:szCs w:val="18"/>
              </w:rPr>
              <w:t xml:space="preserve">Low</w:t>
            </w:r>
          </w:p>
        </w:tc>
        <w:tc>
          <w:tcPr>
            <w:tcW w:type="dxa" w:w="3980"/>
            <w:tcMar>
              <w:top w:type="dxa" w:w="60"/>
              <w:left w:type="dxa" w:w="100"/>
              <w:bottom w:type="dxa" w:w="60"/>
              <w:right w:type="dxa" w:w="100"/>
            </w:tcMar>
          </w:tcPr>
          <w:p>
            <w:pPr>
              <w:spacing w:after="0" w:line="240"/>
            </w:pPr>
            <w:r>
              <w:rPr>
                <w:b w:val="false"/>
                <w:bCs w:val="false"/>
                <w:sz w:val="18"/>
                <w:szCs w:val="18"/>
              </w:rPr>
              <w:t xml:space="preserve">Pure relocation in one commit; forwarding headers; SWCME’s own PST07 and srcSEP’s make test are the acceptance gates</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Stage-3 comparison against srcSEP is inconclusive because the two models differ in setup rather than in physics</w:t>
            </w:r>
          </w:p>
        </w:tc>
        <w:tc>
          <w:tcPr>
            <w:tcW w:type="dxa" w:w="1900"/>
            <w:shd w:fill="EEF1F6" w:val="clear"/>
            <w:tcMar>
              <w:top w:type="dxa" w:w="60"/>
              <w:left w:type="dxa" w:w="100"/>
              <w:bottom w:type="dxa" w:w="60"/>
              <w:right w:type="dxa" w:w="100"/>
            </w:tcMar>
          </w:tcPr>
          <w:p>
            <w:pPr>
              <w:spacing w:after="0" w:line="240"/>
            </w:pPr>
            <w:r>
              <w:rPr>
                <w:b w:val="false"/>
                <w:bCs w:val="false"/>
                <w:sz w:val="18"/>
                <w:szCs w:val="18"/>
              </w:rPr>
              <w:t xml:space="preserve">High — wastes the most valuable validation asset</w:t>
            </w:r>
          </w:p>
        </w:tc>
        <w:tc>
          <w:tcPr>
            <w:tcW w:type="dxa" w:w="1200"/>
            <w:shd w:fill="EEF1F6" w:val="clear"/>
            <w:tcMar>
              <w:top w:type="dxa" w:w="60"/>
              <w:left w:type="dxa" w:w="100"/>
              <w:bottom w:type="dxa" w:w="60"/>
              <w:right w:type="dxa" w:w="100"/>
            </w:tcMar>
          </w:tcPr>
          <w:p>
            <w:pPr>
              <w:spacing w:after="0" w:line="240"/>
            </w:pPr>
            <w:r>
              <w:rPr>
                <w:b w:val="false"/>
                <w:bCs w:val="false"/>
                <w:sz w:val="18"/>
                <w:szCs w:val="18"/>
              </w:rPr>
              <w:t xml:space="preserve">Medium</w:t>
            </w:r>
          </w:p>
        </w:tc>
        <w:tc>
          <w:tcPr>
            <w:tcW w:type="dxa" w:w="3980"/>
            <w:shd w:fill="EEF1F6" w:val="clear"/>
            <w:tcMar>
              <w:top w:type="dxa" w:w="60"/>
              <w:left w:type="dxa" w:w="100"/>
              <w:bottom w:type="dxa" w:w="60"/>
              <w:right w:type="dxa" w:w="100"/>
            </w:tcMar>
          </w:tcPr>
          <w:p>
            <w:pPr>
              <w:spacing w:after="0" w:line="240"/>
            </w:pPr>
            <w:r>
              <w:rPr>
                <w:b w:val="false"/>
                <w:bCs w:val="false"/>
                <w:sz w:val="18"/>
                <w:szCs w:val="18"/>
              </w:rPr>
              <w:t xml:space="preserve">Shared coefficient kernels, shared injection-spectrum kernel, field-line projection of 3-D products, and XM3D05 resolution convergence before any comparison is interpreted</w:t>
            </w:r>
          </w:p>
        </w:tc>
      </w:tr>
      <w:tr>
        <w:tc>
          <w:tcPr>
            <w:tcW w:type="dxa" w:w="3000"/>
            <w:tcMar>
              <w:top w:type="dxa" w:w="60"/>
              <w:left w:type="dxa" w:w="100"/>
              <w:bottom w:type="dxa" w:w="60"/>
              <w:right w:type="dxa" w:w="100"/>
            </w:tcMar>
          </w:tcPr>
          <w:p>
            <w:pPr>
              <w:spacing w:after="0" w:line="240"/>
            </w:pPr>
            <w:r>
              <w:rPr>
                <w:b w:val="false"/>
                <w:bCs w:val="false"/>
                <w:sz w:val="18"/>
                <w:szCs w:val="18"/>
              </w:rPr>
              <w:t xml:space="preserve">Scope creep into perpendicular diffusion before the parallel model is validated</w:t>
            </w:r>
          </w:p>
        </w:tc>
        <w:tc>
          <w:tcPr>
            <w:tcW w:type="dxa" w:w="1900"/>
            <w:tcMar>
              <w:top w:type="dxa" w:w="60"/>
              <w:left w:type="dxa" w:w="100"/>
              <w:bottom w:type="dxa" w:w="60"/>
              <w:right w:type="dxa" w:w="100"/>
            </w:tcMar>
          </w:tcPr>
          <w:p>
            <w:pPr>
              <w:spacing w:after="0" w:line="240"/>
            </w:pPr>
            <w:r>
              <w:rPr>
                <w:b w:val="false"/>
                <w:bCs w:val="false"/>
                <w:sz w:val="18"/>
                <w:szCs w:val="18"/>
              </w:rPr>
              <w:t xml:space="preserve">Medium</w:t>
            </w:r>
          </w:p>
        </w:tc>
        <w:tc>
          <w:tcPr>
            <w:tcW w:type="dxa" w:w="1200"/>
            <w:tcMar>
              <w:top w:type="dxa" w:w="60"/>
              <w:left w:type="dxa" w:w="100"/>
              <w:bottom w:type="dxa" w:w="60"/>
              <w:right w:type="dxa" w:w="100"/>
            </w:tcMar>
          </w:tcPr>
          <w:p>
            <w:pPr>
              <w:spacing w:after="0" w:line="240"/>
            </w:pPr>
            <w:r>
              <w:rPr>
                <w:b w:val="false"/>
                <w:bCs w:val="false"/>
                <w:sz w:val="18"/>
                <w:szCs w:val="18"/>
              </w:rPr>
              <w:t xml:space="preserve">Medium</w:t>
            </w:r>
          </w:p>
        </w:tc>
        <w:tc>
          <w:tcPr>
            <w:tcW w:type="dxa" w:w="3980"/>
            <w:tcMar>
              <w:top w:type="dxa" w:w="60"/>
              <w:left w:type="dxa" w:w="100"/>
              <w:bottom w:type="dxa" w:w="60"/>
              <w:right w:type="dxa" w:w="100"/>
            </w:tcMar>
          </w:tcPr>
          <w:p>
            <w:pPr>
              <w:spacing w:after="0" w:line="240"/>
            </w:pPr>
            <w:r>
              <w:rPr>
                <w:b w:val="false"/>
                <w:bCs w:val="false"/>
                <w:sz w:val="18"/>
                <w:szCs w:val="18"/>
              </w:rPr>
              <w:t xml:space="preserve">The reserved-slot discipline: κ⊥ has an interface, a registry name that is rejected, and an identity test — but no implementation until Phase 8</w:t>
            </w:r>
          </w:p>
        </w:tc>
      </w:tr>
    </w:tbl>
    <w:p>
      <w:pPr>
        <w:spacing w:after="140"/>
      </w:pPr>
    </w:p>
    <w:p>
      <w:pPr>
        <w:pStyle w:val="Heading2"/>
        <w:spacing w:after="120" w:before="280"/>
      </w:pPr>
      <w:r>
        <w:t xml:space="preserve">13.2 Decisions to confirm before Phase A</w:t>
      </w:r>
    </w:p>
    <w:p>
      <w:pPr>
        <w:spacing w:after="120" w:line="264"/>
        <w:jc w:val="left"/>
      </w:pPr>
      <w:r>
        <w:t xml:space="preserve">These are genuine choices where the plan has taken a position that should be confirmed rather than assumed.</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700"/>
        <w:gridCol w:w="4000"/>
        <w:gridCol w:w="5380"/>
      </w:tblGrid>
      <w:tr>
        <w:trPr>
          <w:tblHeader/>
        </w:trPr>
        <w:tc>
          <w:tcPr>
            <w:tcW w:type="dxa" w:w="700"/>
            <w:shd w:fill="1F3864" w:val="clear"/>
            <w:tcMar>
              <w:top w:type="dxa" w:w="60"/>
              <w:left w:type="dxa" w:w="100"/>
              <w:bottom w:type="dxa" w:w="60"/>
              <w:right w:type="dxa" w:w="100"/>
            </w:tcMar>
          </w:tcPr>
          <w:p>
            <w:pPr>
              <w:spacing w:after="0" w:line="240"/>
            </w:pPr>
            <w:r>
              <w:rPr>
                <w:b/>
                <w:bCs/>
                <w:color w:val="FFFFFF"/>
                <w:sz w:val="18"/>
                <w:szCs w:val="18"/>
              </w:rPr>
              <w:t xml:space="preserve">#</w:t>
            </w:r>
          </w:p>
        </w:tc>
        <w:tc>
          <w:tcPr>
            <w:tcW w:type="dxa" w:w="4000"/>
            <w:shd w:fill="1F3864" w:val="clear"/>
            <w:tcMar>
              <w:top w:type="dxa" w:w="60"/>
              <w:left w:type="dxa" w:w="100"/>
              <w:bottom w:type="dxa" w:w="60"/>
              <w:right w:type="dxa" w:w="100"/>
            </w:tcMar>
          </w:tcPr>
          <w:p>
            <w:pPr>
              <w:spacing w:after="0" w:line="240"/>
            </w:pPr>
            <w:r>
              <w:rPr>
                <w:b/>
                <w:bCs/>
                <w:color w:val="FFFFFF"/>
                <w:sz w:val="18"/>
                <w:szCs w:val="18"/>
              </w:rPr>
              <w:t xml:space="preserve">Question</w:t>
            </w:r>
          </w:p>
        </w:tc>
        <w:tc>
          <w:tcPr>
            <w:tcW w:type="dxa" w:w="5380"/>
            <w:shd w:fill="1F3864" w:val="clear"/>
            <w:tcMar>
              <w:top w:type="dxa" w:w="60"/>
              <w:left w:type="dxa" w:w="100"/>
              <w:bottom w:type="dxa" w:w="60"/>
              <w:right w:type="dxa" w:w="100"/>
            </w:tcMar>
          </w:tcPr>
          <w:p>
            <w:pPr>
              <w:spacing w:after="0" w:line="240"/>
            </w:pPr>
            <w:r>
              <w:rPr>
                <w:b/>
                <w:bCs/>
                <w:color w:val="FFFFFF"/>
                <w:sz w:val="18"/>
                <w:szCs w:val="18"/>
              </w:rPr>
              <w:t xml:space="preserve">Position taken in this plan</w:t>
            </w:r>
          </w:p>
        </w:tc>
      </w:tr>
      <w:tr>
        <w:tc>
          <w:tcPr>
            <w:tcW w:type="dxa" w:w="700"/>
            <w:tcMar>
              <w:top w:type="dxa" w:w="60"/>
              <w:left w:type="dxa" w:w="100"/>
              <w:bottom w:type="dxa" w:w="60"/>
              <w:right w:type="dxa" w:w="100"/>
            </w:tcMar>
          </w:tcPr>
          <w:p>
            <w:pPr>
              <w:spacing w:after="0" w:line="240"/>
            </w:pPr>
            <w:r>
              <w:rPr>
                <w:b w:val="false"/>
                <w:bCs w:val="false"/>
                <w:sz w:val="18"/>
                <w:szCs w:val="18"/>
              </w:rPr>
              <w:t xml:space="preserve">D1</w:t>
            </w:r>
          </w:p>
        </w:tc>
        <w:tc>
          <w:tcPr>
            <w:tcW w:type="dxa" w:w="4000"/>
            <w:tcMar>
              <w:top w:type="dxa" w:w="60"/>
              <w:left w:type="dxa" w:w="100"/>
              <w:bottom w:type="dxa" w:w="60"/>
              <w:right w:type="dxa" w:w="100"/>
            </w:tcMar>
          </w:tcPr>
          <w:p>
            <w:pPr>
              <w:spacing w:after="0" w:line="240"/>
            </w:pPr>
            <w:r>
              <w:rPr>
                <w:b w:val="false"/>
                <w:bCs w:val="false"/>
                <w:sz w:val="18"/>
                <w:szCs w:val="18"/>
              </w:rPr>
              <w:t xml:space="preserve">Should the background mesh really be uniform, given that a continued r-proportional law would cost roughly 50× less?</w:t>
            </w:r>
          </w:p>
        </w:tc>
        <w:tc>
          <w:tcPr>
            <w:tcW w:type="dxa" w:w="5380"/>
            <w:tcMar>
              <w:top w:type="dxa" w:w="60"/>
              <w:left w:type="dxa" w:w="100"/>
              <w:bottom w:type="dxa" w:w="60"/>
              <w:right w:type="dxa" w:w="100"/>
            </w:tcMar>
          </w:tcPr>
          <w:p>
            <w:pPr>
              <w:spacing w:after="0" w:line="240"/>
            </w:pPr>
            <w:r>
              <w:rPr>
                <w:b w:val="false"/>
                <w:bCs w:val="false"/>
                <w:sz w:val="18"/>
                <w:szCs w:val="18"/>
              </w:rPr>
              <w:t xml:space="preserve">The requirement says uniform, so uniform is the default. The r-proportional alternative is available by setting --mesh-background-resolution very large, and Section 6 quantifies the trade so the choice can be revisited with numbers</w:t>
            </w:r>
          </w:p>
        </w:tc>
      </w:tr>
      <w:tr>
        <w:tc>
          <w:tcPr>
            <w:tcW w:type="dxa" w:w="700"/>
            <w:shd w:fill="EEF1F6" w:val="clear"/>
            <w:tcMar>
              <w:top w:type="dxa" w:w="60"/>
              <w:left w:type="dxa" w:w="100"/>
              <w:bottom w:type="dxa" w:w="60"/>
              <w:right w:type="dxa" w:w="100"/>
            </w:tcMar>
          </w:tcPr>
          <w:p>
            <w:pPr>
              <w:spacing w:after="0" w:line="240"/>
            </w:pPr>
            <w:r>
              <w:rPr>
                <w:b w:val="false"/>
                <w:bCs w:val="false"/>
                <w:sz w:val="18"/>
                <w:szCs w:val="18"/>
              </w:rPr>
              <w:t xml:space="preserve">D2</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Default background resolution: level 5 (0.017 AU) or level 6 (0.0086 AU)?</w:t>
            </w:r>
          </w:p>
        </w:tc>
        <w:tc>
          <w:tcPr>
            <w:tcW w:type="dxa" w:w="5380"/>
            <w:shd w:fill="EEF1F6" w:val="clear"/>
            <w:tcMar>
              <w:top w:type="dxa" w:w="60"/>
              <w:left w:type="dxa" w:w="100"/>
              <w:bottom w:type="dxa" w:w="60"/>
              <w:right w:type="dxa" w:w="100"/>
            </w:tcMar>
          </w:tcPr>
          <w:p>
            <w:pPr>
              <w:spacing w:after="0" w:line="240"/>
            </w:pPr>
            <w:r>
              <w:rPr>
                <w:b w:val="false"/>
                <w:bCs w:val="false"/>
                <w:sz w:val="18"/>
                <w:szCs w:val="18"/>
              </w:rPr>
              <w:t xml:space="preserve">Level 5 for development, level 6 documented as the production setting. Confirm which should be the shipped default</w:t>
            </w:r>
          </w:p>
        </w:tc>
      </w:tr>
      <w:tr>
        <w:tc>
          <w:tcPr>
            <w:tcW w:type="dxa" w:w="700"/>
            <w:tcMar>
              <w:top w:type="dxa" w:w="60"/>
              <w:left w:type="dxa" w:w="100"/>
              <w:bottom w:type="dxa" w:w="60"/>
              <w:right w:type="dxa" w:w="100"/>
            </w:tcMar>
          </w:tcPr>
          <w:p>
            <w:pPr>
              <w:spacing w:after="0" w:line="240"/>
            </w:pPr>
            <w:r>
              <w:rPr>
                <w:b w:val="false"/>
                <w:bCs w:val="false"/>
                <w:sz w:val="18"/>
                <w:szCs w:val="18"/>
              </w:rPr>
              <w:t xml:space="preserve">D3</w:t>
            </w:r>
          </w:p>
        </w:tc>
        <w:tc>
          <w:tcPr>
            <w:tcW w:type="dxa" w:w="4000"/>
            <w:tcMar>
              <w:top w:type="dxa" w:w="60"/>
              <w:left w:type="dxa" w:w="100"/>
              <w:bottom w:type="dxa" w:w="60"/>
              <w:right w:type="dxa" w:w="100"/>
            </w:tcMar>
          </w:tcPr>
          <w:p>
            <w:pPr>
              <w:spacing w:after="0" w:line="240"/>
            </w:pPr>
            <w:r>
              <w:rPr>
                <w:b w:val="false"/>
                <w:bCs w:val="false"/>
                <w:sz w:val="18"/>
                <w:szCs w:val="18"/>
              </w:rPr>
              <w:t xml:space="preserve">Default solar-surface resolution Δ₀</w:t>
            </w:r>
          </w:p>
        </w:tc>
        <w:tc>
          <w:tcPr>
            <w:tcW w:type="dxa" w:w="5380"/>
            <w:tcMar>
              <w:top w:type="dxa" w:w="60"/>
              <w:left w:type="dxa" w:w="100"/>
              <w:bottom w:type="dxa" w:w="60"/>
              <w:right w:type="dxa" w:w="100"/>
            </w:tcMar>
          </w:tcPr>
          <w:p>
            <w:pPr>
              <w:spacing w:after="0" w:line="240"/>
            </w:pPr>
            <w:r>
              <w:rPr>
                <w:b w:val="false"/>
                <w:bCs w:val="false"/>
                <w:sz w:val="18"/>
                <w:szCs w:val="18"/>
              </w:rPr>
              <w:t xml:space="preserve">0.1 R☉, corresponding to ε_B = 0.2 gradient resolution. 0.05 R☉ is affordable if inner-boundary injection physics matters</w:t>
            </w:r>
          </w:p>
        </w:tc>
      </w:tr>
      <w:tr>
        <w:tc>
          <w:tcPr>
            <w:tcW w:type="dxa" w:w="700"/>
            <w:shd w:fill="EEF1F6" w:val="clear"/>
            <w:tcMar>
              <w:top w:type="dxa" w:w="60"/>
              <w:left w:type="dxa" w:w="100"/>
              <w:bottom w:type="dxa" w:w="60"/>
              <w:right w:type="dxa" w:w="100"/>
            </w:tcMar>
          </w:tcPr>
          <w:p>
            <w:pPr>
              <w:spacing w:after="0" w:line="240"/>
            </w:pPr>
            <w:r>
              <w:rPr>
                <w:b w:val="false"/>
                <w:bCs w:val="false"/>
                <w:sz w:val="18"/>
                <w:szCs w:val="18"/>
              </w:rPr>
              <w:t xml:space="preserve">D4</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Default flux-tube angular half-width and depth</w:t>
            </w:r>
          </w:p>
        </w:tc>
        <w:tc>
          <w:tcPr>
            <w:tcW w:type="dxa" w:w="5380"/>
            <w:shd w:fill="EEF1F6" w:val="clear"/>
            <w:tcMar>
              <w:top w:type="dxa" w:w="60"/>
              <w:left w:type="dxa" w:w="100"/>
              <w:bottom w:type="dxa" w:w="60"/>
              <w:right w:type="dxa" w:w="100"/>
            </w:tcMar>
          </w:tcPr>
          <w:p>
            <w:pPr>
              <w:spacing w:after="0" w:line="240"/>
            </w:pPr>
            <w:r>
              <w:rPr>
                <w:b w:val="false"/>
                <w:bCs w:val="false"/>
                <w:sz w:val="18"/>
                <w:szCs w:val="18"/>
              </w:rPr>
              <w:t xml:space="preserve">ψ = 3°, ΔL_tube = 3. Both are cheap to change; ΔL_tube = 4 roughly quadruples the tube cost</w:t>
            </w:r>
          </w:p>
        </w:tc>
      </w:tr>
      <w:tr>
        <w:tc>
          <w:tcPr>
            <w:tcW w:type="dxa" w:w="700"/>
            <w:tcMar>
              <w:top w:type="dxa" w:w="60"/>
              <w:left w:type="dxa" w:w="100"/>
              <w:bottom w:type="dxa" w:w="60"/>
              <w:right w:type="dxa" w:w="100"/>
            </w:tcMar>
          </w:tcPr>
          <w:p>
            <w:pPr>
              <w:spacing w:after="0" w:line="240"/>
            </w:pPr>
            <w:r>
              <w:rPr>
                <w:b w:val="false"/>
                <w:bCs w:val="false"/>
                <w:sz w:val="18"/>
                <w:szCs w:val="18"/>
              </w:rPr>
              <w:t xml:space="preserve">D5</w:t>
            </w:r>
          </w:p>
        </w:tc>
        <w:tc>
          <w:tcPr>
            <w:tcW w:type="dxa" w:w="4000"/>
            <w:tcMar>
              <w:top w:type="dxa" w:w="60"/>
              <w:left w:type="dxa" w:w="100"/>
              <w:bottom w:type="dxa" w:w="60"/>
              <w:right w:type="dxa" w:w="100"/>
            </w:tcMar>
          </w:tcPr>
          <w:p>
            <w:pPr>
              <w:spacing w:after="0" w:line="240"/>
            </w:pPr>
            <w:r>
              <w:rPr>
                <w:b w:val="false"/>
                <w:bCs w:val="false"/>
                <w:sz w:val="18"/>
                <w:szCs w:val="18"/>
              </w:rPr>
              <w:t xml:space="preserve">Is the fte3d-mfp event-driven mover needed in release 1?</w:t>
            </w:r>
          </w:p>
        </w:tc>
        <w:tc>
          <w:tcPr>
            <w:tcW w:type="dxa" w:w="5380"/>
            <w:tcMar>
              <w:top w:type="dxa" w:w="60"/>
              <w:left w:type="dxa" w:w="100"/>
              <w:bottom w:type="dxa" w:w="60"/>
              <w:right w:type="dxa" w:w="100"/>
            </w:tcMar>
          </w:tcPr>
          <w:p>
            <w:pPr>
              <w:spacing w:after="0" w:line="240"/>
            </w:pPr>
            <w:r>
              <w:rPr>
                <w:b w:val="false"/>
                <w:bCs w:val="false"/>
                <w:sz w:val="18"/>
                <w:szCs w:val="18"/>
              </w:rPr>
              <w:t xml:space="preserve">No — reserved for Phase 8. Confirm, since srcSEP treats it as a production mover</w:t>
            </w:r>
          </w:p>
        </w:tc>
      </w:tr>
      <w:tr>
        <w:tc>
          <w:tcPr>
            <w:tcW w:type="dxa" w:w="700"/>
            <w:shd w:fill="EEF1F6" w:val="clear"/>
            <w:tcMar>
              <w:top w:type="dxa" w:w="60"/>
              <w:left w:type="dxa" w:w="100"/>
              <w:bottom w:type="dxa" w:w="60"/>
              <w:right w:type="dxa" w:w="100"/>
            </w:tcMar>
          </w:tcPr>
          <w:p>
            <w:pPr>
              <w:spacing w:after="0" w:line="240"/>
            </w:pPr>
            <w:r>
              <w:rPr>
                <w:b w:val="false"/>
                <w:bCs w:val="false"/>
                <w:sz w:val="18"/>
                <w:szCs w:val="18"/>
              </w:rPr>
              <w:t xml:space="preserve">D6</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Are drifts needed before perpendicular diffusion?</w:t>
            </w:r>
          </w:p>
        </w:tc>
        <w:tc>
          <w:tcPr>
            <w:tcW w:type="dxa" w:w="5380"/>
            <w:shd w:fill="EEF1F6" w:val="clear"/>
            <w:tcMar>
              <w:top w:type="dxa" w:w="60"/>
              <w:left w:type="dxa" w:w="100"/>
              <w:bottom w:type="dxa" w:w="60"/>
              <w:right w:type="dxa" w:w="100"/>
            </w:tcMar>
          </w:tcPr>
          <w:p>
            <w:pPr>
              <w:spacing w:after="0" w:line="240"/>
            </w:pPr>
            <w:r>
              <w:rPr>
                <w:b w:val="false"/>
                <w:bCs w:val="false"/>
                <w:sz w:val="18"/>
                <w:szCs w:val="18"/>
              </w:rPr>
              <w:t xml:space="preserve">The plan reserves both and implements neither. For heavy ions and for high-energy protons drifts can matter more than κ⊥; confirm the ordering</w:t>
            </w:r>
          </w:p>
        </w:tc>
      </w:tr>
      <w:tr>
        <w:tc>
          <w:tcPr>
            <w:tcW w:type="dxa" w:w="700"/>
            <w:tcMar>
              <w:top w:type="dxa" w:w="60"/>
              <w:left w:type="dxa" w:w="100"/>
              <w:bottom w:type="dxa" w:w="60"/>
              <w:right w:type="dxa" w:w="100"/>
            </w:tcMar>
          </w:tcPr>
          <w:p>
            <w:pPr>
              <w:spacing w:after="0" w:line="240"/>
            </w:pPr>
            <w:r>
              <w:rPr>
                <w:b w:val="false"/>
                <w:bCs w:val="false"/>
                <w:sz w:val="18"/>
                <w:szCs w:val="18"/>
              </w:rPr>
              <w:t xml:space="preserve">D7</w:t>
            </w:r>
          </w:p>
        </w:tc>
        <w:tc>
          <w:tcPr>
            <w:tcW w:type="dxa" w:w="4000"/>
            <w:tcMar>
              <w:top w:type="dxa" w:w="60"/>
              <w:left w:type="dxa" w:w="100"/>
              <w:bottom w:type="dxa" w:w="60"/>
              <w:right w:type="dxa" w:w="100"/>
            </w:tcMar>
          </w:tcPr>
          <w:p>
            <w:pPr>
              <w:spacing w:after="0" w:line="240"/>
            </w:pPr>
            <w:r>
              <w:rPr>
                <w:b w:val="false"/>
                <w:bCs w:val="false"/>
                <w:sz w:val="18"/>
                <w:szCs w:val="18"/>
              </w:rPr>
              <w:t xml:space="preserve">Which electron event should OV3D04 use?</w:t>
            </w:r>
          </w:p>
        </w:tc>
        <w:tc>
          <w:tcPr>
            <w:tcW w:type="dxa" w:w="5380"/>
            <w:tcMar>
              <w:top w:type="dxa" w:w="60"/>
              <w:left w:type="dxa" w:w="100"/>
              <w:bottom w:type="dxa" w:w="60"/>
              <w:right w:type="dxa" w:w="100"/>
            </w:tcMar>
          </w:tcPr>
          <w:p>
            <w:pPr>
              <w:spacing w:after="0" w:line="240"/>
            </w:pPr>
            <w:r>
              <w:rPr>
                <w:b w:val="false"/>
                <w:bCs w:val="false"/>
                <w:sz w:val="18"/>
                <w:szCs w:val="18"/>
              </w:rPr>
              <w:t xml:space="preserve">Open. Needs a multi-spacecraft near-relativistic electron event with published, digitisable intensities</w:t>
            </w:r>
          </w:p>
        </w:tc>
      </w:tr>
      <w:tr>
        <w:tc>
          <w:tcPr>
            <w:tcW w:type="dxa" w:w="700"/>
            <w:shd w:fill="EEF1F6" w:val="clear"/>
            <w:tcMar>
              <w:top w:type="dxa" w:w="60"/>
              <w:left w:type="dxa" w:w="100"/>
              <w:bottom w:type="dxa" w:w="60"/>
              <w:right w:type="dxa" w:w="100"/>
            </w:tcMar>
          </w:tcPr>
          <w:p>
            <w:pPr>
              <w:spacing w:after="0" w:line="240"/>
            </w:pPr>
            <w:r>
              <w:rPr>
                <w:b w:val="false"/>
                <w:bCs w:val="false"/>
                <w:sz w:val="18"/>
                <w:szCs w:val="18"/>
              </w:rPr>
              <w:t xml:space="preserve">D8</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Should srcSEP3D keep any field-line capability?</w:t>
            </w:r>
          </w:p>
        </w:tc>
        <w:tc>
          <w:tcPr>
            <w:tcW w:type="dxa" w:w="5380"/>
            <w:shd w:fill="EEF1F6" w:val="clear"/>
            <w:tcMar>
              <w:top w:type="dxa" w:w="60"/>
              <w:left w:type="dxa" w:w="100"/>
              <w:bottom w:type="dxa" w:w="60"/>
              <w:right w:type="dxa" w:w="100"/>
            </w:tcMar>
          </w:tcPr>
          <w:p>
            <w:pPr>
              <w:spacing w:after="0" w:line="240"/>
            </w:pPr>
            <w:r>
              <w:rPr>
                <w:b w:val="false"/>
                <w:bCs w:val="false"/>
                <w:sz w:val="18"/>
                <w:szCs w:val="18"/>
              </w:rPr>
              <w:t xml:space="preserve">Yes, but only as a diagnostic: tracing a line for projection and for the XM3D comparison. Particles are attached to mesh cells, not segments</w:t>
            </w:r>
          </w:p>
        </w:tc>
      </w:tr>
      <w:tr>
        <w:tc>
          <w:tcPr>
            <w:tcW w:type="dxa" w:w="700"/>
            <w:tcMar>
              <w:top w:type="dxa" w:w="60"/>
              <w:left w:type="dxa" w:w="100"/>
              <w:bottom w:type="dxa" w:w="60"/>
              <w:right w:type="dxa" w:w="100"/>
            </w:tcMar>
          </w:tcPr>
          <w:p>
            <w:pPr>
              <w:spacing w:after="0" w:line="240"/>
            </w:pPr>
            <w:r>
              <w:rPr>
                <w:b w:val="false"/>
                <w:bCs w:val="false"/>
                <w:sz w:val="18"/>
                <w:szCs w:val="18"/>
              </w:rPr>
              <w:t xml:space="preserve">D9</w:t>
            </w:r>
          </w:p>
        </w:tc>
        <w:tc>
          <w:tcPr>
            <w:tcW w:type="dxa" w:w="4000"/>
            <w:tcMar>
              <w:top w:type="dxa" w:w="60"/>
              <w:left w:type="dxa" w:w="100"/>
              <w:bottom w:type="dxa" w:w="60"/>
              <w:right w:type="dxa" w:w="100"/>
            </w:tcMar>
          </w:tcPr>
          <w:p>
            <w:pPr>
              <w:spacing w:after="0" w:line="240"/>
            </w:pPr>
            <w:r>
              <w:rPr>
                <w:b w:val="false"/>
                <w:bCs w:val="false"/>
                <w:sz w:val="18"/>
                <w:szCs w:val="18"/>
              </w:rPr>
              <w:t xml:space="preserve">Coordinate frame and time origin</w:t>
            </w:r>
          </w:p>
        </w:tc>
        <w:tc>
          <w:tcPr>
            <w:tcW w:type="dxa" w:w="5380"/>
            <w:tcMar>
              <w:top w:type="dxa" w:w="60"/>
              <w:left w:type="dxa" w:w="100"/>
              <w:bottom w:type="dxa" w:w="60"/>
              <w:right w:type="dxa" w:w="100"/>
            </w:tcMar>
          </w:tcPr>
          <w:p>
            <w:pPr>
              <w:spacing w:after="0" w:line="240"/>
            </w:pPr>
            <w:r>
              <w:rPr>
                <w:b w:val="false"/>
                <w:bCs w:val="false"/>
                <w:sz w:val="18"/>
                <w:szCs w:val="18"/>
              </w:rPr>
              <w:t xml:space="preserve">HCI-like inertial, Sun at the origin, no SPICE. Confirm this is sufficient for the intended observational cases, which may need spacecraft ephemerides</w:t>
            </w:r>
          </w:p>
        </w:tc>
      </w:tr>
      <w:tr>
        <w:tc>
          <w:tcPr>
            <w:tcW w:type="dxa" w:w="700"/>
            <w:shd w:fill="EEF1F6" w:val="clear"/>
            <w:tcMar>
              <w:top w:type="dxa" w:w="60"/>
              <w:left w:type="dxa" w:w="100"/>
              <w:bottom w:type="dxa" w:w="60"/>
              <w:right w:type="dxa" w:w="100"/>
            </w:tcMar>
          </w:tcPr>
          <w:p>
            <w:pPr>
              <w:spacing w:after="0" w:line="240"/>
            </w:pPr>
            <w:r>
              <w:rPr>
                <w:b w:val="false"/>
                <w:bCs w:val="false"/>
                <w:sz w:val="18"/>
                <w:szCs w:val="18"/>
              </w:rPr>
              <w:t xml:space="preserve">D10</w:t>
            </w:r>
          </w:p>
        </w:tc>
        <w:tc>
          <w:tcPr>
            <w:tcW w:type="dxa" w:w="4000"/>
            <w:shd w:fill="EEF1F6" w:val="clear"/>
            <w:tcMar>
              <w:top w:type="dxa" w:w="60"/>
              <w:left w:type="dxa" w:w="100"/>
              <w:bottom w:type="dxa" w:w="60"/>
              <w:right w:type="dxa" w:w="100"/>
            </w:tcMar>
          </w:tcPr>
          <w:p>
            <w:pPr>
              <w:spacing w:after="0" w:line="240"/>
            </w:pPr>
            <w:r>
              <w:rPr>
                <w:b w:val="false"/>
                <w:bCs w:val="false"/>
                <w:sz w:val="18"/>
                <w:szCs w:val="18"/>
              </w:rPr>
              <w:t xml:space="preserve">Should SWCME move to src/models/swcme or to a new top-level share/ directory?</w:t>
            </w:r>
          </w:p>
        </w:tc>
        <w:tc>
          <w:tcPr>
            <w:tcW w:type="dxa" w:w="5380"/>
            <w:shd w:fill="EEF1F6" w:val="clear"/>
            <w:tcMar>
              <w:top w:type="dxa" w:w="60"/>
              <w:left w:type="dxa" w:w="100"/>
              <w:bottom w:type="dxa" w:w="60"/>
              <w:right w:type="dxa" w:w="100"/>
            </w:tcMar>
          </w:tcPr>
          <w:p>
            <w:pPr>
              <w:spacing w:after="0" w:line="240"/>
            </w:pPr>
            <w:r>
              <w:rPr>
                <w:b w:val="false"/>
                <w:bCs w:val="false"/>
                <w:sz w:val="18"/>
                <w:szCs w:val="18"/>
              </w:rPr>
              <w:t xml:space="preserve">src/models/swcme, because AMPS already uses that location for model libraries and no new convention is needed</w:t>
            </w:r>
          </w:p>
        </w:tc>
      </w:tr>
    </w:tbl>
    <w:p>
      <w:pPr>
        <w:spacing w:after="140"/>
      </w:pPr>
    </w:p>
    <w:p>
      <w:r>
        <w:br w:type="page"/>
      </w:r>
    </w:p>
    <w:p>
      <w:pPr>
        <w:pStyle w:val="Heading1"/>
        <w:spacing w:after="160" w:before="360"/>
      </w:pPr>
      <w:r>
        <w:t xml:space="preserve">Appendix A. Symbols and Units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400"/>
        <w:gridCol w:w="5400"/>
        <w:gridCol w:w="2280"/>
      </w:tblGrid>
      <w:tr>
        <w:trPr>
          <w:tblHeader/>
        </w:trPr>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Symbol</w:t>
            </w:r>
          </w:p>
        </w:tc>
        <w:tc>
          <w:tcPr>
            <w:tcW w:type="dxa" w:w="5400"/>
            <w:shd w:fill="1F3864" w:val="clear"/>
            <w:tcMar>
              <w:top w:type="dxa" w:w="60"/>
              <w:left w:type="dxa" w:w="100"/>
              <w:bottom w:type="dxa" w:w="60"/>
              <w:right w:type="dxa" w:w="100"/>
            </w:tcMar>
          </w:tcPr>
          <w:p>
            <w:pPr>
              <w:spacing w:after="0" w:line="240"/>
            </w:pPr>
            <w:r>
              <w:rPr>
                <w:b/>
                <w:bCs/>
                <w:color w:val="FFFFFF"/>
                <w:sz w:val="18"/>
                <w:szCs w:val="18"/>
              </w:rPr>
              <w:t xml:space="preserve">Meaning</w:t>
            </w:r>
          </w:p>
        </w:tc>
        <w:tc>
          <w:tcPr>
            <w:tcW w:type="dxa" w:w="2280"/>
            <w:shd w:fill="1F3864" w:val="clear"/>
            <w:tcMar>
              <w:top w:type="dxa" w:w="60"/>
              <w:left w:type="dxa" w:w="100"/>
              <w:bottom w:type="dxa" w:w="60"/>
              <w:right w:type="dxa" w:w="100"/>
            </w:tcMar>
          </w:tcPr>
          <w:p>
            <w:pPr>
              <w:spacing w:after="0" w:line="240"/>
            </w:pPr>
            <w:r>
              <w:rPr>
                <w:b/>
                <w:bCs/>
                <w:color w:val="FFFFFF"/>
                <w:sz w:val="18"/>
                <w:szCs w:val="18"/>
              </w:rPr>
              <w:t xml:space="preserve">SI unit</w:t>
            </w:r>
          </w:p>
        </w:tc>
      </w:tr>
      <w:tr>
        <w:tc>
          <w:tcPr>
            <w:tcW w:type="dxa" w:w="2400"/>
            <w:tcMar>
              <w:top w:type="dxa" w:w="60"/>
              <w:left w:type="dxa" w:w="100"/>
              <w:bottom w:type="dxa" w:w="60"/>
              <w:right w:type="dxa" w:w="100"/>
            </w:tcMar>
          </w:tcPr>
          <w:p>
            <w:pPr>
              <w:spacing w:after="0" w:line="240"/>
            </w:pPr>
            <w:r>
              <w:rPr>
                <w:b w:val="false"/>
                <w:bCs w:val="false"/>
                <w:sz w:val="18"/>
                <w:szCs w:val="18"/>
              </w:rPr>
              <w:t xml:space="preserve">x, r</w:t>
            </w:r>
          </w:p>
        </w:tc>
        <w:tc>
          <w:tcPr>
            <w:tcW w:type="dxa" w:w="5400"/>
            <w:tcMar>
              <w:top w:type="dxa" w:w="60"/>
              <w:left w:type="dxa" w:w="100"/>
              <w:bottom w:type="dxa" w:w="60"/>
              <w:right w:type="dxa" w:w="100"/>
            </w:tcMar>
          </w:tcPr>
          <w:p>
            <w:pPr>
              <w:spacing w:after="0" w:line="240"/>
            </w:pPr>
            <w:r>
              <w:rPr>
                <w:b w:val="false"/>
                <w:bCs w:val="false"/>
                <w:sz w:val="18"/>
                <w:szCs w:val="18"/>
              </w:rPr>
              <w:t xml:space="preserve">Guiding-centre position; heliocentric radius</w:t>
            </w:r>
          </w:p>
        </w:tc>
        <w:tc>
          <w:tcPr>
            <w:tcW w:type="dxa" w:w="2280"/>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p, v</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Plasma-frame momentum magnitude; speed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kg m s⁻¹, m s⁻¹</w:t>
            </w:r>
          </w:p>
        </w:tc>
      </w:tr>
      <w:tr>
        <w:tc>
          <w:tcPr>
            <w:tcW w:type="dxa" w:w="2400"/>
            <w:tcMar>
              <w:top w:type="dxa" w:w="60"/>
              <w:left w:type="dxa" w:w="100"/>
              <w:bottom w:type="dxa" w:w="60"/>
              <w:right w:type="dxa" w:w="100"/>
            </w:tcMar>
          </w:tcPr>
          <w:p>
            <w:pPr>
              <w:spacing w:after="0" w:line="240"/>
            </w:pPr>
            <w:r>
              <w:rPr>
                <w:b w:val="false"/>
                <w:bCs w:val="false"/>
                <w:sz w:val="18"/>
                <w:szCs w:val="18"/>
              </w:rPr>
              <w:t xml:space="preserve">μ</w:t>
            </w:r>
          </w:p>
        </w:tc>
        <w:tc>
          <w:tcPr>
            <w:tcW w:type="dxa" w:w="5400"/>
            <w:tcMar>
              <w:top w:type="dxa" w:w="60"/>
              <w:left w:type="dxa" w:w="100"/>
              <w:bottom w:type="dxa" w:w="60"/>
              <w:right w:type="dxa" w:w="100"/>
            </w:tcMar>
          </w:tcPr>
          <w:p>
            <w:pPr>
              <w:spacing w:after="0" w:line="240"/>
            </w:pPr>
            <w:r>
              <w:rPr>
                <w:b w:val="false"/>
                <w:bCs w:val="false"/>
                <w:sz w:val="18"/>
                <w:szCs w:val="18"/>
              </w:rPr>
              <w:t xml:space="preserve">Pitch-angle cosine</w:t>
            </w:r>
          </w:p>
        </w:tc>
        <w:tc>
          <w:tcPr>
            <w:tcW w:type="dxa" w:w="2280"/>
            <w:tcMar>
              <w:top w:type="dxa" w:w="60"/>
              <w:left w:type="dxa" w:w="100"/>
              <w:bottom w:type="dxa" w:w="60"/>
              <w:right w:type="dxa" w:w="100"/>
            </w:tcMar>
          </w:tcPr>
          <w:p>
            <w:pPr>
              <w:spacing w:after="0" w:line="240"/>
            </w:pPr>
            <w:r>
              <w:rPr>
                <w:b w:val="false"/>
                <w:bCs w:val="false"/>
                <w:sz w:val="18"/>
                <w:szCs w:val="18"/>
              </w:rPr>
              <w:t xml:space="preserve">—</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B, b̂, |B|</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Magnetic field, unit vector, magnitude</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T</w:t>
            </w:r>
          </w:p>
        </w:tc>
      </w:tr>
      <w:tr>
        <w:tc>
          <w:tcPr>
            <w:tcW w:type="dxa" w:w="2400"/>
            <w:tcMar>
              <w:top w:type="dxa" w:w="60"/>
              <w:left w:type="dxa" w:w="100"/>
              <w:bottom w:type="dxa" w:w="60"/>
              <w:right w:type="dxa" w:w="100"/>
            </w:tcMar>
          </w:tcPr>
          <w:p>
            <w:pPr>
              <w:spacing w:after="0" w:line="240"/>
            </w:pPr>
            <w:r>
              <w:rPr>
                <w:b w:val="false"/>
                <w:bCs w:val="false"/>
                <w:sz w:val="18"/>
                <w:szCs w:val="18"/>
              </w:rPr>
              <w:t xml:space="preserve">U</w:t>
            </w:r>
          </w:p>
        </w:tc>
        <w:tc>
          <w:tcPr>
            <w:tcW w:type="dxa" w:w="5400"/>
            <w:tcMar>
              <w:top w:type="dxa" w:w="60"/>
              <w:left w:type="dxa" w:w="100"/>
              <w:bottom w:type="dxa" w:w="60"/>
              <w:right w:type="dxa" w:w="100"/>
            </w:tcMar>
          </w:tcPr>
          <w:p>
            <w:pPr>
              <w:spacing w:after="0" w:line="240"/>
            </w:pPr>
            <w:r>
              <w:rPr>
                <w:b w:val="false"/>
                <w:bCs w:val="false"/>
                <w:sz w:val="18"/>
                <w:szCs w:val="18"/>
              </w:rPr>
              <w:t xml:space="preserve">Plasma bulk velocity</w:t>
            </w:r>
          </w:p>
        </w:tc>
        <w:tc>
          <w:tcPr>
            <w:tcW w:type="dxa" w:w="2280"/>
            <w:tcMar>
              <w:top w:type="dxa" w:w="60"/>
              <w:left w:type="dxa" w:w="100"/>
              <w:bottom w:type="dxa" w:w="60"/>
              <w:right w:type="dxa" w:w="100"/>
            </w:tcMar>
          </w:tcPr>
          <w:p>
            <w:pPr>
              <w:spacing w:after="0" w:line="240"/>
            </w:pPr>
            <w:r>
              <w:rPr>
                <w:b w:val="false"/>
                <w:bCs w:val="false"/>
                <w:sz w:val="18"/>
                <w:szCs w:val="18"/>
              </w:rPr>
              <w:t xml:space="preserve">m s⁻¹</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v_d</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Drift velocity (reserved, zero in release 1)</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m s⁻¹</w:t>
            </w:r>
          </w:p>
        </w:tc>
      </w:tr>
      <w:tr>
        <w:tc>
          <w:tcPr>
            <w:tcW w:type="dxa" w:w="2400"/>
            <w:tcMar>
              <w:top w:type="dxa" w:w="60"/>
              <w:left w:type="dxa" w:w="100"/>
              <w:bottom w:type="dxa" w:w="60"/>
              <w:right w:type="dxa" w:w="100"/>
            </w:tcMar>
          </w:tcPr>
          <w:p>
            <w:pPr>
              <w:spacing w:after="0" w:line="240"/>
            </w:pPr>
            <w:r>
              <w:rPr>
                <w:b w:val="false"/>
                <w:bCs w:val="false"/>
                <w:sz w:val="18"/>
                <w:szCs w:val="18"/>
              </w:rPr>
              <w:t xml:space="preserve">κ, κ∥, κ⊥, κ_A</w:t>
            </w:r>
          </w:p>
        </w:tc>
        <w:tc>
          <w:tcPr>
            <w:tcW w:type="dxa" w:w="5400"/>
            <w:tcMar>
              <w:top w:type="dxa" w:w="60"/>
              <w:left w:type="dxa" w:w="100"/>
              <w:bottom w:type="dxa" w:w="60"/>
              <w:right w:type="dxa" w:w="100"/>
            </w:tcMar>
          </w:tcPr>
          <w:p>
            <w:pPr>
              <w:spacing w:after="0" w:line="240"/>
            </w:pPr>
            <w:r>
              <w:rPr>
                <w:b w:val="false"/>
                <w:bCs w:val="false"/>
                <w:sz w:val="18"/>
                <w:szCs w:val="18"/>
              </w:rPr>
              <w:t xml:space="preserve">Spatial diffusion tensor and its components</w:t>
            </w:r>
          </w:p>
        </w:tc>
        <w:tc>
          <w:tcPr>
            <w:tcW w:type="dxa" w:w="2280"/>
            <w:tcMar>
              <w:top w:type="dxa" w:w="60"/>
              <w:left w:type="dxa" w:w="100"/>
              <w:bottom w:type="dxa" w:w="60"/>
              <w:right w:type="dxa" w:w="100"/>
            </w:tcMar>
          </w:tcPr>
          <w:p>
            <w:pPr>
              <w:spacing w:after="0" w:line="240"/>
            </w:pPr>
            <w:r>
              <w:rPr>
                <w:b w:val="false"/>
                <w:bCs w:val="false"/>
                <w:sz w:val="18"/>
                <w:szCs w:val="18"/>
              </w:rPr>
              <w:t xml:space="preserve">m² s⁻¹</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λ∥</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Parallel mean free path</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D_μμ</w:t>
            </w:r>
          </w:p>
        </w:tc>
        <w:tc>
          <w:tcPr>
            <w:tcW w:type="dxa" w:w="5400"/>
            <w:tcMar>
              <w:top w:type="dxa" w:w="60"/>
              <w:left w:type="dxa" w:w="100"/>
              <w:bottom w:type="dxa" w:w="60"/>
              <w:right w:type="dxa" w:w="100"/>
            </w:tcMar>
          </w:tcPr>
          <w:p>
            <w:pPr>
              <w:spacing w:after="0" w:line="240"/>
            </w:pPr>
            <w:r>
              <w:rPr>
                <w:b w:val="false"/>
                <w:bCs w:val="false"/>
                <w:sz w:val="18"/>
                <w:szCs w:val="18"/>
              </w:rPr>
              <w:t xml:space="preserve">Pitch-angle diffusion coefficient</w:t>
            </w:r>
          </w:p>
        </w:tc>
        <w:tc>
          <w:tcPr>
            <w:tcW w:type="dxa" w:w="2280"/>
            <w:tcMar>
              <w:top w:type="dxa" w:w="60"/>
              <w:left w:type="dxa" w:w="100"/>
              <w:bottom w:type="dxa" w:w="60"/>
              <w:right w:type="dxa" w:w="100"/>
            </w:tcMar>
          </w:tcPr>
          <w:p>
            <w:pPr>
              <w:spacing w:after="0" w:line="240"/>
            </w:pPr>
            <w:r>
              <w:rPr>
                <w:b w:val="false"/>
                <w:bCs w:val="false"/>
                <w:sz w:val="18"/>
                <w:szCs w:val="18"/>
              </w:rPr>
              <w:t xml:space="preserve">s⁻¹</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L, L_B</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Focusing length, −(∂ ln|B|/∂s)⁻¹</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∇·U</w:t>
            </w:r>
          </w:p>
        </w:tc>
        <w:tc>
          <w:tcPr>
            <w:tcW w:type="dxa" w:w="5400"/>
            <w:tcMar>
              <w:top w:type="dxa" w:w="60"/>
              <w:left w:type="dxa" w:w="100"/>
              <w:bottom w:type="dxa" w:w="60"/>
              <w:right w:type="dxa" w:w="100"/>
            </w:tcMar>
          </w:tcPr>
          <w:p>
            <w:pPr>
              <w:spacing w:after="0" w:line="240"/>
            </w:pPr>
            <w:r>
              <w:rPr>
                <w:b w:val="false"/>
                <w:bCs w:val="false"/>
                <w:sz w:val="18"/>
                <w:szCs w:val="18"/>
              </w:rPr>
              <w:t xml:space="preserve">Velocity divergence</w:t>
            </w:r>
          </w:p>
        </w:tc>
        <w:tc>
          <w:tcPr>
            <w:tcW w:type="dxa" w:w="2280"/>
            <w:tcMar>
              <w:top w:type="dxa" w:w="60"/>
              <w:left w:type="dxa" w:w="100"/>
              <w:bottom w:type="dxa" w:w="60"/>
              <w:right w:type="dxa" w:w="100"/>
            </w:tcMar>
          </w:tcPr>
          <w:p>
            <w:pPr>
              <w:spacing w:after="0" w:line="240"/>
            </w:pPr>
            <w:r>
              <w:rPr>
                <w:b w:val="false"/>
                <w:bCs w:val="false"/>
                <w:sz w:val="18"/>
                <w:szCs w:val="18"/>
              </w:rPr>
              <w:t xml:space="preserve">s⁻¹</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b̂b̂:∇U</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Field-aligned strain</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s⁻¹</w:t>
            </w:r>
          </w:p>
        </w:tc>
      </w:tr>
      <w:tr>
        <w:tc>
          <w:tcPr>
            <w:tcW w:type="dxa" w:w="2400"/>
            <w:tcMar>
              <w:top w:type="dxa" w:w="60"/>
              <w:left w:type="dxa" w:w="100"/>
              <w:bottom w:type="dxa" w:w="60"/>
              <w:right w:type="dxa" w:w="100"/>
            </w:tcMar>
          </w:tcPr>
          <w:p>
            <w:pPr>
              <w:spacing w:after="0" w:line="240"/>
            </w:pPr>
            <w:r>
              <w:rPr>
                <w:b w:val="false"/>
                <w:bCs w:val="false"/>
                <w:sz w:val="18"/>
                <w:szCs w:val="18"/>
              </w:rPr>
              <w:t xml:space="preserve">Ω</w:t>
            </w:r>
          </w:p>
        </w:tc>
        <w:tc>
          <w:tcPr>
            <w:tcW w:type="dxa" w:w="5400"/>
            <w:tcMar>
              <w:top w:type="dxa" w:w="60"/>
              <w:left w:type="dxa" w:w="100"/>
              <w:bottom w:type="dxa" w:w="60"/>
              <w:right w:type="dxa" w:w="100"/>
            </w:tcMar>
          </w:tcPr>
          <w:p>
            <w:pPr>
              <w:spacing w:after="0" w:line="240"/>
            </w:pPr>
            <w:r>
              <w:rPr>
                <w:b w:val="false"/>
                <w:bCs w:val="false"/>
                <w:sz w:val="18"/>
                <w:szCs w:val="18"/>
              </w:rPr>
              <w:t xml:space="preserve">Solar rotation rate</w:t>
            </w:r>
          </w:p>
        </w:tc>
        <w:tc>
          <w:tcPr>
            <w:tcW w:type="dxa" w:w="2280"/>
            <w:tcMar>
              <w:top w:type="dxa" w:w="60"/>
              <w:left w:type="dxa" w:w="100"/>
              <w:bottom w:type="dxa" w:w="60"/>
              <w:right w:type="dxa" w:w="100"/>
            </w:tcMar>
          </w:tcPr>
          <w:p>
            <w:pPr>
              <w:spacing w:after="0" w:line="240"/>
            </w:pPr>
            <w:r>
              <w:rPr>
                <w:b w:val="false"/>
                <w:bCs w:val="false"/>
                <w:sz w:val="18"/>
                <w:szCs w:val="18"/>
              </w:rPr>
              <w:t xml:space="preserve">rad s⁻¹</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r_b</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Parker source / corotation radius</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Δ_bg, Δ₀, Δ_sun, Δ_tube</w:t>
            </w:r>
          </w:p>
        </w:tc>
        <w:tc>
          <w:tcPr>
            <w:tcW w:type="dxa" w:w="5400"/>
            <w:tcMar>
              <w:top w:type="dxa" w:w="60"/>
              <w:left w:type="dxa" w:w="100"/>
              <w:bottom w:type="dxa" w:w="60"/>
              <w:right w:type="dxa" w:w="100"/>
            </w:tcMar>
          </w:tcPr>
          <w:p>
            <w:pPr>
              <w:spacing w:after="0" w:line="240"/>
            </w:pPr>
            <w:r>
              <w:rPr>
                <w:b w:val="false"/>
                <w:bCs w:val="false"/>
                <w:sz w:val="18"/>
                <w:szCs w:val="18"/>
              </w:rPr>
              <w:t xml:space="preserve">Background, solar-surface, radial-law, and tube resolutions</w:t>
            </w:r>
          </w:p>
        </w:tc>
        <w:tc>
          <w:tcPr>
            <w:tcW w:type="dxa" w:w="2280"/>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α</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Radial resolution exponent</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r_t</w:t>
            </w:r>
          </w:p>
        </w:tc>
        <w:tc>
          <w:tcPr>
            <w:tcW w:type="dxa" w:w="5400"/>
            <w:tcMar>
              <w:top w:type="dxa" w:w="60"/>
              <w:left w:type="dxa" w:w="100"/>
              <w:bottom w:type="dxa" w:w="60"/>
              <w:right w:type="dxa" w:w="100"/>
            </w:tcMar>
          </w:tcPr>
          <w:p>
            <w:pPr>
              <w:spacing w:after="0" w:line="240"/>
            </w:pPr>
            <w:r>
              <w:rPr>
                <w:b w:val="false"/>
                <w:bCs w:val="false"/>
                <w:sz w:val="18"/>
                <w:szCs w:val="18"/>
              </w:rPr>
              <w:t xml:space="preserve">Radius where Δ_sun = Δ_bg</w:t>
            </w:r>
          </w:p>
        </w:tc>
        <w:tc>
          <w:tcPr>
            <w:tcW w:type="dxa" w:w="2280"/>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ψ, w(r)</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Tube angular half-width; tube half-width</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rad, 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Λ = ΔL_tube</w:t>
            </w:r>
          </w:p>
        </w:tc>
        <w:tc>
          <w:tcPr>
            <w:tcW w:type="dxa" w:w="5400"/>
            <w:tcMar>
              <w:top w:type="dxa" w:w="60"/>
              <w:left w:type="dxa" w:w="100"/>
              <w:bottom w:type="dxa" w:w="60"/>
              <w:right w:type="dxa" w:w="100"/>
            </w:tcMar>
          </w:tcPr>
          <w:p>
            <w:pPr>
              <w:spacing w:after="0" w:line="240"/>
            </w:pPr>
            <w:r>
              <w:rPr>
                <w:b w:val="false"/>
                <w:bCs w:val="false"/>
                <w:sz w:val="18"/>
                <w:szCs w:val="18"/>
              </w:rPr>
              <w:t xml:space="preserve">Extra refinement levels inside the tube</w:t>
            </w:r>
          </w:p>
        </w:tc>
        <w:tc>
          <w:tcPr>
            <w:tcW w:type="dxa" w:w="2280"/>
            <w:tcMar>
              <w:top w:type="dxa" w:w="60"/>
              <w:left w:type="dxa" w:w="100"/>
              <w:bottom w:type="dxa" w:w="60"/>
              <w:right w:type="dxa" w:w="100"/>
            </w:tcMar>
          </w:tcPr>
          <w:p>
            <w:pPr>
              <w:spacing w:after="0" w:line="240"/>
            </w:pPr>
            <w:r>
              <w:rPr>
                <w:b w:val="false"/>
                <w:bCs w:val="false"/>
                <w:sz w:val="18"/>
                <w:szCs w:val="18"/>
              </w:rPr>
              <w:t xml:space="preserve">—</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d(x)</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Transverse offset from the tube centreline</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m</w:t>
            </w:r>
          </w:p>
        </w:tc>
      </w:tr>
      <w:tr>
        <w:tc>
          <w:tcPr>
            <w:tcW w:type="dxa" w:w="2400"/>
            <w:tcMar>
              <w:top w:type="dxa" w:w="60"/>
              <w:left w:type="dxa" w:w="100"/>
              <w:bottom w:type="dxa" w:w="60"/>
              <w:right w:type="dxa" w:w="100"/>
            </w:tcMar>
          </w:tcPr>
          <w:p>
            <w:pPr>
              <w:spacing w:after="0" w:line="240"/>
            </w:pPr>
            <w:r>
              <w:rPr>
                <w:b w:val="false"/>
                <w:bCs w:val="false"/>
                <w:sz w:val="18"/>
                <w:szCs w:val="18"/>
              </w:rPr>
              <w:t xml:space="preserve">h(r), σ</w:t>
            </w:r>
          </w:p>
        </w:tc>
        <w:tc>
          <w:tcPr>
            <w:tcW w:type="dxa" w:w="5400"/>
            <w:tcMar>
              <w:top w:type="dxa" w:w="60"/>
              <w:left w:type="dxa" w:w="100"/>
              <w:bottom w:type="dxa" w:w="60"/>
              <w:right w:type="dxa" w:w="100"/>
            </w:tcMar>
          </w:tcPr>
          <w:p>
            <w:pPr>
              <w:spacing w:after="0" w:line="240"/>
            </w:pPr>
            <w:r>
              <w:rPr>
                <w:b w:val="false"/>
                <w:bCs w:val="false"/>
                <w:sz w:val="18"/>
                <w:szCs w:val="18"/>
              </w:rPr>
              <w:t xml:space="preserve">Shoulder scale; shoulder ratio h/w</w:t>
            </w:r>
          </w:p>
        </w:tc>
        <w:tc>
          <w:tcPr>
            <w:tcW w:type="dxa" w:w="2280"/>
            <w:tcMar>
              <w:top w:type="dxa" w:w="60"/>
              <w:left w:type="dxa" w:w="100"/>
              <w:bottom w:type="dxa" w:w="60"/>
              <w:right w:type="dxa" w:w="100"/>
            </w:tcMar>
          </w:tcPr>
          <w:p>
            <w:pPr>
              <w:spacing w:after="0" w:line="240"/>
            </w:pPr>
            <w:r>
              <w:rPr>
                <w:b w:val="false"/>
                <w:bCs w:val="false"/>
                <w:sz w:val="18"/>
                <w:szCs w:val="18"/>
              </w:rPr>
              <w:t xml:space="preserve">m, —</w:t>
            </w:r>
          </w:p>
        </w:tc>
      </w:tr>
      <w:tr>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N_bc</w:t>
            </w:r>
          </w:p>
        </w:tc>
        <w:tc>
          <w:tcPr>
            <w:tcW w:type="dxa" w:w="5400"/>
            <w:shd w:fill="EEF1F6" w:val="clear"/>
            <w:tcMar>
              <w:top w:type="dxa" w:w="60"/>
              <w:left w:type="dxa" w:w="100"/>
              <w:bottom w:type="dxa" w:w="60"/>
              <w:right w:type="dxa" w:w="100"/>
            </w:tcMar>
          </w:tcPr>
          <w:p>
            <w:pPr>
              <w:spacing w:after="0" w:line="240"/>
            </w:pPr>
            <w:r>
              <w:rPr>
                <w:b w:val="false"/>
                <w:bCs w:val="false"/>
                <w:sz w:val="18"/>
                <w:szCs w:val="18"/>
              </w:rPr>
              <w:t xml:space="preserve">Cells per block per axis (_BLOCK_CELLS_X_)</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w:t>
            </w:r>
          </w:p>
        </w:tc>
      </w:tr>
      <w:tr>
        <w:tc>
          <w:tcPr>
            <w:tcW w:type="dxa" w:w="2400"/>
            <w:tcMar>
              <w:top w:type="dxa" w:w="60"/>
              <w:left w:type="dxa" w:w="100"/>
              <w:bottom w:type="dxa" w:w="60"/>
              <w:right w:type="dxa" w:w="100"/>
            </w:tcMar>
          </w:tcPr>
          <w:p>
            <w:pPr>
              <w:spacing w:after="0" w:line="240"/>
            </w:pPr>
            <w:r>
              <w:rPr>
                <w:b w:val="false"/>
                <w:bCs w:val="false"/>
                <w:sz w:val="18"/>
                <w:szCs w:val="18"/>
              </w:rPr>
              <w:t xml:space="preserve">L, Δ_L</w:t>
            </w:r>
          </w:p>
        </w:tc>
        <w:tc>
          <w:tcPr>
            <w:tcW w:type="dxa" w:w="5400"/>
            <w:tcMar>
              <w:top w:type="dxa" w:w="60"/>
              <w:left w:type="dxa" w:w="100"/>
              <w:bottom w:type="dxa" w:w="60"/>
              <w:right w:type="dxa" w:w="100"/>
            </w:tcMar>
          </w:tcPr>
          <w:p>
            <w:pPr>
              <w:spacing w:after="0" w:line="240"/>
            </w:pPr>
            <w:r>
              <w:rPr>
                <w:b w:val="false"/>
                <w:bCs w:val="false"/>
                <w:sz w:val="18"/>
                <w:szCs w:val="18"/>
              </w:rPr>
              <w:t xml:space="preserve">Refinement level; cell size at that level</w:t>
            </w:r>
          </w:p>
        </w:tc>
        <w:tc>
          <w:tcPr>
            <w:tcW w:type="dxa" w:w="2280"/>
            <w:tcMar>
              <w:top w:type="dxa" w:w="60"/>
              <w:left w:type="dxa" w:w="100"/>
              <w:bottom w:type="dxa" w:w="60"/>
              <w:right w:type="dxa" w:w="100"/>
            </w:tcMar>
          </w:tcPr>
          <w:p>
            <w:pPr>
              <w:spacing w:after="0" w:line="240"/>
            </w:pPr>
            <w:r>
              <w:rPr>
                <w:b w:val="false"/>
                <w:bCs w:val="false"/>
                <w:sz w:val="18"/>
                <w:szCs w:val="18"/>
              </w:rPr>
              <w:t xml:space="preserve">—, m</w:t>
            </w:r>
          </w:p>
        </w:tc>
      </w:tr>
    </w:tbl>
    <w:p>
      <w:pPr>
        <w:spacing w:after="200"/>
      </w:pPr>
    </w:p>
    <w:p>
      <w:pPr>
        <w:pStyle w:val="Heading1"/>
        <w:spacing w:after="160" w:before="360"/>
      </w:pPr>
      <w:r>
        <w:t xml:space="preserve">Appendix B. Default Parameter Set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3400"/>
        <w:gridCol w:w="3200"/>
        <w:gridCol w:w="3480"/>
      </w:tblGrid>
      <w:tr>
        <w:trPr>
          <w:tblHeader/>
        </w:trPr>
        <w:tc>
          <w:tcPr>
            <w:tcW w:type="dxa" w:w="3400"/>
            <w:shd w:fill="1F3864" w:val="clear"/>
            <w:tcMar>
              <w:top w:type="dxa" w:w="60"/>
              <w:left w:type="dxa" w:w="100"/>
              <w:bottom w:type="dxa" w:w="60"/>
              <w:right w:type="dxa" w:w="100"/>
            </w:tcMar>
          </w:tcPr>
          <w:p>
            <w:pPr>
              <w:spacing w:after="0" w:line="240"/>
            </w:pPr>
            <w:r>
              <w:rPr>
                <w:b/>
                <w:bCs/>
                <w:color w:val="FFFFFF"/>
                <w:sz w:val="18"/>
                <w:szCs w:val="18"/>
              </w:rPr>
              <w:t xml:space="preserve">Parameter</w:t>
            </w:r>
          </w:p>
        </w:tc>
        <w:tc>
          <w:tcPr>
            <w:tcW w:type="dxa" w:w="3200"/>
            <w:shd w:fill="1F3864" w:val="clear"/>
            <w:tcMar>
              <w:top w:type="dxa" w:w="60"/>
              <w:left w:type="dxa" w:w="100"/>
              <w:bottom w:type="dxa" w:w="60"/>
              <w:right w:type="dxa" w:w="100"/>
            </w:tcMar>
          </w:tcPr>
          <w:p>
            <w:pPr>
              <w:spacing w:after="0" w:line="240"/>
            </w:pPr>
            <w:r>
              <w:rPr>
                <w:b/>
                <w:bCs/>
                <w:color w:val="FFFFFF"/>
                <w:sz w:val="18"/>
                <w:szCs w:val="18"/>
              </w:rPr>
              <w:t xml:space="preserve">Default</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Rationale</w:t>
            </w:r>
          </w:p>
        </w:tc>
      </w:tr>
      <w:tr>
        <w:tc>
          <w:tcPr>
            <w:tcW w:type="dxa" w:w="3400"/>
            <w:tcMar>
              <w:top w:type="dxa" w:w="60"/>
              <w:left w:type="dxa" w:w="100"/>
              <w:bottom w:type="dxa" w:w="60"/>
              <w:right w:type="dxa" w:w="100"/>
            </w:tcMar>
          </w:tcPr>
          <w:p>
            <w:pPr>
              <w:spacing w:after="0" w:line="240"/>
            </w:pPr>
            <w:r>
              <w:rPr>
                <w:b w:val="false"/>
                <w:bCs w:val="false"/>
                <w:sz w:val="18"/>
                <w:szCs w:val="18"/>
              </w:rPr>
              <w:t xml:space="preserve">--domain</w:t>
            </w:r>
          </w:p>
        </w:tc>
        <w:tc>
          <w:tcPr>
            <w:tcW w:type="dxa" w:w="3200"/>
            <w:tcMar>
              <w:top w:type="dxa" w:w="60"/>
              <w:left w:type="dxa" w:w="100"/>
              <w:bottom w:type="dxa" w:w="60"/>
              <w:right w:type="dxa" w:w="100"/>
            </w:tcMar>
          </w:tcPr>
          <w:p>
            <w:pPr>
              <w:spacing w:after="0" w:line="240"/>
            </w:pPr>
            <w:r>
              <w:rPr>
                <w:b w:val="false"/>
                <w:bCs w:val="false"/>
                <w:sz w:val="18"/>
                <w:szCs w:val="18"/>
              </w:rPr>
              <w:t xml:space="preserve">earth (half-width 1.10 AU)</w:t>
            </w:r>
          </w:p>
        </w:tc>
        <w:tc>
          <w:tcPr>
            <w:tcW w:type="dxa" w:w="3480"/>
            <w:tcMar>
              <w:top w:type="dxa" w:w="60"/>
              <w:left w:type="dxa" w:w="100"/>
              <w:bottom w:type="dxa" w:w="60"/>
              <w:right w:type="dxa" w:w="100"/>
            </w:tcMar>
          </w:tcPr>
          <w:p>
            <w:pPr>
              <w:spacing w:after="0" w:line="240"/>
            </w:pPr>
            <w:r>
              <w:rPr>
                <w:b w:val="false"/>
                <w:bCs w:val="false"/>
                <w:sz w:val="18"/>
                <w:szCs w:val="18"/>
              </w:rPr>
              <w:t xml:space="preserve">Encloses Earth with margin for the spiral</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--inner-boundary-radius-rs</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1.05</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Matches SWCME’s analytical domain floor</w:t>
            </w:r>
          </w:p>
        </w:tc>
      </w:tr>
      <w:tr>
        <w:tc>
          <w:tcPr>
            <w:tcW w:type="dxa" w:w="3400"/>
            <w:tcMar>
              <w:top w:type="dxa" w:w="60"/>
              <w:left w:type="dxa" w:w="100"/>
              <w:bottom w:type="dxa" w:w="60"/>
              <w:right w:type="dxa" w:w="100"/>
            </w:tcMar>
          </w:tcPr>
          <w:p>
            <w:pPr>
              <w:spacing w:after="0" w:line="240"/>
            </w:pPr>
            <w:r>
              <w:rPr>
                <w:b w:val="false"/>
                <w:bCs w:val="false"/>
                <w:sz w:val="18"/>
                <w:szCs w:val="18"/>
              </w:rPr>
              <w:t xml:space="preserve">--outer-boundary</w:t>
            </w:r>
          </w:p>
        </w:tc>
        <w:tc>
          <w:tcPr>
            <w:tcW w:type="dxa" w:w="3200"/>
            <w:tcMar>
              <w:top w:type="dxa" w:w="60"/>
              <w:left w:type="dxa" w:w="100"/>
              <w:bottom w:type="dxa" w:w="60"/>
              <w:right w:type="dxa" w:w="100"/>
            </w:tcMar>
          </w:tcPr>
          <w:p>
            <w:pPr>
              <w:spacing w:after="0" w:line="240"/>
            </w:pPr>
            <w:r>
              <w:rPr>
                <w:b w:val="false"/>
                <w:bCs w:val="false"/>
                <w:sz w:val="18"/>
                <w:szCs w:val="18"/>
              </w:rPr>
              <w:t xml:space="preserve">cube</w:t>
            </w:r>
          </w:p>
        </w:tc>
        <w:tc>
          <w:tcPr>
            <w:tcW w:type="dxa" w:w="3480"/>
            <w:tcMar>
              <w:top w:type="dxa" w:w="60"/>
              <w:left w:type="dxa" w:w="100"/>
              <w:bottom w:type="dxa" w:w="60"/>
              <w:right w:type="dxa" w:w="100"/>
            </w:tcMar>
          </w:tcPr>
          <w:p>
            <w:pPr>
              <w:spacing w:after="0" w:line="240"/>
            </w:pPr>
            <w:r>
              <w:rPr>
                <w:b w:val="false"/>
                <w:bCs w:val="false"/>
                <w:sz w:val="18"/>
                <w:szCs w:val="18"/>
              </w:rPr>
              <w:t xml:space="preserve">Simplest to reason about; switch to spherical for production</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--mesh-background-resolution</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2.57×10⁹ m (level 5, 0.0172 AU)</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2.1×10⁶ background cells, ~0.6 GB</w:t>
            </w:r>
          </w:p>
        </w:tc>
      </w:tr>
      <w:tr>
        <w:tc>
          <w:tcPr>
            <w:tcW w:type="dxa" w:w="3400"/>
            <w:tcMar>
              <w:top w:type="dxa" w:w="60"/>
              <w:left w:type="dxa" w:w="100"/>
              <w:bottom w:type="dxa" w:w="60"/>
              <w:right w:type="dxa" w:w="100"/>
            </w:tcMar>
          </w:tcPr>
          <w:p>
            <w:pPr>
              <w:spacing w:after="0" w:line="240"/>
            </w:pPr>
            <w:r>
              <w:rPr>
                <w:b w:val="false"/>
                <w:bCs w:val="false"/>
                <w:sz w:val="18"/>
                <w:szCs w:val="18"/>
              </w:rPr>
              <w:t xml:space="preserve">--mesh-radial-law / --mesh-radial-exponent</w:t>
            </w:r>
          </w:p>
        </w:tc>
        <w:tc>
          <w:tcPr>
            <w:tcW w:type="dxa" w:w="3200"/>
            <w:tcMar>
              <w:top w:type="dxa" w:w="60"/>
              <w:left w:type="dxa" w:w="100"/>
              <w:bottom w:type="dxa" w:w="60"/>
              <w:right w:type="dxa" w:w="100"/>
            </w:tcMar>
          </w:tcPr>
          <w:p>
            <w:pPr>
              <w:spacing w:after="0" w:line="240"/>
            </w:pPr>
            <w:r>
              <w:rPr>
                <w:b w:val="false"/>
                <w:bCs w:val="false"/>
                <w:sz w:val="18"/>
                <w:szCs w:val="18"/>
              </w:rPr>
              <w:t xml:space="preserve">power-law / 1.0</w:t>
            </w:r>
          </w:p>
        </w:tc>
        <w:tc>
          <w:tcPr>
            <w:tcW w:type="dxa" w:w="3480"/>
            <w:tcMar>
              <w:top w:type="dxa" w:w="60"/>
              <w:left w:type="dxa" w:w="100"/>
              <w:bottom w:type="dxa" w:w="60"/>
              <w:right w:type="dxa" w:w="100"/>
            </w:tcMar>
          </w:tcPr>
          <w:p>
            <w:pPr>
              <w:spacing w:after="0" w:line="240"/>
            </w:pPr>
            <w:r>
              <w:rPr>
                <w:b w:val="false"/>
                <w:bCs w:val="false"/>
                <w:sz w:val="18"/>
                <w:szCs w:val="18"/>
              </w:rPr>
              <w:t xml:space="preserve">Scale-free; one level per radial octave; ε_B-consistent</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--mesh-solar-surface-resolution</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0.10 R☉ = 6.96×10⁷ m</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4.5×10⁴ cells from R☉ to r_t = 0.172 AU</w:t>
            </w:r>
          </w:p>
        </w:tc>
      </w:tr>
      <w:tr>
        <w:tc>
          <w:tcPr>
            <w:tcW w:type="dxa" w:w="3400"/>
            <w:tcMar>
              <w:top w:type="dxa" w:w="60"/>
              <w:left w:type="dxa" w:w="100"/>
              <w:bottom w:type="dxa" w:w="60"/>
              <w:right w:type="dxa" w:w="100"/>
            </w:tcMar>
          </w:tcPr>
          <w:p>
            <w:pPr>
              <w:spacing w:after="0" w:line="240"/>
            </w:pPr>
            <w:r>
              <w:rPr>
                <w:b w:val="false"/>
                <w:bCs w:val="false"/>
                <w:sz w:val="18"/>
                <w:szCs w:val="18"/>
              </w:rPr>
              <w:t xml:space="preserve">--mesh-max-level</w:t>
            </w:r>
          </w:p>
        </w:tc>
        <w:tc>
          <w:tcPr>
            <w:tcW w:type="dxa" w:w="3200"/>
            <w:tcMar>
              <w:top w:type="dxa" w:w="60"/>
              <w:left w:type="dxa" w:w="100"/>
              <w:bottom w:type="dxa" w:w="60"/>
              <w:right w:type="dxa" w:w="100"/>
            </w:tcMar>
          </w:tcPr>
          <w:p>
            <w:pPr>
              <w:spacing w:after="0" w:line="240"/>
            </w:pPr>
            <w:r>
              <w:rPr>
                <w:b w:val="false"/>
                <w:bCs w:val="false"/>
                <w:sz w:val="18"/>
                <w:szCs w:val="18"/>
              </w:rPr>
              <w:t xml:space="preserve">14</w:t>
            </w:r>
          </w:p>
        </w:tc>
        <w:tc>
          <w:tcPr>
            <w:tcW w:type="dxa" w:w="3480"/>
            <w:tcMar>
              <w:top w:type="dxa" w:w="60"/>
              <w:left w:type="dxa" w:w="100"/>
              <w:bottom w:type="dxa" w:w="60"/>
              <w:right w:type="dxa" w:w="100"/>
            </w:tcMar>
          </w:tcPr>
          <w:p>
            <w:pPr>
              <w:spacing w:after="0" w:line="240"/>
            </w:pPr>
            <w:r>
              <w:rPr>
                <w:b w:val="false"/>
                <w:bCs w:val="false"/>
                <w:sz w:val="18"/>
                <w:szCs w:val="18"/>
              </w:rPr>
              <w:t xml:space="preserve">Two levels of headroom above the default surface level of 11</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--flux-tube-angular-half-width-deg</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3.0</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w(1 AU) = 0.052 AU; 49 cells across at Λ = 3</w:t>
            </w:r>
          </w:p>
        </w:tc>
      </w:tr>
      <w:tr>
        <w:tc>
          <w:tcPr>
            <w:tcW w:type="dxa" w:w="3400"/>
            <w:tcMar>
              <w:top w:type="dxa" w:w="60"/>
              <w:left w:type="dxa" w:w="100"/>
              <w:bottom w:type="dxa" w:w="60"/>
              <w:right w:type="dxa" w:w="100"/>
            </w:tcMar>
          </w:tcPr>
          <w:p>
            <w:pPr>
              <w:spacing w:after="0" w:line="240"/>
            </w:pPr>
            <w:r>
              <w:rPr>
                <w:b w:val="false"/>
                <w:bCs w:val="false"/>
                <w:sz w:val="18"/>
                <w:szCs w:val="18"/>
              </w:rPr>
              <w:t xml:space="preserve">--flux-tube-levels</w:t>
            </w:r>
          </w:p>
        </w:tc>
        <w:tc>
          <w:tcPr>
            <w:tcW w:type="dxa" w:w="3200"/>
            <w:tcMar>
              <w:top w:type="dxa" w:w="60"/>
              <w:left w:type="dxa" w:w="100"/>
              <w:bottom w:type="dxa" w:w="60"/>
              <w:right w:type="dxa" w:w="100"/>
            </w:tcMar>
          </w:tcPr>
          <w:p>
            <w:pPr>
              <w:spacing w:after="0" w:line="240"/>
            </w:pPr>
            <w:r>
              <w:rPr>
                <w:b w:val="false"/>
                <w:bCs w:val="false"/>
                <w:sz w:val="18"/>
                <w:szCs w:val="18"/>
              </w:rPr>
              <w:t xml:space="preserve">3</w:t>
            </w:r>
          </w:p>
        </w:tc>
        <w:tc>
          <w:tcPr>
            <w:tcW w:type="dxa" w:w="3480"/>
            <w:tcMar>
              <w:top w:type="dxa" w:w="60"/>
              <w:left w:type="dxa" w:w="100"/>
              <w:bottom w:type="dxa" w:w="60"/>
              <w:right w:type="dxa" w:w="100"/>
            </w:tcMar>
          </w:tcPr>
          <w:p>
            <w:pPr>
              <w:spacing w:after="0" w:line="240"/>
            </w:pPr>
            <w:r>
              <w:rPr>
                <w:b w:val="false"/>
                <w:bCs w:val="false"/>
                <w:sz w:val="18"/>
                <w:szCs w:val="18"/>
              </w:rPr>
              <w:t xml:space="preserve">Δ = 3.2×10⁸ m in the background region; ~730 cells along the tube</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--flux-tube-shoulder</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0.25</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Full resolution to 0.80 w, ambient beyond 1.20 w, subject to the balance floor</w:t>
            </w:r>
          </w:p>
        </w:tc>
      </w:tr>
      <w:tr>
        <w:tc>
          <w:tcPr>
            <w:tcW w:type="dxa" w:w="3400"/>
            <w:tcMar>
              <w:top w:type="dxa" w:w="60"/>
              <w:left w:type="dxa" w:w="100"/>
              <w:bottom w:type="dxa" w:w="60"/>
              <w:right w:type="dxa" w:w="100"/>
            </w:tcMar>
          </w:tcPr>
          <w:p>
            <w:pPr>
              <w:spacing w:after="0" w:line="240"/>
            </w:pPr>
            <w:r>
              <w:rPr>
                <w:b w:val="false"/>
                <w:bCs w:val="false"/>
                <w:sz w:val="18"/>
                <w:szCs w:val="18"/>
              </w:rPr>
              <w:t xml:space="preserve">--background-field</w:t>
            </w:r>
          </w:p>
        </w:tc>
        <w:tc>
          <w:tcPr>
            <w:tcW w:type="dxa" w:w="3200"/>
            <w:tcMar>
              <w:top w:type="dxa" w:w="60"/>
              <w:left w:type="dxa" w:w="100"/>
              <w:bottom w:type="dxa" w:w="60"/>
              <w:right w:type="dxa" w:w="100"/>
            </w:tcMar>
          </w:tcPr>
          <w:p>
            <w:pPr>
              <w:spacing w:after="0" w:line="240"/>
            </w:pPr>
            <w:r>
              <w:rPr>
                <w:b w:val="false"/>
                <w:bCs w:val="false"/>
                <w:sz w:val="18"/>
                <w:szCs w:val="18"/>
              </w:rPr>
              <w:t xml:space="preserve">parker</w:t>
            </w:r>
          </w:p>
        </w:tc>
        <w:tc>
          <w:tcPr>
            <w:tcW w:type="dxa" w:w="3480"/>
            <w:tcMar>
              <w:top w:type="dxa" w:w="60"/>
              <w:left w:type="dxa" w:w="100"/>
              <w:bottom w:type="dxa" w:w="60"/>
              <w:right w:type="dxa" w:w="100"/>
            </w:tcMar>
          </w:tcPr>
          <w:p>
            <w:pPr>
              <w:spacing w:after="0" w:line="240"/>
            </w:pPr>
            <w:r>
              <w:rPr>
                <w:b w:val="false"/>
                <w:bCs w:val="false"/>
                <w:sz w:val="18"/>
                <w:szCs w:val="18"/>
              </w:rPr>
              <w:t xml:space="preserve">Analytic, exact, and the reference for everything else</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--particle-mover</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parker3d</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Cheapest; fte3d is the physics default once validated</w:t>
            </w:r>
          </w:p>
        </w:tc>
      </w:tr>
      <w:tr>
        <w:tc>
          <w:tcPr>
            <w:tcW w:type="dxa" w:w="3400"/>
            <w:tcMar>
              <w:top w:type="dxa" w:w="60"/>
              <w:left w:type="dxa" w:w="100"/>
              <w:bottom w:type="dxa" w:w="60"/>
              <w:right w:type="dxa" w:w="100"/>
            </w:tcMar>
          </w:tcPr>
          <w:p>
            <w:pPr>
              <w:spacing w:after="0" w:line="240"/>
            </w:pPr>
            <w:r>
              <w:rPr>
                <w:b w:val="false"/>
                <w:bCs w:val="false"/>
                <w:sz w:val="18"/>
                <w:szCs w:val="18"/>
              </w:rPr>
              <w:t xml:space="preserve">--focused-equation-mode</w:t>
            </w:r>
          </w:p>
        </w:tc>
        <w:tc>
          <w:tcPr>
            <w:tcW w:type="dxa" w:w="3200"/>
            <w:tcMar>
              <w:top w:type="dxa" w:w="60"/>
              <w:left w:type="dxa" w:w="100"/>
              <w:bottom w:type="dxa" w:w="60"/>
              <w:right w:type="dxa" w:w="100"/>
            </w:tcMar>
          </w:tcPr>
          <w:p>
            <w:pPr>
              <w:spacing w:after="0" w:line="240"/>
            </w:pPr>
            <w:r>
              <w:rPr>
                <w:b w:val="false"/>
                <w:bCs w:val="false"/>
                <w:sz w:val="18"/>
                <w:szCs w:val="18"/>
              </w:rPr>
              <w:t xml:space="preserve">full</w:t>
            </w:r>
          </w:p>
        </w:tc>
        <w:tc>
          <w:tcPr>
            <w:tcW w:type="dxa" w:w="3480"/>
            <w:tcMar>
              <w:top w:type="dxa" w:w="60"/>
              <w:left w:type="dxa" w:w="100"/>
              <w:bottom w:type="dxa" w:w="60"/>
              <w:right w:type="dxa" w:w="100"/>
            </w:tcMar>
          </w:tcPr>
          <w:p>
            <w:pPr>
              <w:spacing w:after="0" w:line="240"/>
            </w:pPr>
            <w:r>
              <w:rPr>
                <w:b w:val="false"/>
                <w:bCs w:val="false"/>
                <w:sz w:val="18"/>
                <w:szCs w:val="18"/>
              </w:rPr>
              <w:t xml:space="preserve">Reduced is wrong for expanding flow and requires an explicit flag</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--parallel-diffusion-provider</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from-dmumu</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Matches srcSEP’s default</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--pitch-angle-diffusion-provider</w:t>
            </w:r>
          </w:p>
        </w:tc>
        <w:tc>
          <w:tcPr>
            <w:tcW w:type="dxa" w:w="3200"/>
            <w:tcMar>
              <w:top w:type="dxa" w:w="60"/>
              <w:left w:type="dxa" w:w="100"/>
              <w:bottom w:type="dxa" w:w="60"/>
              <w:right w:type="dxa" w:w="100"/>
            </w:tcMar>
          </w:tcPr>
          <w:p>
            <w:pPr>
              <w:spacing w:after="0" w:line="240"/>
            </w:pPr>
            <w:r>
              <w:rPr>
                <w:b w:val="false"/>
                <w:bCs w:val="false"/>
                <w:sz w:val="18"/>
                <w:szCs w:val="18"/>
              </w:rPr>
              <w:t xml:space="preserve">constant</w:t>
            </w:r>
          </w:p>
        </w:tc>
        <w:tc>
          <w:tcPr>
            <w:tcW w:type="dxa" w:w="3480"/>
            <w:tcMar>
              <w:top w:type="dxa" w:w="60"/>
              <w:left w:type="dxa" w:w="100"/>
              <w:bottom w:type="dxa" w:w="60"/>
              <w:right w:type="dxa" w:w="100"/>
            </w:tcMar>
          </w:tcPr>
          <w:p>
            <w:pPr>
              <w:spacing w:after="0" w:line="240"/>
            </w:pPr>
            <w:r>
              <w:rPr>
                <w:b w:val="false"/>
                <w:bCs w:val="false"/>
                <w:sz w:val="18"/>
                <w:szCs w:val="18"/>
              </w:rPr>
              <w:t xml:space="preserve">Matches srcSEP’s default</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--mean-free-path-provider</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tenishev-2005</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Matches srcSEP’s default</w:t>
            </w:r>
          </w:p>
        </w:tc>
      </w:tr>
      <w:tr>
        <w:tc>
          <w:tcPr>
            <w:tcW w:type="dxa" w:w="3400"/>
            <w:tcMar>
              <w:top w:type="dxa" w:w="60"/>
              <w:left w:type="dxa" w:w="100"/>
              <w:bottom w:type="dxa" w:w="60"/>
              <w:right w:type="dxa" w:w="100"/>
            </w:tcMar>
          </w:tcPr>
          <w:p>
            <w:pPr>
              <w:spacing w:after="0" w:line="240"/>
            </w:pPr>
            <w:r>
              <w:rPr>
                <w:b w:val="false"/>
                <w:bCs w:val="false"/>
                <w:sz w:val="18"/>
                <w:szCs w:val="18"/>
              </w:rPr>
              <w:t xml:space="preserve">--perpendicular-diffusion-provider</w:t>
            </w:r>
          </w:p>
        </w:tc>
        <w:tc>
          <w:tcPr>
            <w:tcW w:type="dxa" w:w="3200"/>
            <w:tcMar>
              <w:top w:type="dxa" w:w="60"/>
              <w:left w:type="dxa" w:w="100"/>
              <w:bottom w:type="dxa" w:w="60"/>
              <w:right w:type="dxa" w:w="100"/>
            </w:tcMar>
          </w:tcPr>
          <w:p>
            <w:pPr>
              <w:spacing w:after="0" w:line="240"/>
            </w:pPr>
            <w:r>
              <w:rPr>
                <w:b w:val="false"/>
                <w:bCs w:val="false"/>
                <w:sz w:val="18"/>
                <w:szCs w:val="18"/>
              </w:rPr>
              <w:t xml:space="preserve">none</w:t>
            </w:r>
          </w:p>
        </w:tc>
        <w:tc>
          <w:tcPr>
            <w:tcW w:type="dxa" w:w="3480"/>
            <w:tcMar>
              <w:top w:type="dxa" w:w="60"/>
              <w:left w:type="dxa" w:w="100"/>
              <w:bottom w:type="dxa" w:w="60"/>
              <w:right w:type="dxa" w:w="100"/>
            </w:tcMar>
          </w:tcPr>
          <w:p>
            <w:pPr>
              <w:spacing w:after="0" w:line="240"/>
            </w:pPr>
            <w:r>
              <w:rPr>
                <w:b w:val="false"/>
                <w:bCs w:val="false"/>
                <w:sz w:val="18"/>
                <w:szCs w:val="18"/>
              </w:rPr>
              <w:t xml:space="preserve">Reserved</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--invalid-coefficient-policy</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fail</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Matches srcSEP; ballistic must be chosen deliberately</w:t>
            </w:r>
          </w:p>
        </w:tc>
      </w:tr>
      <w:tr>
        <w:tc>
          <w:tcPr>
            <w:tcW w:type="dxa" w:w="3400"/>
            <w:tcMar>
              <w:top w:type="dxa" w:w="60"/>
              <w:left w:type="dxa" w:w="100"/>
              <w:bottom w:type="dxa" w:w="60"/>
              <w:right w:type="dxa" w:w="100"/>
            </w:tcMar>
          </w:tcPr>
          <w:p>
            <w:pPr>
              <w:spacing w:after="0" w:line="240"/>
            </w:pPr>
            <w:r>
              <w:rPr>
                <w:b w:val="false"/>
                <w:bCs w:val="false"/>
                <w:sz w:val="18"/>
                <w:szCs w:val="18"/>
              </w:rPr>
              <w:t xml:space="preserve">--kappa-gradient-mode</w:t>
            </w:r>
          </w:p>
        </w:tc>
        <w:tc>
          <w:tcPr>
            <w:tcW w:type="dxa" w:w="3200"/>
            <w:tcMar>
              <w:top w:type="dxa" w:w="60"/>
              <w:left w:type="dxa" w:w="100"/>
              <w:bottom w:type="dxa" w:w="60"/>
              <w:right w:type="dxa" w:w="100"/>
            </w:tcMar>
          </w:tcPr>
          <w:p>
            <w:pPr>
              <w:spacing w:after="0" w:line="240"/>
            </w:pPr>
            <w:r>
              <w:rPr>
                <w:b w:val="false"/>
                <w:bCs w:val="false"/>
                <w:sz w:val="18"/>
                <w:szCs w:val="18"/>
              </w:rPr>
              <w:t xml:space="preserve">numerical</w:t>
            </w:r>
          </w:p>
        </w:tc>
        <w:tc>
          <w:tcPr>
            <w:tcW w:type="dxa" w:w="3480"/>
            <w:tcMar>
              <w:top w:type="dxa" w:w="60"/>
              <w:left w:type="dxa" w:w="100"/>
              <w:bottom w:type="dxa" w:w="60"/>
              <w:right w:type="dxa" w:w="100"/>
            </w:tcMar>
          </w:tcPr>
          <w:p>
            <w:pPr>
              <w:spacing w:after="0" w:line="240"/>
            </w:pPr>
            <w:r>
              <w:rPr>
                <w:b w:val="false"/>
                <w:bCs w:val="false"/>
                <w:sz w:val="18"/>
                <w:szCs w:val="18"/>
              </w:rPr>
              <w:t xml:space="preserve">Robust; analytic used when the provider advertises it</w:t>
            </w:r>
          </w:p>
        </w:tc>
      </w:tr>
      <w:tr>
        <w:tc>
          <w:tcPr>
            <w:tcW w:type="dxa" w:w="3400"/>
            <w:shd w:fill="EEF1F6" w:val="clear"/>
            <w:tcMar>
              <w:top w:type="dxa" w:w="60"/>
              <w:left w:type="dxa" w:w="100"/>
              <w:bottom w:type="dxa" w:w="60"/>
              <w:right w:type="dxa" w:w="100"/>
            </w:tcMar>
          </w:tcPr>
          <w:p>
            <w:pPr>
              <w:spacing w:after="0" w:line="240"/>
            </w:pPr>
            <w:r>
              <w:rPr>
                <w:b w:val="false"/>
                <w:bCs w:val="false"/>
                <w:sz w:val="18"/>
                <w:szCs w:val="18"/>
              </w:rPr>
              <w:t xml:space="preserve">Timestep budget</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ε_cell 0.3, ε_diff 0.25, ε_p 0.05, ε_μ 0.1, ε_μrms 0.2, ε_B 0.2</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Conservative starting values; each is a named, reported limit</w:t>
            </w:r>
          </w:p>
        </w:tc>
      </w:tr>
    </w:tbl>
    <w:p>
      <w:pPr>
        <w:spacing w:after="200"/>
      </w:pPr>
    </w:p>
    <w:p>
      <w:pPr>
        <w:pStyle w:val="Heading1"/>
        <w:spacing w:after="160" w:before="360"/>
      </w:pPr>
      <w:r>
        <w:t xml:space="preserve">Appendix C. Asset Mapping</w:t>
      </w:r>
    </w:p>
    <w:p>
      <w:pPr>
        <w:spacing w:after="120" w:line="264"/>
        <w:jc w:val="left"/>
      </w:pPr>
      <w:r>
        <w:t xml:space="preserve">Where each piece of srcSEP3D comes from. "New" means genuinely new code; everything else is reuse or a thin generalisation, which is the main reason the effort estimate in Section 11 is as small as it is.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3000"/>
        <w:gridCol w:w="3600"/>
        <w:gridCol w:w="3480"/>
      </w:tblGrid>
      <w:tr>
        <w:trPr>
          <w:tblHeader/>
        </w:trPr>
        <w:tc>
          <w:tcPr>
            <w:tcW w:type="dxa" w:w="3000"/>
            <w:shd w:fill="1F3864" w:val="clear"/>
            <w:tcMar>
              <w:top w:type="dxa" w:w="60"/>
              <w:left w:type="dxa" w:w="100"/>
              <w:bottom w:type="dxa" w:w="60"/>
              <w:right w:type="dxa" w:w="100"/>
            </w:tcMar>
          </w:tcPr>
          <w:p>
            <w:pPr>
              <w:spacing w:after="0" w:line="240"/>
            </w:pPr>
            <w:r>
              <w:rPr>
                <w:b/>
                <w:bCs/>
                <w:color w:val="FFFFFF"/>
                <w:sz w:val="18"/>
                <w:szCs w:val="18"/>
              </w:rPr>
              <w:t xml:space="preserve">srcSEP3D component</w:t>
            </w:r>
          </w:p>
        </w:tc>
        <w:tc>
          <w:tcPr>
            <w:tcW w:type="dxa" w:w="3600"/>
            <w:shd w:fill="1F3864" w:val="clear"/>
            <w:tcMar>
              <w:top w:type="dxa" w:w="60"/>
              <w:left w:type="dxa" w:w="100"/>
              <w:bottom w:type="dxa" w:w="60"/>
              <w:right w:type="dxa" w:w="100"/>
            </w:tcMar>
          </w:tcPr>
          <w:p>
            <w:pPr>
              <w:spacing w:after="0" w:line="240"/>
            </w:pPr>
            <w:r>
              <w:rPr>
                <w:b/>
                <w:bCs/>
                <w:color w:val="FFFFFF"/>
                <w:sz w:val="18"/>
                <w:szCs w:val="18"/>
              </w:rPr>
              <w:t xml:space="preserve">Origin</w:t>
            </w:r>
          </w:p>
        </w:tc>
        <w:tc>
          <w:tcPr>
            <w:tcW w:type="dxa" w:w="3480"/>
            <w:shd w:fill="1F3864" w:val="clear"/>
            <w:tcMar>
              <w:top w:type="dxa" w:w="60"/>
              <w:left w:type="dxa" w:w="100"/>
              <w:bottom w:type="dxa" w:w="60"/>
              <w:right w:type="dxa" w:w="100"/>
            </w:tcMar>
          </w:tcPr>
          <w:p>
            <w:pPr>
              <w:spacing w:after="0" w:line="240"/>
            </w:pPr>
            <w:r>
              <w:rPr>
                <w:b/>
                <w:bCs/>
                <w:color w:val="FFFFFF"/>
                <w:sz w:val="18"/>
                <w:szCs w:val="18"/>
              </w:rPr>
              <w:t xml:space="preserve">Nature of the work</w:t>
            </w:r>
          </w:p>
        </w:tc>
      </w:tr>
      <w:tr>
        <w:tc>
          <w:tcPr>
            <w:tcW w:type="dxa" w:w="3000"/>
            <w:tcMar>
              <w:top w:type="dxa" w:w="60"/>
              <w:left w:type="dxa" w:w="100"/>
              <w:bottom w:type="dxa" w:w="60"/>
              <w:right w:type="dxa" w:w="100"/>
            </w:tcMar>
          </w:tcPr>
          <w:p>
            <w:pPr>
              <w:spacing w:after="0" w:line="240"/>
            </w:pPr>
            <w:r>
              <w:rPr>
                <w:b w:val="false"/>
                <w:bCs w:val="false"/>
                <w:sz w:val="18"/>
                <w:szCs w:val="18"/>
              </w:rPr>
              <w:t xml:space="preserve">Status / units / relativistic conversions / substep selection / keyed RNG</w:t>
            </w:r>
          </w:p>
        </w:tc>
        <w:tc>
          <w:tcPr>
            <w:tcW w:type="dxa" w:w="3600"/>
            <w:tcMar>
              <w:top w:type="dxa" w:w="60"/>
              <w:left w:type="dxa" w:w="100"/>
              <w:bottom w:type="dxa" w:w="60"/>
              <w:right w:type="dxa" w:w="100"/>
            </w:tcMar>
          </w:tcPr>
          <w:p>
            <w:pPr>
              <w:spacing w:after="0" w:line="240"/>
            </w:pPr>
            <w:r>
              <w:rPr>
                <w:b w:val="false"/>
                <w:bCs w:val="false"/>
                <w:sz w:val="18"/>
                <w:szCs w:val="18"/>
              </w:rPr>
              <w:t xml:space="preserve">srcSEP/util/sep_transport_common</w:t>
            </w:r>
          </w:p>
        </w:tc>
        <w:tc>
          <w:tcPr>
            <w:tcW w:type="dxa" w:w="3480"/>
            <w:tcMar>
              <w:top w:type="dxa" w:w="60"/>
              <w:left w:type="dxa" w:w="100"/>
              <w:bottom w:type="dxa" w:w="60"/>
              <w:right w:type="dxa" w:w="100"/>
            </w:tcMar>
          </w:tcPr>
          <w:p>
            <w:pPr>
              <w:spacing w:after="0" w:line="240"/>
            </w:pPr>
            <w:r>
              <w:rPr>
                <w:b w:val="false"/>
                <w:bCs w:val="false"/>
                <w:sz w:val="18"/>
                <w:szCs w:val="18"/>
              </w:rPr>
              <w:t xml:space="preserve">Reuse unchanged</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Coefficient kernels (QLT, Florinskiy, MFP, Simpson κ integration)</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srcSEP/util/sep_coefficient_physics</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unchanged</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Coefficient registry and fingerprint</w:t>
            </w:r>
          </w:p>
        </w:tc>
        <w:tc>
          <w:tcPr>
            <w:tcW w:type="dxa" w:w="3600"/>
            <w:tcMar>
              <w:top w:type="dxa" w:w="60"/>
              <w:left w:type="dxa" w:w="100"/>
              <w:bottom w:type="dxa" w:w="60"/>
              <w:right w:type="dxa" w:w="100"/>
            </w:tcMar>
          </w:tcPr>
          <w:p>
            <w:pPr>
              <w:spacing w:after="0" w:line="240"/>
            </w:pPr>
            <w:r>
              <w:rPr>
                <w:b w:val="false"/>
                <w:bCs w:val="false"/>
                <w:sz w:val="18"/>
                <w:szCs w:val="18"/>
              </w:rPr>
              <w:t xml:space="preserve">srcSEP/util/sep_coefficient_registry</w:t>
            </w:r>
          </w:p>
        </w:tc>
        <w:tc>
          <w:tcPr>
            <w:tcW w:type="dxa" w:w="3480"/>
            <w:tcMar>
              <w:top w:type="dxa" w:w="60"/>
              <w:left w:type="dxa" w:w="100"/>
              <w:bottom w:type="dxa" w:w="60"/>
              <w:right w:type="dxa" w:w="100"/>
            </w:tcMar>
          </w:tcPr>
          <w:p>
            <w:pPr>
              <w:spacing w:after="0" w:line="240"/>
            </w:pPr>
            <w:r>
              <w:rPr>
                <w:b w:val="false"/>
                <w:bCs w:val="false"/>
                <w:sz w:val="18"/>
                <w:szCs w:val="18"/>
              </w:rPr>
              <w:t xml:space="preserve">Extend with reserved slots</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Test registry, JSON/JUnit writers, refinement-order estimator</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srcSEP/util/sep_test_registry</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unchanged</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CLI parser conventions and discovery modes</w:t>
            </w:r>
          </w:p>
        </w:tc>
        <w:tc>
          <w:tcPr>
            <w:tcW w:type="dxa" w:w="3600"/>
            <w:tcMar>
              <w:top w:type="dxa" w:w="60"/>
              <w:left w:type="dxa" w:w="100"/>
              <w:bottom w:type="dxa" w:w="60"/>
              <w:right w:type="dxa" w:w="100"/>
            </w:tcMar>
          </w:tcPr>
          <w:p>
            <w:pPr>
              <w:spacing w:after="0" w:line="240"/>
            </w:pPr>
            <w:r>
              <w:rPr>
                <w:b w:val="false"/>
                <w:bCs w:val="false"/>
                <w:sz w:val="18"/>
                <w:szCs w:val="18"/>
              </w:rPr>
              <w:t xml:space="preserve">srcSEP/util/sep_cli</w:t>
            </w:r>
          </w:p>
        </w:tc>
        <w:tc>
          <w:tcPr>
            <w:tcW w:type="dxa" w:w="3480"/>
            <w:tcMar>
              <w:top w:type="dxa" w:w="60"/>
              <w:left w:type="dxa" w:w="100"/>
              <w:bottom w:type="dxa" w:w="60"/>
              <w:right w:type="dxa" w:w="100"/>
            </w:tcMar>
          </w:tcPr>
          <w:p>
            <w:pPr>
              <w:spacing w:after="0" w:line="240"/>
            </w:pPr>
            <w:r>
              <w:rPr>
                <w:b w:val="false"/>
                <w:bCs w:val="false"/>
                <w:sz w:val="18"/>
                <w:szCs w:val="18"/>
              </w:rPr>
              <w:t xml:space="preserve">Reuse the pattern, new option table</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Parker transport step</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srcSEP/util/sep_parker_core</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Generalise 1-D → 3-D tensor</w:t>
            </w:r>
          </w:p>
        </w:tc>
      </w:tr>
      <w:tr>
        <w:tc>
          <w:tcPr>
            <w:tcW w:type="dxa" w:w="3000"/>
            <w:tcMar>
              <w:top w:type="dxa" w:w="60"/>
              <w:left w:type="dxa" w:w="100"/>
              <w:bottom w:type="dxa" w:w="60"/>
              <w:right w:type="dxa" w:w="100"/>
            </w:tcMar>
          </w:tcPr>
          <w:p>
            <w:pPr>
              <w:spacing w:after="0" w:line="240"/>
            </w:pPr>
            <w:r>
              <w:rPr>
                <w:b w:val="false"/>
                <w:bCs w:val="false"/>
                <w:sz w:val="18"/>
                <w:szCs w:val="18"/>
              </w:rPr>
              <w:t xml:space="preserve">Focused transport step and μ operator</w:t>
            </w:r>
          </w:p>
        </w:tc>
        <w:tc>
          <w:tcPr>
            <w:tcW w:type="dxa" w:w="3600"/>
            <w:tcMar>
              <w:top w:type="dxa" w:w="60"/>
              <w:left w:type="dxa" w:w="100"/>
              <w:bottom w:type="dxa" w:w="60"/>
              <w:right w:type="dxa" w:w="100"/>
            </w:tcMar>
          </w:tcPr>
          <w:p>
            <w:pPr>
              <w:spacing w:after="0" w:line="240"/>
            </w:pPr>
            <w:r>
              <w:rPr>
                <w:b w:val="false"/>
                <w:bCs w:val="false"/>
                <w:sz w:val="18"/>
                <w:szCs w:val="18"/>
              </w:rPr>
              <w:t xml:space="preserve">srcSEP/util/sep_focused_transport_core</w:t>
            </w:r>
          </w:p>
        </w:tc>
        <w:tc>
          <w:tcPr>
            <w:tcW w:type="dxa" w:w="3480"/>
            <w:tcMar>
              <w:top w:type="dxa" w:w="60"/>
              <w:left w:type="dxa" w:w="100"/>
              <w:bottom w:type="dxa" w:w="60"/>
              <w:right w:type="dxa" w:w="100"/>
            </w:tcMar>
          </w:tcPr>
          <w:p>
            <w:pPr>
              <w:spacing w:after="0" w:line="240"/>
            </w:pPr>
            <w:r>
              <w:rPr>
                <w:b w:val="false"/>
                <w:bCs w:val="false"/>
                <w:sz w:val="18"/>
                <w:szCs w:val="18"/>
              </w:rPr>
              <w:t xml:space="preserve">Generalise 1-D → 3-D; μ operator unchanged</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Injection spectra, species source table</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srcSEP/util/sep_injection_spectrum, sep_species_source</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unchanged</w:t>
            </w:r>
          </w:p>
        </w:tc>
      </w:tr>
      <w:tr>
        <w:tc>
          <w:tcPr>
            <w:tcW w:type="dxa" w:w="3000"/>
            <w:tcMar>
              <w:top w:type="dxa" w:w="60"/>
              <w:left w:type="dxa" w:w="100"/>
              <w:bottom w:type="dxa" w:w="60"/>
              <w:right w:type="dxa" w:w="100"/>
            </w:tcMar>
          </w:tcPr>
          <w:p>
            <w:pPr>
              <w:spacing w:after="0" w:line="240"/>
            </w:pPr>
            <w:r>
              <w:rPr>
                <w:b w:val="false"/>
                <w:bCs w:val="false"/>
                <w:sz w:val="18"/>
                <w:szCs w:val="18"/>
              </w:rPr>
              <w:t xml:space="preserve">SWCME background and shock source</w:t>
            </w:r>
          </w:p>
        </w:tc>
        <w:tc>
          <w:tcPr>
            <w:tcW w:type="dxa" w:w="3600"/>
            <w:tcMar>
              <w:top w:type="dxa" w:w="60"/>
              <w:left w:type="dxa" w:w="100"/>
              <w:bottom w:type="dxa" w:w="60"/>
              <w:right w:type="dxa" w:w="100"/>
            </w:tcMar>
          </w:tcPr>
          <w:p>
            <w:pPr>
              <w:spacing w:after="0" w:line="240"/>
            </w:pPr>
            <w:r>
              <w:rPr>
                <w:b w:val="false"/>
                <w:bCs w:val="false"/>
                <w:sz w:val="18"/>
                <w:szCs w:val="18"/>
              </w:rPr>
              <w:t xml:space="preserve">srcSEP/swcme → src/models/swcme</w:t>
            </w:r>
          </w:p>
        </w:tc>
        <w:tc>
          <w:tcPr>
            <w:tcW w:type="dxa" w:w="3480"/>
            <w:tcMar>
              <w:top w:type="dxa" w:w="60"/>
              <w:left w:type="dxa" w:w="100"/>
              <w:bottom w:type="dxa" w:w="60"/>
              <w:right w:type="dxa" w:w="100"/>
            </w:tcMar>
          </w:tcPr>
          <w:p>
            <w:pPr>
              <w:spacing w:after="0" w:line="240"/>
            </w:pPr>
            <w:r>
              <w:rPr>
                <w:b w:val="false"/>
                <w:bCs w:val="false"/>
                <w:sz w:val="18"/>
                <w:szCs w:val="18"/>
              </w:rPr>
              <w:t xml:space="preserve">Relocate; thin 3-D shim</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Analytic Parker field, gradients, focusing length, field-line map</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src/models/swcme/swcme_solarwind.hpp (formulation)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New implementation, identical formulation, cross-checked against SWCME</w:t>
            </w:r>
          </w:p>
        </w:tc>
      </w:tr>
      <w:tr>
        <w:tc>
          <w:tcPr>
            <w:tcW w:type="dxa" w:w="3000"/>
            <w:tcMar>
              <w:top w:type="dxa" w:w="60"/>
              <w:left w:type="dxa" w:w="100"/>
              <w:bottom w:type="dxa" w:w="60"/>
              <w:right w:type="dxa" w:w="100"/>
            </w:tcMar>
          </w:tcPr>
          <w:p>
            <w:pPr>
              <w:spacing w:after="0" w:line="240"/>
            </w:pPr>
            <w:r>
              <w:rPr>
                <w:b w:val="false"/>
                <w:bCs w:val="false"/>
                <w:sz w:val="18"/>
                <w:szCs w:val="18"/>
              </w:rPr>
              <w:t xml:space="preserve">Mesh resolution law and octree emulator</w:t>
            </w:r>
          </w:p>
        </w:tc>
        <w:tc>
          <w:tcPr>
            <w:tcW w:type="dxa" w:w="3600"/>
            <w:tcMar>
              <w:top w:type="dxa" w:w="60"/>
              <w:left w:type="dxa" w:w="100"/>
              <w:bottom w:type="dxa" w:w="60"/>
              <w:right w:type="dxa" w:w="100"/>
            </w:tcMar>
          </w:tcPr>
          <w:p>
            <w:pPr>
              <w:spacing w:after="0" w:line="240"/>
            </w:pPr>
            <w:r>
              <w:rPr>
                <w:b w:val="false"/>
                <w:bCs w:val="false"/>
                <w:sz w:val="18"/>
                <w:szCs w:val="18"/>
              </w:rPr>
              <w:t xml:space="preserve">—</w:t>
            </w:r>
          </w:p>
        </w:tc>
        <w:tc>
          <w:tcPr>
            <w:tcW w:type="dxa" w:w="3480"/>
            <w:tcMar>
              <w:top w:type="dxa" w:w="60"/>
              <w:left w:type="dxa" w:w="100"/>
              <w:bottom w:type="dxa" w:w="60"/>
              <w:right w:type="dxa" w:w="100"/>
            </w:tcMar>
          </w:tcPr>
          <w:p>
            <w:pPr>
              <w:spacing w:after="0" w:line="240"/>
            </w:pPr>
            <w:r>
              <w:rPr>
                <w:b w:val="false"/>
                <w:bCs w:val="false"/>
                <w:sz w:val="18"/>
                <w:szCs w:val="18"/>
              </w:rPr>
              <w:t xml:space="preserve">New</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Cell-centred storage, offsets, gradient generation</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AMPS PIC::CPLR::DATAFILE + srcEarth GlobalMagneticField</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with two new offsets</w:t>
            </w:r>
          </w:p>
        </w:tc>
      </w:tr>
      <w:tr>
        <w:tc>
          <w:tcPr>
            <w:tcW w:type="dxa" w:w="3000"/>
            <w:tcMar>
              <w:top w:type="dxa" w:w="60"/>
              <w:left w:type="dxa" w:w="100"/>
              <w:bottom w:type="dxa" w:w="60"/>
              <w:right w:type="dxa" w:w="100"/>
            </w:tcMar>
          </w:tcPr>
          <w:p>
            <w:pPr>
              <w:spacing w:after="0" w:line="240"/>
            </w:pPr>
            <w:r>
              <w:rPr>
                <w:b w:val="false"/>
                <w:bCs w:val="false"/>
                <w:sz w:val="18"/>
                <w:szCs w:val="18"/>
              </w:rPr>
              <w:t xml:space="preserve">Deterministic global cell indexing</w:t>
            </w:r>
          </w:p>
        </w:tc>
        <w:tc>
          <w:tcPr>
            <w:tcW w:type="dxa" w:w="3600"/>
            <w:tcMar>
              <w:top w:type="dxa" w:w="60"/>
              <w:left w:type="dxa" w:w="100"/>
              <w:bottom w:type="dxa" w:w="60"/>
              <w:right w:type="dxa" w:w="100"/>
            </w:tcMar>
          </w:tcPr>
          <w:p>
            <w:pPr>
              <w:spacing w:after="0" w:line="240"/>
            </w:pPr>
            <w:r>
              <w:rPr>
                <w:b w:val="false"/>
                <w:bCs w:val="false"/>
                <w:sz w:val="18"/>
                <w:szCs w:val="18"/>
              </w:rPr>
              <w:t xml:space="preserve">srcEarth/3d/GlobalMagneticField</w:t>
            </w:r>
          </w:p>
        </w:tc>
        <w:tc>
          <w:tcPr>
            <w:tcW w:type="dxa" w:w="3480"/>
            <w:tcMar>
              <w:top w:type="dxa" w:w="60"/>
              <w:left w:type="dxa" w:w="100"/>
              <w:bottom w:type="dxa" w:w="60"/>
              <w:right w:type="dxa" w:w="100"/>
            </w:tcMar>
          </w:tcPr>
          <w:p>
            <w:pPr>
              <w:spacing w:after="0" w:line="240"/>
            </w:pPr>
            <w:r>
              <w:rPr>
                <w:b w:val="false"/>
                <w:bCs w:val="false"/>
                <w:sz w:val="18"/>
                <w:szCs w:val="18"/>
              </w:rPr>
              <w:t xml:space="preserve">Reuse the scheme</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Mover shells, dispatch adapter, capability registry</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 PRODUCTION_MOVER_API pattern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New code, established pattern</w:t>
            </w:r>
          </w:p>
        </w:tc>
      </w:tr>
      <w:tr>
        <w:tc>
          <w:tcPr>
            <w:tcW w:type="dxa" w:w="3000"/>
            <w:tcMar>
              <w:top w:type="dxa" w:w="60"/>
              <w:left w:type="dxa" w:w="100"/>
              <w:bottom w:type="dxa" w:w="60"/>
              <w:right w:type="dxa" w:w="100"/>
            </w:tcMar>
          </w:tcPr>
          <w:p>
            <w:pPr>
              <w:spacing w:after="0" w:line="240"/>
            </w:pPr>
            <w:r>
              <w:rPr>
                <w:b w:val="false"/>
                <w:bCs w:val="false"/>
                <w:sz w:val="18"/>
                <w:szCs w:val="18"/>
              </w:rPr>
              <w:t xml:space="preserve">Volumetric and virtual-spacecraft sampling</w:t>
            </w:r>
          </w:p>
        </w:tc>
        <w:tc>
          <w:tcPr>
            <w:tcW w:type="dxa" w:w="3600"/>
            <w:tcMar>
              <w:top w:type="dxa" w:w="60"/>
              <w:left w:type="dxa" w:w="100"/>
              <w:bottom w:type="dxa" w:w="60"/>
              <w:right w:type="dxa" w:w="100"/>
            </w:tcMar>
          </w:tcPr>
          <w:p>
            <w:pPr>
              <w:spacing w:after="0" w:line="240"/>
            </w:pPr>
            <w:r>
              <w:rPr>
                <w:b w:val="false"/>
                <w:bCs w:val="false"/>
                <w:sz w:val="18"/>
                <w:szCs w:val="18"/>
              </w:rPr>
              <w:t xml:space="preserve">srcSEP Step 5 transferred scope</w:t>
            </w:r>
          </w:p>
        </w:tc>
        <w:tc>
          <w:tcPr>
            <w:tcW w:type="dxa" w:w="3480"/>
            <w:tcMar>
              <w:top w:type="dxa" w:w="60"/>
              <w:left w:type="dxa" w:w="100"/>
              <w:bottom w:type="dxa" w:w="60"/>
              <w:right w:type="dxa" w:w="100"/>
            </w:tcMar>
          </w:tcPr>
          <w:p>
            <w:pPr>
              <w:spacing w:after="0" w:line="240"/>
            </w:pPr>
            <w:r>
              <w:rPr>
                <w:b w:val="false"/>
                <w:bCs w:val="false"/>
                <w:sz w:val="18"/>
                <w:szCs w:val="18"/>
              </w:rPr>
              <w:t xml:space="preserve">New</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Transactional output, manifests, artifact hashing</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src/models/swcme OUT02/OUT03 + srcSEP validation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Reuse the pattern</w:t>
            </w:r>
          </w:p>
        </w:tc>
      </w:tr>
      <w:tr>
        <w:tc>
          <w:tcPr>
            <w:tcW w:type="dxa" w:w="3000"/>
            <w:tcMar>
              <w:top w:type="dxa" w:w="60"/>
              <w:left w:type="dxa" w:w="100"/>
              <w:bottom w:type="dxa" w:w="60"/>
              <w:right w:type="dxa" w:w="100"/>
            </w:tcMar>
          </w:tcPr>
          <w:p>
            <w:pPr>
              <w:spacing w:after="0" w:line="240"/>
            </w:pPr>
            <w:r>
              <w:rPr>
                <w:b w:val="false"/>
                <w:bCs w:val="false"/>
                <w:sz w:val="18"/>
                <w:szCs w:val="18"/>
              </w:rPr>
              <w:t xml:space="preserve">Global energy distribution sampler</w:t>
            </w:r>
          </w:p>
        </w:tc>
        <w:tc>
          <w:tcPr>
            <w:tcW w:type="dxa" w:w="3600"/>
            <w:tcMar>
              <w:top w:type="dxa" w:w="60"/>
              <w:left w:type="dxa" w:w="100"/>
              <w:bottom w:type="dxa" w:w="60"/>
              <w:right w:type="dxa" w:w="100"/>
            </w:tcMar>
          </w:tcPr>
          <w:p>
            <w:pPr>
              <w:spacing w:after="0" w:line="240"/>
            </w:pPr>
            <w:r>
              <w:rPr>
                <w:b w:val="false"/>
                <w:bCs w:val="false"/>
                <w:sz w:val="18"/>
                <w:szCs w:val="18"/>
              </w:rPr>
              <w:t xml:space="preserve">srcSEP3D/SEP3D.cpp</w:t>
            </w:r>
          </w:p>
        </w:tc>
        <w:tc>
          <w:tcPr>
            <w:tcW w:type="dxa" w:w="3480"/>
            <w:tcMar>
              <w:top w:type="dxa" w:w="60"/>
              <w:left w:type="dxa" w:w="100"/>
              <w:bottom w:type="dxa" w:w="60"/>
              <w:right w:type="dxa" w:w="100"/>
            </w:tcMar>
          </w:tcPr>
          <w:p>
            <w:pPr>
              <w:spacing w:after="0" w:line="240"/>
            </w:pPr>
            <w:r>
              <w:rPr>
                <w:b w:val="false"/>
                <w:bCs w:val="false"/>
                <w:sz w:val="18"/>
                <w:szCs w:val="18"/>
              </w:rPr>
              <w:t xml:space="preserve">Generalise to per-species and relativistic energy</w:t>
            </w:r>
          </w:p>
        </w:tc>
      </w:tr>
      <w:tr>
        <w:tc>
          <w:tcPr>
            <w:tcW w:type="dxa" w:w="3000"/>
            <w:shd w:fill="EEF1F6" w:val="clear"/>
            <w:tcMar>
              <w:top w:type="dxa" w:w="60"/>
              <w:left w:type="dxa" w:w="100"/>
              <w:bottom w:type="dxa" w:w="60"/>
              <w:right w:type="dxa" w:w="100"/>
            </w:tcMar>
          </w:tcPr>
          <w:p>
            <w:pPr>
              <w:spacing w:after="0" w:line="240"/>
            </w:pPr>
            <w:r>
              <w:rPr>
                <w:b w:val="false"/>
                <w:bCs w:val="false"/>
                <w:sz w:val="18"/>
                <w:szCs w:val="18"/>
              </w:rPr>
              <w:t xml:space="preserve">Validation case registry and campaign runner</w:t>
            </w:r>
          </w:p>
        </w:tc>
        <w:tc>
          <w:tcPr>
            <w:tcW w:type="dxa" w:w="3600"/>
            <w:shd w:fill="EEF1F6" w:val="clear"/>
            <w:tcMar>
              <w:top w:type="dxa" w:w="60"/>
              <w:left w:type="dxa" w:w="100"/>
              <w:bottom w:type="dxa" w:w="60"/>
              <w:right w:type="dxa" w:w="100"/>
            </w:tcMar>
          </w:tcPr>
          <w:p>
            <w:pPr>
              <w:spacing w:after="0" w:line="240"/>
            </w:pPr>
            <w:r>
              <w:rPr>
                <w:b w:val="false"/>
                <w:bCs w:val="false"/>
                <w:sz w:val="18"/>
                <w:szCs w:val="18"/>
              </w:rPr>
              <w:t xml:space="preserve">srcSEP/validation</w:t>
            </w:r>
          </w:p>
        </w:tc>
        <w:tc>
          <w:tcPr>
            <w:tcW w:type="dxa" w:w="3480"/>
            <w:shd w:fill="EEF1F6" w:val="clear"/>
            <w:tcMar>
              <w:top w:type="dxa" w:w="60"/>
              <w:left w:type="dxa" w:w="100"/>
              <w:bottom w:type="dxa" w:w="60"/>
              <w:right w:type="dxa" w:w="100"/>
            </w:tcMar>
          </w:tcPr>
          <w:p>
            <w:pPr>
              <w:spacing w:after="0" w:line="240"/>
            </w:pPr>
            <w:r>
              <w:rPr>
                <w:b w:val="false"/>
                <w:bCs w:val="false"/>
                <w:sz w:val="18"/>
                <w:szCs w:val="18"/>
              </w:rPr>
              <w:t xml:space="preserve">Clone the structure, new cases</w:t>
            </w:r>
          </w:p>
        </w:tc>
      </w:tr>
    </w:tbl>
    <w:p>
      <w:pPr>
        <w:spacing w:after="200"/>
      </w:pPr>
    </w:p>
    <w:p>
      <w:pPr>
        <w:pStyle w:val="Heading1"/>
        <w:spacing w:after="160" w:before="360"/>
      </w:pPr>
      <w:r>
        <w:t xml:space="preserve">Appendix D. Documents to Produce</w:t>
      </w:r>
    </w:p>
    <w:p>
      <w:pPr>
        <w:spacing w:after="120" w:line="264"/>
        <w:jc w:val="left"/>
      </w:pPr>
      <w:r>
        <w:t xml:space="preserve">srcSEP’s practice of keeping a short, authoritative markdown document per subsystem — rather than one large README — has demonstrably worked, and it is what made this plan possible to write from the archives alone. The same set is created for srcSEP3D, each owned by the work package that implements it and updated in the same commit.</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600"/>
        <w:gridCol w:w="1400"/>
        <w:gridCol w:w="6080"/>
      </w:tblGrid>
      <w:tr>
        <w:trPr>
          <w:tblHeader/>
        </w:trPr>
        <w:tc>
          <w:tcPr>
            <w:tcW w:type="dxa" w:w="2600"/>
            <w:shd w:fill="1F3864" w:val="clear"/>
            <w:tcMar>
              <w:top w:type="dxa" w:w="60"/>
              <w:left w:type="dxa" w:w="100"/>
              <w:bottom w:type="dxa" w:w="60"/>
              <w:right w:type="dxa" w:w="100"/>
            </w:tcMar>
          </w:tcPr>
          <w:p>
            <w:pPr>
              <w:spacing w:after="0" w:line="240"/>
            </w:pPr>
            <w:r>
              <w:rPr>
                <w:b/>
                <w:bCs/>
                <w:color w:val="FFFFFF"/>
                <w:sz w:val="18"/>
                <w:szCs w:val="18"/>
              </w:rPr>
              <w:t xml:space="preserve">Document</w:t>
            </w:r>
          </w:p>
        </w:tc>
        <w:tc>
          <w:tcPr>
            <w:tcW w:type="dxa" w:w="1400"/>
            <w:shd w:fill="1F3864" w:val="clear"/>
            <w:tcMar>
              <w:top w:type="dxa" w:w="60"/>
              <w:left w:type="dxa" w:w="100"/>
              <w:bottom w:type="dxa" w:w="60"/>
              <w:right w:type="dxa" w:w="100"/>
            </w:tcMar>
          </w:tcPr>
          <w:p>
            <w:pPr>
              <w:spacing w:after="0" w:line="240"/>
            </w:pPr>
            <w:r>
              <w:rPr>
                <w:b/>
                <w:bCs/>
                <w:color w:val="FFFFFF"/>
                <w:sz w:val="18"/>
                <w:szCs w:val="18"/>
              </w:rPr>
              <w:t xml:space="preserve">Owner WP</w:t>
            </w:r>
          </w:p>
        </w:tc>
        <w:tc>
          <w:tcPr>
            <w:tcW w:type="dxa" w:w="6080"/>
            <w:shd w:fill="1F3864" w:val="clear"/>
            <w:tcMar>
              <w:top w:type="dxa" w:w="60"/>
              <w:left w:type="dxa" w:w="100"/>
              <w:bottom w:type="dxa" w:w="60"/>
              <w:right w:type="dxa" w:w="100"/>
            </w:tcMar>
          </w:tcPr>
          <w:p>
            <w:pPr>
              <w:spacing w:after="0" w:line="240"/>
            </w:pPr>
            <w:r>
              <w:rPr>
                <w:b/>
                <w:bCs/>
                <w:color w:val="FFFFFF"/>
                <w:sz w:val="18"/>
                <w:szCs w:val="18"/>
              </w:rPr>
              <w:t xml:space="preserve">Content</w:t>
            </w:r>
          </w:p>
        </w:tc>
      </w:tr>
      <w:tr>
        <w:tc>
          <w:tcPr>
            <w:tcW w:type="dxa" w:w="2600"/>
            <w:tcMar>
              <w:top w:type="dxa" w:w="60"/>
              <w:left w:type="dxa" w:w="100"/>
              <w:bottom w:type="dxa" w:w="60"/>
              <w:right w:type="dxa" w:w="100"/>
            </w:tcMar>
          </w:tcPr>
          <w:p>
            <w:pPr>
              <w:spacing w:after="0" w:line="240"/>
            </w:pPr>
            <w:r>
              <w:rPr>
                <w:b w:val="false"/>
                <w:bCs w:val="false"/>
                <w:sz w:val="18"/>
                <w:szCs w:val="18"/>
              </w:rPr>
              <w:t xml:space="preserve">README.md</w:t>
            </w:r>
          </w:p>
        </w:tc>
        <w:tc>
          <w:tcPr>
            <w:tcW w:type="dxa" w:w="1400"/>
            <w:tcMar>
              <w:top w:type="dxa" w:w="60"/>
              <w:left w:type="dxa" w:w="100"/>
              <w:bottom w:type="dxa" w:w="60"/>
              <w:right w:type="dxa" w:w="100"/>
            </w:tcMar>
          </w:tcPr>
          <w:p>
            <w:pPr>
              <w:spacing w:after="0" w:line="240"/>
            </w:pPr>
            <w:r>
              <w:rPr>
                <w:b w:val="false"/>
                <w:bCs w:val="false"/>
                <w:sz w:val="18"/>
                <w:szCs w:val="18"/>
              </w:rPr>
              <w:t xml:space="preserve">WP01, updated throughout</w:t>
            </w:r>
          </w:p>
        </w:tc>
        <w:tc>
          <w:tcPr>
            <w:tcW w:type="dxa" w:w="6080"/>
            <w:tcMar>
              <w:top w:type="dxa" w:w="60"/>
              <w:left w:type="dxa" w:w="100"/>
              <w:bottom w:type="dxa" w:w="60"/>
              <w:right w:type="dxa" w:w="100"/>
            </w:tcMar>
          </w:tcPr>
          <w:p>
            <w:pPr>
              <w:spacing w:after="0" w:line="240"/>
            </w:pPr>
            <w:r>
              <w:rPr>
                <w:b w:val="false"/>
                <w:bCs w:val="false"/>
                <w:sz w:val="18"/>
                <w:szCs w:val="18"/>
              </w:rPr>
              <w:t xml:space="preserve">What the model is, how to build it, how to run it, what it does not do</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CLI_CONTRACT.md</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WP12</w:t>
            </w:r>
          </w:p>
        </w:tc>
        <w:tc>
          <w:tcPr>
            <w:tcW w:type="dxa" w:w="6080"/>
            <w:shd w:fill="EEF1F6" w:val="clear"/>
            <w:tcMar>
              <w:top w:type="dxa" w:w="60"/>
              <w:left w:type="dxa" w:w="100"/>
              <w:bottom w:type="dxa" w:w="60"/>
              <w:right w:type="dxa" w:w="100"/>
            </w:tcMar>
          </w:tcPr>
          <w:p>
            <w:pPr>
              <w:spacing w:after="0" w:line="240"/>
            </w:pPr>
            <w:r>
              <w:rPr>
                <w:b w:val="false"/>
                <w:bCs w:val="false"/>
                <w:sz w:val="18"/>
                <w:szCs w:val="18"/>
              </w:rPr>
              <w:t xml:space="preserve">The authoritative option list, precedence, discovery modes, rejection policy</w:t>
            </w:r>
          </w:p>
        </w:tc>
      </w:tr>
      <w:tr>
        <w:tc>
          <w:tcPr>
            <w:tcW w:type="dxa" w:w="2600"/>
            <w:tcMar>
              <w:top w:type="dxa" w:w="60"/>
              <w:left w:type="dxa" w:w="100"/>
              <w:bottom w:type="dxa" w:w="60"/>
              <w:right w:type="dxa" w:w="100"/>
            </w:tcMar>
          </w:tcPr>
          <w:p>
            <w:pPr>
              <w:spacing w:after="0" w:line="240"/>
            </w:pPr>
            <w:r>
              <w:rPr>
                <w:b w:val="false"/>
                <w:bCs w:val="false"/>
                <w:sz w:val="18"/>
                <w:szCs w:val="18"/>
              </w:rPr>
              <w:t xml:space="preserve">MESH_RESOLUTION.md</w:t>
            </w:r>
          </w:p>
        </w:tc>
        <w:tc>
          <w:tcPr>
            <w:tcW w:type="dxa" w:w="1400"/>
            <w:tcMar>
              <w:top w:type="dxa" w:w="60"/>
              <w:left w:type="dxa" w:w="100"/>
              <w:bottom w:type="dxa" w:w="60"/>
              <w:right w:type="dxa" w:w="100"/>
            </w:tcMar>
          </w:tcPr>
          <w:p>
            <w:pPr>
              <w:spacing w:after="0" w:line="240"/>
            </w:pPr>
            <w:r>
              <w:rPr>
                <w:b w:val="false"/>
                <w:bCs w:val="false"/>
                <w:sz w:val="18"/>
                <w:szCs w:val="18"/>
              </w:rPr>
              <w:t xml:space="preserve">WP05</w:t>
            </w:r>
          </w:p>
        </w:tc>
        <w:tc>
          <w:tcPr>
            <w:tcW w:type="dxa" w:w="6080"/>
            <w:tcMar>
              <w:top w:type="dxa" w:w="60"/>
              <w:left w:type="dxa" w:w="100"/>
              <w:bottom w:type="dxa" w:w="60"/>
              <w:right w:type="dxa" w:w="100"/>
            </w:tcMar>
          </w:tcPr>
          <w:p>
            <w:pPr>
              <w:spacing w:after="0" w:line="240"/>
            </w:pPr>
            <w:r>
              <w:rPr>
                <w:b w:val="false"/>
                <w:bCs w:val="false"/>
                <w:sz w:val="18"/>
                <w:szCs w:val="18"/>
              </w:rPr>
              <w:t xml:space="preserve">The law, every knob, the closed forms, the balance constraint, the budget tables</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BACKGROUND_FIELD.md</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WP08, WP11</w:t>
            </w:r>
          </w:p>
        </w:tc>
        <w:tc>
          <w:tcPr>
            <w:tcW w:type="dxa" w:w="6080"/>
            <w:shd w:fill="EEF1F6" w:val="clear"/>
            <w:tcMar>
              <w:top w:type="dxa" w:w="60"/>
              <w:left w:type="dxa" w:w="100"/>
              <w:bottom w:type="dxa" w:w="60"/>
              <w:right w:type="dxa" w:w="100"/>
            </w:tcMar>
          </w:tcPr>
          <w:p>
            <w:pPr>
              <w:spacing w:after="0" w:line="240"/>
            </w:pPr>
            <w:r>
              <w:rPr>
                <w:b w:val="false"/>
                <w:bCs w:val="false"/>
                <w:sz w:val="18"/>
                <w:szCs w:val="18"/>
              </w:rPr>
              <w:t xml:space="preserve">The provider contract, the Parker formulation, the SWCME cadence, the external-script specification</w:t>
            </w:r>
          </w:p>
        </w:tc>
      </w:tr>
      <w:tr>
        <w:tc>
          <w:tcPr>
            <w:tcW w:type="dxa" w:w="2600"/>
            <w:tcMar>
              <w:top w:type="dxa" w:w="60"/>
              <w:left w:type="dxa" w:w="100"/>
              <w:bottom w:type="dxa" w:w="60"/>
              <w:right w:type="dxa" w:w="100"/>
            </w:tcMar>
          </w:tcPr>
          <w:p>
            <w:pPr>
              <w:spacing w:after="0" w:line="240"/>
            </w:pPr>
            <w:r>
              <w:rPr>
                <w:b w:val="false"/>
                <w:bCs w:val="false"/>
                <w:sz w:val="18"/>
                <w:szCs w:val="18"/>
              </w:rPr>
              <w:t xml:space="preserve">TRANSPORT_NUMERICS_3D.md</w:t>
            </w:r>
          </w:p>
        </w:tc>
        <w:tc>
          <w:tcPr>
            <w:tcW w:type="dxa" w:w="1400"/>
            <w:tcMar>
              <w:top w:type="dxa" w:w="60"/>
              <w:left w:type="dxa" w:w="100"/>
              <w:bottom w:type="dxa" w:w="60"/>
              <w:right w:type="dxa" w:w="100"/>
            </w:tcMar>
          </w:tcPr>
          <w:p>
            <w:pPr>
              <w:spacing w:after="0" w:line="240"/>
            </w:pPr>
            <w:r>
              <w:rPr>
                <w:b w:val="false"/>
                <w:bCs w:val="false"/>
                <w:sz w:val="18"/>
                <w:szCs w:val="18"/>
              </w:rPr>
              <w:t xml:space="preserve">WP15, WP16</w:t>
            </w:r>
          </w:p>
        </w:tc>
        <w:tc>
          <w:tcPr>
            <w:tcW w:type="dxa" w:w="6080"/>
            <w:tcMar>
              <w:top w:type="dxa" w:w="60"/>
              <w:left w:type="dxa" w:w="100"/>
              <w:bottom w:type="dxa" w:w="60"/>
              <w:right w:type="dxa" w:w="100"/>
            </w:tcMar>
          </w:tcPr>
          <w:p>
            <w:pPr>
              <w:spacing w:after="0" w:line="240"/>
            </w:pPr>
            <w:r>
              <w:rPr>
                <w:b w:val="false"/>
                <w:bCs w:val="false"/>
                <w:sz w:val="18"/>
                <w:szCs w:val="18"/>
              </w:rPr>
              <w:t xml:space="preserve">The equations, the splitting, the timestep limits, the RNG keys, the boundary policies</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PRODUCTION_MOVER_API_3D.md</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WP17</w:t>
            </w:r>
          </w:p>
        </w:tc>
        <w:tc>
          <w:tcPr>
            <w:tcW w:type="dxa" w:w="6080"/>
            <w:shd w:fill="EEF1F6" w:val="clear"/>
            <w:tcMar>
              <w:top w:type="dxa" w:w="60"/>
              <w:left w:type="dxa" w:w="100"/>
              <w:bottom w:type="dxa" w:w="60"/>
              <w:right w:type="dxa" w:w="100"/>
            </w:tcMar>
          </w:tcPr>
          <w:p>
            <w:pPr>
              <w:spacing w:after="0" w:line="240"/>
            </w:pPr>
            <w:r>
              <w:rPr>
                <w:b w:val="false"/>
                <w:bCs w:val="false"/>
                <w:sz w:val="18"/>
                <w:szCs w:val="18"/>
              </w:rPr>
              <w:t xml:space="preserve">The two movers, their capabilities, the dispatch contract, the rejected names</w:t>
            </w:r>
          </w:p>
        </w:tc>
      </w:tr>
      <w:tr>
        <w:tc>
          <w:tcPr>
            <w:tcW w:type="dxa" w:w="2600"/>
            <w:tcMar>
              <w:top w:type="dxa" w:w="60"/>
              <w:left w:type="dxa" w:w="100"/>
              <w:bottom w:type="dxa" w:w="60"/>
              <w:right w:type="dxa" w:w="100"/>
            </w:tcMar>
          </w:tcPr>
          <w:p>
            <w:pPr>
              <w:spacing w:after="0" w:line="240"/>
            </w:pPr>
            <w:r>
              <w:rPr>
                <w:b w:val="false"/>
                <w:bCs w:val="false"/>
                <w:sz w:val="18"/>
                <w:szCs w:val="18"/>
              </w:rPr>
              <w:t xml:space="preserve">MIGRATION_MANIFEST.md</w:t>
            </w:r>
          </w:p>
        </w:tc>
        <w:tc>
          <w:tcPr>
            <w:tcW w:type="dxa" w:w="1400"/>
            <w:tcMar>
              <w:top w:type="dxa" w:w="60"/>
              <w:left w:type="dxa" w:w="100"/>
              <w:bottom w:type="dxa" w:w="60"/>
              <w:right w:type="dxa" w:w="100"/>
            </w:tcMar>
          </w:tcPr>
          <w:p>
            <w:pPr>
              <w:spacing w:after="0" w:line="240"/>
            </w:pPr>
            <w:r>
              <w:rPr>
                <w:b w:val="false"/>
                <w:bCs w:val="false"/>
                <w:sz w:val="18"/>
                <w:szCs w:val="18"/>
              </w:rPr>
              <w:t xml:space="preserve">WP01, WP03</w:t>
            </w:r>
          </w:p>
        </w:tc>
        <w:tc>
          <w:tcPr>
            <w:tcW w:type="dxa" w:w="6080"/>
            <w:tcMar>
              <w:top w:type="dxa" w:w="60"/>
              <w:left w:type="dxa" w:w="100"/>
              <w:bottom w:type="dxa" w:w="60"/>
              <w:right w:type="dxa" w:w="100"/>
            </w:tcMar>
          </w:tcPr>
          <w:p>
            <w:pPr>
              <w:spacing w:after="0" w:line="240"/>
            </w:pPr>
            <w:r>
              <w:rPr>
                <w:b w:val="false"/>
                <w:bCs w:val="false"/>
                <w:sz w:val="18"/>
                <w:szCs w:val="18"/>
              </w:rPr>
              <w:t xml:space="preserve">Retired prototype names and the srcSEP/swcme shim mapping, with removal dates</w:t>
            </w:r>
          </w:p>
        </w:tc>
      </w:tr>
      <w:tr>
        <w:tc>
          <w:tcPr>
            <w:tcW w:type="dxa" w:w="2600"/>
            <w:shd w:fill="EEF1F6" w:val="clear"/>
            <w:tcMar>
              <w:top w:type="dxa" w:w="60"/>
              <w:left w:type="dxa" w:w="100"/>
              <w:bottom w:type="dxa" w:w="60"/>
              <w:right w:type="dxa" w:w="100"/>
            </w:tcMar>
          </w:tcPr>
          <w:p>
            <w:pPr>
              <w:spacing w:after="0" w:line="240"/>
            </w:pPr>
            <w:r>
              <w:rPr>
                <w:b w:val="false"/>
                <w:bCs w:val="false"/>
                <w:sz w:val="18"/>
                <w:szCs w:val="18"/>
              </w:rPr>
              <w:t xml:space="preserve">VALIDATION.md</w:t>
            </w:r>
          </w:p>
        </w:tc>
        <w:tc>
          <w:tcPr>
            <w:tcW w:type="dxa" w:w="1400"/>
            <w:shd w:fill="EEF1F6" w:val="clear"/>
            <w:tcMar>
              <w:top w:type="dxa" w:w="60"/>
              <w:left w:type="dxa" w:w="100"/>
              <w:bottom w:type="dxa" w:w="60"/>
              <w:right w:type="dxa" w:w="100"/>
            </w:tcMar>
          </w:tcPr>
          <w:p>
            <w:pPr>
              <w:spacing w:after="0" w:line="240"/>
            </w:pPr>
            <w:r>
              <w:rPr>
                <w:b w:val="false"/>
                <w:bCs w:val="false"/>
                <w:sz w:val="18"/>
                <w:szCs w:val="18"/>
              </w:rPr>
              <w:t xml:space="preserve">WP24</w:t>
            </w:r>
          </w:p>
        </w:tc>
        <w:tc>
          <w:tcPr>
            <w:tcW w:type="dxa" w:w="6080"/>
            <w:shd w:fill="EEF1F6" w:val="clear"/>
            <w:tcMar>
              <w:top w:type="dxa" w:w="60"/>
              <w:left w:type="dxa" w:w="100"/>
              <w:bottom w:type="dxa" w:w="60"/>
              <w:right w:type="dxa" w:w="100"/>
            </w:tcMar>
          </w:tcPr>
          <w:p>
            <w:pPr>
              <w:spacing w:after="0" w:line="240"/>
            </w:pPr>
            <w:r>
              <w:rPr>
                <w:b w:val="false"/>
                <w:bCs w:val="false"/>
                <w:sz w:val="18"/>
                <w:szCs w:val="18"/>
              </w:rPr>
              <w:t xml:space="preserve">The three stages, the evidence classes, every case with its role and acceptance</w:t>
            </w:r>
          </w:p>
        </w:tc>
      </w:tr>
      <w:tr>
        <w:tc>
          <w:tcPr>
            <w:tcW w:type="dxa" w:w="2600"/>
            <w:tcMar>
              <w:top w:type="dxa" w:w="60"/>
              <w:left w:type="dxa" w:w="100"/>
              <w:bottom w:type="dxa" w:w="60"/>
              <w:right w:type="dxa" w:w="100"/>
            </w:tcMar>
          </w:tcPr>
          <w:p>
            <w:pPr>
              <w:spacing w:after="0" w:line="240"/>
            </w:pPr>
            <w:r>
              <w:rPr>
                <w:b w:val="false"/>
                <w:bCs w:val="false"/>
                <w:sz w:val="18"/>
                <w:szCs w:val="18"/>
              </w:rPr>
              <w:t xml:space="preserve">DESIGN_NOTES.md</w:t>
            </w:r>
          </w:p>
        </w:tc>
        <w:tc>
          <w:tcPr>
            <w:tcW w:type="dxa" w:w="1400"/>
            <w:tcMar>
              <w:top w:type="dxa" w:w="60"/>
              <w:left w:type="dxa" w:w="100"/>
              <w:bottom w:type="dxa" w:w="60"/>
              <w:right w:type="dxa" w:w="100"/>
            </w:tcMar>
          </w:tcPr>
          <w:p>
            <w:pPr>
              <w:spacing w:after="0" w:line="240"/>
            </w:pPr>
            <w:r>
              <w:rPr>
                <w:b w:val="false"/>
                <w:bCs w:val="false"/>
                <w:sz w:val="18"/>
                <w:szCs w:val="18"/>
              </w:rPr>
              <w:t xml:space="preserve">all</w:t>
            </w:r>
          </w:p>
        </w:tc>
        <w:tc>
          <w:tcPr>
            <w:tcW w:type="dxa" w:w="6080"/>
            <w:tcMar>
              <w:top w:type="dxa" w:w="60"/>
              <w:left w:type="dxa" w:w="100"/>
              <w:bottom w:type="dxa" w:w="60"/>
              <w:right w:type="dxa" w:w="100"/>
            </w:tcMar>
          </w:tcPr>
          <w:p>
            <w:pPr>
              <w:spacing w:after="0" w:line="240"/>
            </w:pPr>
            <w:r>
              <w:rPr>
                <w:b w:val="false"/>
                <w:bCs w:val="false"/>
                <w:sz w:val="18"/>
                <w:szCs w:val="18"/>
              </w:rPr>
              <w:t xml:space="preserve">Rationale for decisions that are not obvious from the code, kept current</w:t>
            </w:r>
          </w:p>
        </w:tc>
      </w:tr>
    </w:tbl>
    <w:p>
      <w:pPr>
        <w:spacing w:after="200"/>
      </w:pPr>
    </w:p>
    <w:p>
      <w:pPr>
        <w:pStyle w:val="Heading1"/>
        <w:spacing w:after="160" w:before="360"/>
      </w:pPr>
      <w:r>
        <w:t xml:space="preserve">Appendix E. Summary of Reserved Features</w:t>
      </w:r>
    </w:p>
    <w:p>
      <w:pPr>
        <w:spacing w:after="120" w:line="264"/>
        <w:jc w:val="left"/>
      </w:pPr>
      <w:r>
        <w:t xml:space="preserve">Everything below is specified, wired, and tested at the interface level in release 1, but deliberately not implemented. Each has a registry name that is parsed and rejected with a message stating it is reserved, so a user cannot silently get a zero where they expected physics.</w:t>
      </w:r>
    </w:p>
    <w:tbl>
      <w:tblPr>
        <w:tblW w:type="dxa" w:w="10080"/>
        <w:tblBorders>
          <w:top w:val="single" w:color="AAB2C0" w:sz="6"/>
          <w:left w:val="single" w:color="AAB2C0" w:sz="6"/>
          <w:bottom w:val="single" w:color="AAB2C0" w:sz="6"/>
          <w:right w:val="single" w:color="AAB2C0" w:sz="6"/>
          <w:insideH w:val="single" w:color="CCD2DC" w:sz="4"/>
          <w:insideV w:val="single" w:color="CCD2DC" w:sz="4"/>
        </w:tblBorders>
      </w:tblPr>
      <w:tblGrid>
        <w:gridCol w:w="2200"/>
        <w:gridCol w:w="3200"/>
        <w:gridCol w:w="2400"/>
        <w:gridCol w:w="2280"/>
      </w:tblGrid>
      <w:tr>
        <w:trPr>
          <w:tblHeader/>
        </w:trPr>
        <w:tc>
          <w:tcPr>
            <w:tcW w:type="dxa" w:w="2200"/>
            <w:shd w:fill="1F3864" w:val="clear"/>
            <w:tcMar>
              <w:top w:type="dxa" w:w="60"/>
              <w:left w:type="dxa" w:w="100"/>
              <w:bottom w:type="dxa" w:w="60"/>
              <w:right w:type="dxa" w:w="100"/>
            </w:tcMar>
          </w:tcPr>
          <w:p>
            <w:pPr>
              <w:spacing w:after="0" w:line="240"/>
            </w:pPr>
            <w:r>
              <w:rPr>
                <w:b/>
                <w:bCs/>
                <w:color w:val="FFFFFF"/>
                <w:sz w:val="18"/>
                <w:szCs w:val="18"/>
              </w:rPr>
              <w:t xml:space="preserve">Feature</w:t>
            </w:r>
          </w:p>
        </w:tc>
        <w:tc>
          <w:tcPr>
            <w:tcW w:type="dxa" w:w="3200"/>
            <w:shd w:fill="1F3864" w:val="clear"/>
            <w:tcMar>
              <w:top w:type="dxa" w:w="60"/>
              <w:left w:type="dxa" w:w="100"/>
              <w:bottom w:type="dxa" w:w="60"/>
              <w:right w:type="dxa" w:w="100"/>
            </w:tcMar>
          </w:tcPr>
          <w:p>
            <w:pPr>
              <w:spacing w:after="0" w:line="240"/>
            </w:pPr>
            <w:r>
              <w:rPr>
                <w:b/>
                <w:bCs/>
                <w:color w:val="FFFFFF"/>
                <w:sz w:val="18"/>
                <w:szCs w:val="18"/>
              </w:rPr>
              <w:t xml:space="preserve">Interface in place</w:t>
            </w:r>
          </w:p>
        </w:tc>
        <w:tc>
          <w:tcPr>
            <w:tcW w:type="dxa" w:w="2400"/>
            <w:shd w:fill="1F3864" w:val="clear"/>
            <w:tcMar>
              <w:top w:type="dxa" w:w="60"/>
              <w:left w:type="dxa" w:w="100"/>
              <w:bottom w:type="dxa" w:w="60"/>
              <w:right w:type="dxa" w:w="100"/>
            </w:tcMar>
          </w:tcPr>
          <w:p>
            <w:pPr>
              <w:spacing w:after="0" w:line="240"/>
            </w:pPr>
            <w:r>
              <w:rPr>
                <w:b/>
                <w:bCs/>
                <w:color w:val="FFFFFF"/>
                <w:sz w:val="18"/>
                <w:szCs w:val="18"/>
              </w:rPr>
              <w:t xml:space="preserve">Rejection path</w:t>
            </w:r>
          </w:p>
        </w:tc>
        <w:tc>
          <w:tcPr>
            <w:tcW w:type="dxa" w:w="2280"/>
            <w:shd w:fill="1F3864" w:val="clear"/>
            <w:tcMar>
              <w:top w:type="dxa" w:w="60"/>
              <w:left w:type="dxa" w:w="100"/>
              <w:bottom w:type="dxa" w:w="60"/>
              <w:right w:type="dxa" w:w="100"/>
            </w:tcMar>
          </w:tcPr>
          <w:p>
            <w:pPr>
              <w:spacing w:after="0" w:line="240"/>
            </w:pPr>
            <w:r>
              <w:rPr>
                <w:b/>
                <w:bCs/>
                <w:color w:val="FFFFFF"/>
                <w:sz w:val="18"/>
                <w:szCs w:val="18"/>
              </w:rPr>
              <w:t xml:space="preserve">Test in place</w:t>
            </w:r>
          </w:p>
        </w:tc>
      </w:tr>
      <w:tr>
        <w:tc>
          <w:tcPr>
            <w:tcW w:type="dxa" w:w="2200"/>
            <w:tcMar>
              <w:top w:type="dxa" w:w="60"/>
              <w:left w:type="dxa" w:w="100"/>
              <w:bottom w:type="dxa" w:w="60"/>
              <w:right w:type="dxa" w:w="100"/>
            </w:tcMar>
          </w:tcPr>
          <w:p>
            <w:pPr>
              <w:spacing w:after="0" w:line="240"/>
            </w:pPr>
            <w:r>
              <w:rPr>
                <w:b w:val="false"/>
                <w:bCs w:val="false"/>
                <w:sz w:val="18"/>
                <w:szCs w:val="18"/>
              </w:rPr>
              <w:t xml:space="preserve">Perpendicular diffusion</w:t>
            </w:r>
          </w:p>
        </w:tc>
        <w:tc>
          <w:tcPr>
            <w:tcW w:type="dxa" w:w="3200"/>
            <w:tcMar>
              <w:top w:type="dxa" w:w="60"/>
              <w:left w:type="dxa" w:w="100"/>
              <w:bottom w:type="dxa" w:w="60"/>
              <w:right w:type="dxa" w:w="100"/>
            </w:tcMar>
          </w:tcPr>
          <w:p>
            <w:pPr>
              <w:spacing w:after="0" w:line="240"/>
            </w:pPr>
            <w:r>
              <w:rPr>
                <w:b w:val="false"/>
                <w:bCs w:val="false"/>
                <w:sz w:val="18"/>
                <w:szCs w:val="18"/>
              </w:rPr>
              <w:t xml:space="preserve">PerpendicularDiffusionProvider; κ⊥ and ∇⊥ terms in both movers; triad; three-component noise</w:t>
            </w:r>
          </w:p>
        </w:tc>
        <w:tc>
          <w:tcPr>
            <w:tcW w:type="dxa" w:w="2400"/>
            <w:tcMar>
              <w:top w:type="dxa" w:w="60"/>
              <w:left w:type="dxa" w:w="100"/>
              <w:bottom w:type="dxa" w:w="60"/>
              <w:right w:type="dxa" w:w="100"/>
            </w:tcMar>
          </w:tcPr>
          <w:p>
            <w:pPr>
              <w:spacing w:after="0" w:line="240"/>
            </w:pPr>
            <w:r>
              <w:rPr>
                <w:b w:val="false"/>
                <w:bCs w:val="false"/>
                <w:sz w:val="18"/>
                <w:szCs w:val="18"/>
              </w:rPr>
              <w:t xml:space="preserve">--perpendicular-diffusion-provider accepts only "none"</w:t>
            </w:r>
          </w:p>
        </w:tc>
        <w:tc>
          <w:tcPr>
            <w:tcW w:type="dxa" w:w="2280"/>
            <w:tcMar>
              <w:top w:type="dxa" w:w="60"/>
              <w:left w:type="dxa" w:w="100"/>
              <w:bottom w:type="dxa" w:w="60"/>
              <w:right w:type="dxa" w:w="100"/>
            </w:tcMar>
          </w:tcPr>
          <w:p>
            <w:pPr>
              <w:spacing w:after="0" w:line="240"/>
            </w:pPr>
            <w:r>
              <w:rPr>
                <w:b w:val="false"/>
                <w:bCs w:val="false"/>
                <w:sz w:val="18"/>
                <w:szCs w:val="18"/>
              </w:rPr>
              <w:t xml:space="preserve">FTE3D08 zero-κ⊥ identity; COEF3D05 triad; COEF3D06 rejection</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Drifts</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v_d in the equation and the core signature, returning zero</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--drift-provider accepts only "none"</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COEF3D06 rejection</w:t>
            </w:r>
          </w:p>
        </w:tc>
      </w:tr>
      <w:tr>
        <w:tc>
          <w:tcPr>
            <w:tcW w:type="dxa" w:w="2200"/>
            <w:tcMar>
              <w:top w:type="dxa" w:w="60"/>
              <w:left w:type="dxa" w:w="100"/>
              <w:bottom w:type="dxa" w:w="60"/>
              <w:right w:type="dxa" w:w="100"/>
            </w:tcMar>
          </w:tcPr>
          <w:p>
            <w:pPr>
              <w:spacing w:after="0" w:line="240"/>
            </w:pPr>
            <w:r>
              <w:rPr>
                <w:b w:val="false"/>
                <w:bCs w:val="false"/>
                <w:sz w:val="18"/>
                <w:szCs w:val="18"/>
              </w:rPr>
              <w:t xml:space="preserve">External-script background</w:t>
            </w:r>
          </w:p>
        </w:tc>
        <w:tc>
          <w:tcPr>
            <w:tcW w:type="dxa" w:w="3200"/>
            <w:tcMar>
              <w:top w:type="dxa" w:w="60"/>
              <w:left w:type="dxa" w:w="100"/>
              <w:bottom w:type="dxa" w:w="60"/>
              <w:right w:type="dxa" w:w="100"/>
            </w:tcMar>
          </w:tcPr>
          <w:p>
            <w:pPr>
              <w:spacing w:after="0" w:line="240"/>
            </w:pPr>
            <w:r>
              <w:rPr>
                <w:b w:val="false"/>
                <w:bCs w:val="false"/>
                <w:sz w:val="18"/>
                <w:szCs w:val="18"/>
              </w:rPr>
              <w:t xml:space="preserve">Complete file formats, CLI options, stub script, ordering scheme</w:t>
            </w:r>
          </w:p>
        </w:tc>
        <w:tc>
          <w:tcPr>
            <w:tcW w:type="dxa" w:w="2400"/>
            <w:tcMar>
              <w:top w:type="dxa" w:w="60"/>
              <w:left w:type="dxa" w:w="100"/>
              <w:bottom w:type="dxa" w:w="60"/>
              <w:right w:type="dxa" w:w="100"/>
            </w:tcMar>
          </w:tcPr>
          <w:p>
            <w:pPr>
              <w:spacing w:after="0" w:line="240"/>
            </w:pPr>
            <w:r>
              <w:rPr>
                <w:b w:val="false"/>
                <w:bCs w:val="false"/>
                <w:sz w:val="18"/>
                <w:szCs w:val="18"/>
              </w:rPr>
              <w:t xml:space="preserve">--background-field external-script fails with "reserved"</w:t>
            </w:r>
          </w:p>
        </w:tc>
        <w:tc>
          <w:tcPr>
            <w:tcW w:type="dxa" w:w="2280"/>
            <w:tcMar>
              <w:top w:type="dxa" w:w="60"/>
              <w:left w:type="dxa" w:w="100"/>
              <w:bottom w:type="dxa" w:w="60"/>
              <w:right w:type="dxa" w:w="100"/>
            </w:tcMar>
          </w:tcPr>
          <w:p>
            <w:pPr>
              <w:spacing w:after="0" w:line="240"/>
            </w:pPr>
            <w:r>
              <w:rPr>
                <w:b w:val="false"/>
                <w:bCs w:val="false"/>
                <w:sz w:val="18"/>
                <w:szCs w:val="18"/>
              </w:rPr>
              <w:t xml:space="preserve">BGX01–BGX07 registered as SKIP</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Event-driven MFP mover</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MeanFreePathProvider; srcSEP’s waiting-time kernel available</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--particle-mover fte3d-mfp fails with "reserved"</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CLI3D03 rejection</w:t>
            </w:r>
          </w:p>
        </w:tc>
      </w:tr>
      <w:tr>
        <w:tc>
          <w:tcPr>
            <w:tcW w:type="dxa" w:w="2200"/>
            <w:tcMar>
              <w:top w:type="dxa" w:w="60"/>
              <w:left w:type="dxa" w:w="100"/>
              <w:bottom w:type="dxa" w:w="60"/>
              <w:right w:type="dxa" w:w="100"/>
            </w:tcMar>
          </w:tcPr>
          <w:p>
            <w:pPr>
              <w:spacing w:after="0" w:line="240"/>
            </w:pPr>
            <w:r>
              <w:rPr>
                <w:b w:val="false"/>
                <w:bCs w:val="false"/>
                <w:sz w:val="18"/>
                <w:szCs w:val="18"/>
              </w:rPr>
              <w:t xml:space="preserve">Self-consistent turbulence</w:t>
            </w:r>
          </w:p>
        </w:tc>
        <w:tc>
          <w:tcPr>
            <w:tcW w:type="dxa" w:w="3200"/>
            <w:tcMar>
              <w:top w:type="dxa" w:w="60"/>
              <w:left w:type="dxa" w:w="100"/>
              <w:bottom w:type="dxa" w:w="60"/>
              <w:right w:type="dxa" w:w="100"/>
            </w:tcMar>
          </w:tcPr>
          <w:p>
            <w:pPr>
              <w:spacing w:after="0" w:line="240"/>
            </w:pPr>
            <w:r>
              <w:rPr>
                <w:b w:val="false"/>
                <w:bCs w:val="false"/>
                <w:sz w:val="18"/>
                <w:szCs w:val="18"/>
              </w:rPr>
              <w:t xml:space="preserve">Coupling-record pattern; deterministic reduction; source/authority separation</w:t>
            </w:r>
          </w:p>
        </w:tc>
        <w:tc>
          <w:tcPr>
            <w:tcW w:type="dxa" w:w="2400"/>
            <w:tcMar>
              <w:top w:type="dxa" w:w="60"/>
              <w:left w:type="dxa" w:w="100"/>
              <w:bottom w:type="dxa" w:w="60"/>
              <w:right w:type="dxa" w:w="100"/>
            </w:tcMar>
          </w:tcPr>
          <w:p>
            <w:pPr>
              <w:spacing w:after="0" w:line="240"/>
            </w:pPr>
            <w:r>
              <w:rPr>
                <w:b w:val="false"/>
                <w:bCs w:val="false"/>
                <w:sz w:val="18"/>
                <w:szCs w:val="18"/>
              </w:rPr>
              <w:t xml:space="preserve">--coefficient-source self-consistent fails with "reserved"</w:t>
            </w:r>
          </w:p>
        </w:tc>
        <w:tc>
          <w:tcPr>
            <w:tcW w:type="dxa" w:w="2280"/>
            <w:tcMar>
              <w:top w:type="dxa" w:w="60"/>
              <w:left w:type="dxa" w:w="100"/>
              <w:bottom w:type="dxa" w:w="60"/>
              <w:right w:type="dxa" w:w="100"/>
            </w:tcMar>
          </w:tcPr>
          <w:p>
            <w:pPr>
              <w:spacing w:after="0" w:line="240"/>
            </w:pPr>
            <w:r>
              <w:rPr>
                <w:b w:val="false"/>
                <w:bCs w:val="false"/>
                <w:sz w:val="18"/>
                <w:szCs w:val="18"/>
              </w:rPr>
              <w:t xml:space="preserve">CLI3D04 rejection</w:t>
            </w:r>
          </w:p>
        </w:tc>
      </w:tr>
      <w:tr>
        <w:tc>
          <w:tcPr>
            <w:tcW w:type="dxa" w:w="2200"/>
            <w:shd w:fill="EEF1F6" w:val="clear"/>
            <w:tcMar>
              <w:top w:type="dxa" w:w="60"/>
              <w:left w:type="dxa" w:w="100"/>
              <w:bottom w:type="dxa" w:w="60"/>
              <w:right w:type="dxa" w:w="100"/>
            </w:tcMar>
          </w:tcPr>
          <w:p>
            <w:pPr>
              <w:spacing w:after="0" w:line="240"/>
            </w:pPr>
            <w:r>
              <w:rPr>
                <w:b w:val="false"/>
                <w:bCs w:val="false"/>
                <w:sz w:val="18"/>
                <w:szCs w:val="18"/>
              </w:rPr>
              <w:t xml:space="preserve">Time-dependent external fields</w:t>
            </w:r>
          </w:p>
        </w:tc>
        <w:tc>
          <w:tcPr>
            <w:tcW w:type="dxa" w:w="3200"/>
            <w:shd w:fill="EEF1F6" w:val="clear"/>
            <w:tcMar>
              <w:top w:type="dxa" w:w="60"/>
              <w:left w:type="dxa" w:w="100"/>
              <w:bottom w:type="dxa" w:w="60"/>
              <w:right w:type="dxa" w:w="100"/>
            </w:tcMar>
          </w:tcPr>
          <w:p>
            <w:pPr>
              <w:spacing w:after="0" w:line="240"/>
            </w:pPr>
            <w:r>
              <w:rPr>
                <w:b w:val="false"/>
                <w:bCs w:val="false"/>
                <w:sz w:val="18"/>
                <w:szCs w:val="18"/>
              </w:rPr>
              <w:t xml:space="preserve">Curr/Next double buffer and MULTIFILE-style linear time interpolation</w:t>
            </w:r>
          </w:p>
        </w:tc>
        <w:tc>
          <w:tcPr>
            <w:tcW w:type="dxa" w:w="2400"/>
            <w:shd w:fill="EEF1F6" w:val="clear"/>
            <w:tcMar>
              <w:top w:type="dxa" w:w="60"/>
              <w:left w:type="dxa" w:w="100"/>
              <w:bottom w:type="dxa" w:w="60"/>
              <w:right w:type="dxa" w:w="100"/>
            </w:tcMar>
          </w:tcPr>
          <w:p>
            <w:pPr>
              <w:spacing w:after="0" w:line="240"/>
            </w:pPr>
            <w:r>
              <w:rPr>
                <w:b w:val="false"/>
                <w:bCs w:val="false"/>
                <w:sz w:val="18"/>
                <w:szCs w:val="18"/>
              </w:rPr>
              <w:t xml:space="preserve">Active for SWCME; inert for the external provider</w:t>
            </w:r>
          </w:p>
        </w:tc>
        <w:tc>
          <w:tcPr>
            <w:tcW w:type="dxa" w:w="2280"/>
            <w:shd w:fill="EEF1F6" w:val="clear"/>
            <w:tcMar>
              <w:top w:type="dxa" w:w="60"/>
              <w:left w:type="dxa" w:w="100"/>
              <w:bottom w:type="dxa" w:w="60"/>
              <w:right w:type="dxa" w:w="100"/>
            </w:tcMar>
          </w:tcPr>
          <w:p>
            <w:pPr>
              <w:spacing w:after="0" w:line="240"/>
            </w:pPr>
            <w:r>
              <w:rPr>
                <w:b w:val="false"/>
                <w:bCs w:val="false"/>
                <w:sz w:val="18"/>
                <w:szCs w:val="18"/>
              </w:rPr>
              <w:t xml:space="preserve">NAT3D11 for SWCME</w:t>
            </w:r>
          </w:p>
        </w:tc>
      </w:tr>
    </w:tbl>
    <w:p>
      <w:pPr>
        <w:spacing w:after="300"/>
      </w:pPr>
    </w:p>
    <w:p>
      <w:pPr>
        <w:spacing w:after="120" w:line="264"/>
        <w:jc w:val="left"/>
      </w:pPr>
      <w:r>
        <w:rPr>
          <w:b w:val="false"/>
          <w:bCs w:val="false"/>
          <w:i/>
          <w:iCs/>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BD4" w:sz="4" w:space="4"/>
      </w:pBdr>
      <w:spacing w:after="100"/>
      <w:jc w:val="right"/>
    </w:pPr>
    <w:r>
      <w:rPr>
        <w:color w:val="777777"/>
        <w:sz w:val="16"/>
        <w:szCs w:val="16"/>
      </w:rPr>
      <w:t xml:space="preserve">srcSEP3D — Implementation and Testing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lvl w:ilvl="1" w15:tentative="1">
      <w:start w:val="1"/>
      <w:numFmt w:val="lowerLetter"/>
      <w:lvlText w:val="%2."/>
      <w:lvlJc w:val="left"/>
      <w:pPr>
        <w:ind w:left="93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B4C6E7"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2F5496"/>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44546A"/>
      <w:sz w:val="23"/>
      <w:szCs w:val="23"/>
    </w:rPr>
  </w:style>
  <w:style w:type="paragraph" w:styleId="Heading4">
    <w:name w:val="Heading 4"/>
    <w:basedOn w:val="Normal"/>
    <w:next w:val="Normal"/>
    <w:qFormat/>
    <w:pPr>
      <w:keepNext/>
      <w:spacing w:after="80" w:before="180"/>
    </w:pPr>
    <w:rPr>
      <w:rFonts w:ascii="Calibri" w:cs="Calibri" w:eastAsia="Calibri" w:hAnsi="Calibri"/>
      <w:b/>
      <w:bCs/>
      <w:i/>
      <w:iCs/>
      <w:color w:val="44546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srcSEP3D Implementation and Testing Plan</dc:title>
  <dc:creator>srcSEP3D design</dc:creator>
  <dc:description>Detailed implementation and testing plan for the fully three-dimensional SEP and energetic electron transport model srcSEP3D</dc:description>
  <cp:lastModifiedBy>Un-named</cp:lastModifiedBy>
  <cp:revision>1</cp:revision>
  <dcterms:created xsi:type="dcterms:W3CDTF">2026-09-16T05:04:41.253Z</dcterms:created>
  <dcterms:modified xsi:type="dcterms:W3CDTF">2026-09-16T05:04:41.254Z</dcterms:modified>
</cp:coreProperties>
</file>

<file path=docProps/custom.xml><?xml version="1.0" encoding="utf-8"?>
<Properties xmlns="http://schemas.openxmlformats.org/officeDocument/2006/custom-properties" xmlns:vt="http://schemas.openxmlformats.org/officeDocument/2006/docPropsVTypes"/>
</file>