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srcSEP Field Line Transport Improvement Plan</w:t>
      </w:r>
    </w:p>
    <w:p>
      <w:pPr>
        <w:pStyle w:val="Subtitle"/>
      </w:pPr>
      <w:r>
        <w:t>Three production movers and a standalone component test interface</w:t>
      </w:r>
    </w:p>
    <w:p>
      <w:pPr>
        <w:keepLines w:val="0"/>
      </w:pPr>
      <w:r>
        <w:t>This plan converts srcSEP into a field-line transport application with exactly three supported production movers: an isotropic Parker-equation mover, a focused-transport mover driven by an explicit pitch-angle diffusion coefficient, and a focused-transport mover driven by a parallel mean free path. Full three-dimensional particle movers will be transferred to the separate three-dimensional application and removed from the srcSEP production interface. Three-dimensional field-line geometry remains required. The existing self-consistent Alfven-turbulence model remains a production subsystem. The existing util/sep_cli.cpp command line remains the production control surface; its defaults, options, aliases, validation, model-state application, help, and logging are placed under explicit compatibility tests before new test-selection commands are added.</w:t>
      </w:r>
    </w:p>
    <w:p>
      <w:pPr>
        <w:keepLines w:val="0"/>
      </w:pPr>
      <w:r>
        <w:t>The plan also introduces a test registry in the standalone executable. A user will be able to list tests, run one component test, run a group, or run the complete standalone regression suite from the same command-line interface used to select a production mover. The SWMF-coupled library entry point will not parse or execute these test options.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448"/>
            <w:shd w:fill="17365D"/>
            <w:tcMar>
              <w:top w:w="90" w:type="dxa"/>
              <w:start w:w="110" w:type="dxa"/>
              <w:bottom w:w="90" w:type="dxa"/>
              <w:end w:w="110" w:type="dxa"/>
            </w:tcMar>
            <w:vAlign w:val="center"/>
          </w:tcPr>
          <w:p>
            <w:pPr>
              <w:spacing w:after="0"/>
              <w:jc w:val="center"/>
            </w:pPr>
            <w:r>
              <w:rPr>
                <w:b/>
                <w:color w:val="FFFFFF"/>
                <w:sz w:val="18"/>
              </w:rPr>
              <w:t>Item</w:t>
            </w:r>
          </w:p>
        </w:tc>
        <w:tc>
          <w:tcPr>
            <w:tcW w:type="dxa" w:w="7344"/>
            <w:shd w:fill="17365D"/>
            <w:tcMar>
              <w:top w:w="90" w:type="dxa"/>
              <w:start w:w="110" w:type="dxa"/>
              <w:bottom w:w="90" w:type="dxa"/>
              <w:end w:w="110" w:type="dxa"/>
            </w:tcMar>
            <w:vAlign w:val="center"/>
          </w:tcPr>
          <w:p>
            <w:pPr>
              <w:spacing w:after="0"/>
              <w:jc w:val="center"/>
            </w:pPr>
            <w:r>
              <w:rPr>
                <w:b/>
                <w:color w:val="FFFFFF"/>
                <w:sz w:val="18"/>
              </w:rPr>
              <w:t>Decision</w:t>
            </w:r>
          </w:p>
        </w:tc>
      </w:tr>
      <w:tr>
        <w:trPr>
          <w:cantSplit/>
        </w:trPr>
        <w:tc>
          <w:tcPr>
            <w:tcW w:type="dxa" w:w="2448"/>
            <w:tcMar>
              <w:top w:w="90" w:type="dxa"/>
              <w:start w:w="110" w:type="dxa"/>
              <w:bottom w:w="90" w:type="dxa"/>
              <w:end w:w="110" w:type="dxa"/>
            </w:tcMar>
            <w:vAlign w:val="center"/>
          </w:tcPr>
          <w:p>
            <w:pPr>
              <w:spacing w:after="0"/>
            </w:pPr>
            <w:r>
              <w:rPr>
                <w:sz w:val="18"/>
              </w:rPr>
              <w:t>Application scope</w:t>
            </w:r>
          </w:p>
        </w:tc>
        <w:tc>
          <w:tcPr>
            <w:tcW w:type="dxa" w:w="7344"/>
            <w:tcMar>
              <w:top w:w="90" w:type="dxa"/>
              <w:start w:w="110" w:type="dxa"/>
              <w:bottom w:w="90" w:type="dxa"/>
              <w:end w:w="110" w:type="dxa"/>
            </w:tcMar>
            <w:vAlign w:val="center"/>
          </w:tcPr>
          <w:p>
            <w:pPr>
              <w:spacing w:after="0"/>
            </w:pPr>
            <w:r>
              <w:rPr>
                <w:sz w:val="18"/>
              </w:rPr>
              <w:t>SEP transport along a set of three-dimensional magnetic field lines</w:t>
            </w:r>
          </w:p>
        </w:tc>
      </w:tr>
      <w:tr>
        <w:trPr>
          <w:cantSplit/>
        </w:trPr>
        <w:tc>
          <w:tcPr>
            <w:tcW w:type="dxa" w:w="2448"/>
            <w:shd w:fill="EAF1F8"/>
            <w:tcMar>
              <w:top w:w="90" w:type="dxa"/>
              <w:start w:w="110" w:type="dxa"/>
              <w:bottom w:w="90" w:type="dxa"/>
              <w:end w:w="110" w:type="dxa"/>
            </w:tcMar>
            <w:vAlign w:val="center"/>
          </w:tcPr>
          <w:p>
            <w:pPr>
              <w:spacing w:after="0"/>
            </w:pPr>
            <w:r>
              <w:rPr>
                <w:sz w:val="18"/>
              </w:rPr>
              <w:t>Production movers</w:t>
            </w:r>
          </w:p>
        </w:tc>
        <w:tc>
          <w:tcPr>
            <w:tcW w:type="dxa" w:w="7344"/>
            <w:shd w:fill="EAF1F8"/>
            <w:tcMar>
              <w:top w:w="90" w:type="dxa"/>
              <w:start w:w="110" w:type="dxa"/>
              <w:bottom w:w="90" w:type="dxa"/>
              <w:end w:w="110" w:type="dxa"/>
            </w:tcMar>
            <w:vAlign w:val="center"/>
          </w:tcPr>
          <w:p>
            <w:pPr>
              <w:spacing w:after="0"/>
            </w:pPr>
            <w:r>
              <w:rPr>
                <w:sz w:val="18"/>
              </w:rPr>
              <w:t>parker, fte-dmumu, and fte-mfp</w:t>
            </w:r>
          </w:p>
        </w:tc>
      </w:tr>
      <w:tr>
        <w:trPr>
          <w:cantSplit/>
        </w:trPr>
        <w:tc>
          <w:tcPr>
            <w:tcW w:type="dxa" w:w="2448"/>
            <w:tcMar>
              <w:top w:w="90" w:type="dxa"/>
              <w:start w:w="110" w:type="dxa"/>
              <w:bottom w:w="90" w:type="dxa"/>
              <w:end w:w="110" w:type="dxa"/>
            </w:tcMar>
            <w:vAlign w:val="center"/>
          </w:tcPr>
          <w:p>
            <w:pPr>
              <w:spacing w:after="0"/>
            </w:pPr>
            <w:r>
              <w:rPr>
                <w:sz w:val="18"/>
              </w:rPr>
              <w:t>Three-dimensional movers</w:t>
            </w:r>
          </w:p>
        </w:tc>
        <w:tc>
          <w:tcPr>
            <w:tcW w:type="dxa" w:w="7344"/>
            <w:tcMar>
              <w:top w:w="90" w:type="dxa"/>
              <w:start w:w="110" w:type="dxa"/>
              <w:bottom w:w="90" w:type="dxa"/>
              <w:end w:w="110" w:type="dxa"/>
            </w:tcMar>
            <w:vAlign w:val="center"/>
          </w:tcPr>
          <w:p>
            <w:pPr>
              <w:spacing w:after="0"/>
            </w:pPr>
            <w:r>
              <w:rPr>
                <w:sz w:val="18"/>
              </w:rPr>
              <w:t>Transfer to the separate application and remove from the srcSEP build and public API</w:t>
            </w:r>
          </w:p>
        </w:tc>
      </w:tr>
      <w:tr>
        <w:trPr>
          <w:cantSplit/>
        </w:trPr>
        <w:tc>
          <w:tcPr>
            <w:tcW w:type="dxa" w:w="2448"/>
            <w:shd w:fill="EAF1F8"/>
            <w:tcMar>
              <w:top w:w="90" w:type="dxa"/>
              <w:start w:w="110" w:type="dxa"/>
              <w:bottom w:w="90" w:type="dxa"/>
              <w:end w:w="110" w:type="dxa"/>
            </w:tcMar>
            <w:vAlign w:val="center"/>
          </w:tcPr>
          <w:p>
            <w:pPr>
              <w:spacing w:after="0"/>
            </w:pPr>
            <w:r>
              <w:rPr>
                <w:sz w:val="18"/>
              </w:rPr>
              <w:t>Test execution</w:t>
            </w:r>
          </w:p>
        </w:tc>
        <w:tc>
          <w:tcPr>
            <w:tcW w:type="dxa" w:w="7344"/>
            <w:shd w:fill="EAF1F8"/>
            <w:tcMar>
              <w:top w:w="90" w:type="dxa"/>
              <w:start w:w="110" w:type="dxa"/>
              <w:bottom w:w="90" w:type="dxa"/>
              <w:end w:w="110" w:type="dxa"/>
            </w:tcMar>
            <w:vAlign w:val="center"/>
          </w:tcPr>
          <w:p>
            <w:pPr>
              <w:spacing w:after="0"/>
            </w:pPr>
            <w:r>
              <w:rPr>
                <w:sz w:val="18"/>
              </w:rPr>
              <w:t>Standalone executable only, with individual, grouped, and complete-suite selection</w:t>
            </w:r>
          </w:p>
        </w:tc>
      </w:tr>
      <w:tr>
        <w:trPr>
          <w:cantSplit/>
        </w:trPr>
        <w:tc>
          <w:tcPr>
            <w:tcW w:type="dxa" w:w="2448"/>
            <w:tcMar>
              <w:top w:w="90" w:type="dxa"/>
              <w:start w:w="110" w:type="dxa"/>
              <w:bottom w:w="90" w:type="dxa"/>
              <w:end w:w="110" w:type="dxa"/>
            </w:tcMar>
            <w:vAlign w:val="center"/>
          </w:tcPr>
          <w:p>
            <w:pPr>
              <w:spacing w:after="0"/>
            </w:pPr>
            <w:r>
              <w:rPr>
                <w:sz w:val="18"/>
              </w:rPr>
              <w:t>Implementation principle</w:t>
            </w:r>
          </w:p>
        </w:tc>
        <w:tc>
          <w:tcPr>
            <w:tcW w:type="dxa" w:w="7344"/>
            <w:tcMar>
              <w:top w:w="90" w:type="dxa"/>
              <w:start w:w="110" w:type="dxa"/>
              <w:bottom w:w="90" w:type="dxa"/>
              <w:end w:w="110" w:type="dxa"/>
            </w:tcMar>
            <w:vAlign w:val="center"/>
          </w:tcPr>
          <w:p>
            <w:pPr>
              <w:spacing w:after="0"/>
            </w:pPr>
            <w:r>
              <w:rPr>
                <w:sz w:val="18"/>
              </w:rPr>
              <w:t>One background snapshot, one set of shared field-line physics kernels, and explicit mover capabilities</w:t>
            </w:r>
          </w:p>
        </w:tc>
      </w:tr>
      <w:tr>
        <w:tc>
          <w:tcPr>
            <w:tcW w:type="dxa" w:w="4997"/>
          </w:tcPr>
          <w:p>
            <w:r>
              <w:t>Production turbulence</w:t>
            </w:r>
          </w:p>
        </w:tc>
        <w:tc>
          <w:tcPr>
            <w:tcW w:type="dxa" w:w="4997"/>
          </w:tcPr>
          <w:p>
            <w:r>
              <w:t>Retain prescribed, self-consistent integrated, self-consistent spectral, SWMF-read-only, and SWMF-initialized/local-evolution choices behind one interface</w:t>
            </w:r>
          </w:p>
        </w:tc>
      </w:tr>
    </w:tbl>
    <w:p>
      <w:pPr>
        <w:spacing w:after="20"/>
      </w:pPr>
    </w:p>
    <w:p>
      <w:pPr>
        <w:jc w:val="left"/>
      </w:pPr>
      <w:r>
        <w:t>Basis of plan  Review of the supplied sep(2).tar source snapshot on 13 September 2026; revised to retain self-consistent Alfven turbulence and to preserve and regression-test the existing util/sep_cli.h, util/sep_cli.cpp, and main.cpp production command-line behavior while adding selectable component-test commands.</w:t>
      </w:r>
    </w:p>
    <w:p>
      <w:r>
        <w:br w:type="page"/>
      </w:r>
    </w:p>
    <w:p>
      <w:pPr>
        <w:pStyle w:val="Heading1"/>
        <w:keepNext/>
      </w:pPr>
      <w:r>
        <w:t>Contents</w:t>
      </w:r>
    </w:p>
    <w:p>
      <w:pPr>
        <w:spacing w:after="60"/>
        <w:ind w:left="360" w:hanging="360"/>
      </w:pPr>
      <w:r>
        <w:t>1.  Scope and design rules</w:t>
      </w:r>
    </w:p>
    <w:p>
      <w:pPr>
        <w:spacing w:after="60"/>
        <w:ind w:left="360" w:hanging="360"/>
      </w:pPr>
      <w:r>
        <w:t>2.  Current mover inventory and disposition</w:t>
      </w:r>
    </w:p>
    <w:p>
      <w:pPr>
        <w:spacing w:after="60"/>
        <w:ind w:left="360" w:hanging="360"/>
      </w:pPr>
      <w:r>
        <w:t>3.  Target physics for the three production movers</w:t>
      </w:r>
    </w:p>
    <w:p>
      <w:pPr>
        <w:spacing w:after="60"/>
        <w:ind w:left="360" w:hanging="360"/>
      </w:pPr>
      <w:r>
        <w:t>4.  Target software architecture</w:t>
      </w:r>
    </w:p>
    <w:p>
      <w:pPr>
        <w:spacing w:after="60"/>
        <w:ind w:left="360" w:hanging="360"/>
      </w:pPr>
      <w:r>
        <w:t>5.  Standalone test command line interface</w:t>
      </w:r>
    </w:p>
    <w:p>
      <w:pPr>
        <w:spacing w:after="60"/>
        <w:ind w:left="360" w:hanging="360"/>
      </w:pPr>
      <w:r>
        <w:t>6.  Step by step implementation plan</w:t>
      </w:r>
    </w:p>
    <w:p>
      <w:pPr>
        <w:spacing w:after="60"/>
        <w:ind w:left="360" w:hanging="360"/>
      </w:pPr>
      <w:r>
        <w:t>7.  Component test catalog</w:t>
      </w:r>
    </w:p>
    <w:p>
      <w:pPr>
        <w:spacing w:after="60"/>
        <w:ind w:left="360" w:hanging="360"/>
      </w:pPr>
      <w:r>
        <w:t>8.  Build continuous integration and documentation</w:t>
      </w:r>
    </w:p>
    <w:p>
      <w:pPr>
        <w:spacing w:after="60"/>
        <w:ind w:left="360" w:hanging="360"/>
      </w:pPr>
      <w:r>
        <w:t>9.  Migration risks and controls</w:t>
      </w:r>
    </w:p>
    <w:p>
      <w:pPr>
        <w:spacing w:after="60"/>
        <w:ind w:left="360" w:hanging="360"/>
      </w:pPr>
      <w:r>
        <w:t>10.  Completion criteria and recommended commit sequence</w:t>
      </w:r>
    </w:p>
    <w:p>
      <w:pPr/>
      <w:r>
        <w:t>11.  Self-consistent Alfven-turbulence improvement and validation</w:t>
      </w:r>
    </w:p>
    <w:p>
      <w:pPr>
        <w:pStyle w:val="Heading1"/>
        <w:keepNext/>
      </w:pPr>
      <w:r>
        <w:t>1 Scope and design rules</w:t>
      </w:r>
    </w:p>
    <w:p>
      <w:pPr>
        <w:pStyle w:val="Heading2"/>
        <w:keepNext/>
      </w:pPr>
      <w:r>
        <w:t>1.1 Scientific scope</w:t>
      </w:r>
    </w:p>
    <w:p>
      <w:pPr>
        <w:keepLines w:val="0"/>
      </w:pPr>
      <w:r>
        <w:t>srcSEP will solve particle transport along magnetic field lines whose Cartesian positions and plasma properties may evolve in time. The field-line coordinates are one dimensional, but each line remains embedded in three-dimensional space. This distinction is essential: vector magnetic fields, Parker-spiral geometry, shock intersections, field-line curvature, and SWMF-provided line motion remain in scope even after full three-dimensional particle trajectories are removed.</w:t>
      </w:r>
    </w:p>
    <w:p>
      <w:pPr>
        <w:keepLines w:val="0"/>
      </w:pPr>
      <w:r>
        <w:t>Cross-field guiding-center motion, three-dimensional Boris integration, mesh-cell particle attachment, and perpendicular spatial diffusion belong to the separate application. srcSEP may continue to diagnose a nominal cross-field scale, but no production mover should change the field-line identifier or apply a perpendicular spatial displacement.</w:t>
      </w:r>
    </w:p>
    <w:p>
      <w:pPr>
        <w:pStyle w:val="Heading2"/>
        <w:keepNext/>
      </w:pPr>
      <w:r>
        <w:t>1.2 Nonnegotiable design rules</w:t>
      </w:r>
    </w:p>
    <w:p>
      <w:pPr>
        <w:spacing w:after="60"/>
        <w:ind w:left="360" w:hanging="288"/>
      </w:pPr>
      <w:r>
        <w:t>•  Expose exactly three production mover names. Historical aliases may be accepted for one transition release only and must print a deprecation warning.</w:t>
      </w:r>
    </w:p>
    <w:p>
      <w:pPr>
        <w:spacing w:after="60"/>
        <w:ind w:left="360" w:hanging="288"/>
      </w:pPr>
      <w:r>
        <w:t>•  All movers consume the same immutable field-line background snapshot for a given simulation epoch.</w:t>
      </w:r>
    </w:p>
    <w:p>
      <w:pPr>
        <w:spacing w:after="60"/>
        <w:ind w:left="360" w:hanging="288"/>
      </w:pPr>
      <w:r>
        <w:t>•  Mover selection changes the transport equation or scattering closure only. It must not silently change the solar-wind model, IMF source, turbulence source, injection model, units, or time origin.</w:t>
      </w:r>
    </w:p>
    <w:p>
      <w:pPr/>
      <w:r>
        <w:t>•  Self-consistent Alfven turbulence is a retained production option, independent of mover selection. Prescribed, SWMF-read-only, SWMF-initialized/local-evolution, and self-consistent modes must have explicit ownership, configuration, provenance, and compatibility checks.</w:t>
      </w:r>
    </w:p>
    <w:p>
      <w:pPr>
        <w:spacing w:after="60"/>
        <w:ind w:left="360" w:hanging="288"/>
      </w:pPr>
      <w:r>
        <w:t>•  The standalone driver and the SWMF-coupled driver call the same mover and physics kernels.</w:t>
      </w:r>
    </w:p>
    <w:p>
      <w:pPr>
        <w:spacing w:after="60"/>
        <w:ind w:left="360" w:hanging="288"/>
      </w:pPr>
      <w:r>
        <w:t>•  A production mover never reads a hard-coded Parker field, turbulence level, density, or solar-wind speed from inside its implementation.</w:t>
      </w:r>
    </w:p>
    <w:p>
      <w:pPr>
        <w:spacing w:after="60"/>
        <w:ind w:left="360" w:hanging="288"/>
      </w:pPr>
      <w:r>
        <w:t>•  Every stochastic kernel accepts an explicit random stream. Results must be reproducible for a fixed particle identifier, time step, seed, and physics configuration.</w:t>
      </w:r>
    </w:p>
    <w:p>
      <w:pPr>
        <w:spacing w:after="60"/>
        <w:ind w:left="360" w:hanging="288"/>
      </w:pPr>
      <w:r>
        <w:t>•  Every public coefficient carries documented SI units and returns an explicit validity status rather than silently substituting an unrelated fallback model.</w:t>
      </w:r>
    </w:p>
    <w:p>
      <w:pPr>
        <w:spacing w:after="60"/>
        <w:ind w:left="360" w:hanging="288"/>
      </w:pPr>
      <w:r>
        <w:t>•  The test mode terminates after testing. It cannot continue into particle injection or a production simulation by accident.</w:t>
      </w:r>
    </w:p>
    <w:p>
      <w:pPr>
        <w:pStyle w:val="Heading2"/>
        <w:keepNext/>
      </w:pPr>
      <w:r>
        <w:t>1.3 Terminology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088"/>
            <w:shd w:fill="17365D"/>
            <w:tcMar>
              <w:top w:w="90" w:type="dxa"/>
              <w:start w:w="110" w:type="dxa"/>
              <w:bottom w:w="90" w:type="dxa"/>
              <w:end w:w="110" w:type="dxa"/>
            </w:tcMar>
            <w:vAlign w:val="center"/>
          </w:tcPr>
          <w:p>
            <w:pPr>
              <w:spacing w:after="0"/>
              <w:jc w:val="center"/>
            </w:pPr>
            <w:r>
              <w:rPr>
                <w:b/>
                <w:color w:val="FFFFFF"/>
                <w:sz w:val="17"/>
              </w:rPr>
              <w:t>Term</w:t>
            </w:r>
          </w:p>
        </w:tc>
        <w:tc>
          <w:tcPr>
            <w:tcW w:type="dxa" w:w="7704"/>
            <w:shd w:fill="17365D"/>
            <w:tcMar>
              <w:top w:w="90" w:type="dxa"/>
              <w:start w:w="110" w:type="dxa"/>
              <w:bottom w:w="90" w:type="dxa"/>
              <w:end w:w="110" w:type="dxa"/>
            </w:tcMar>
            <w:vAlign w:val="center"/>
          </w:tcPr>
          <w:p>
            <w:pPr>
              <w:spacing w:after="0"/>
              <w:jc w:val="center"/>
            </w:pPr>
            <w:r>
              <w:rPr>
                <w:b/>
                <w:color w:val="FFFFFF"/>
                <w:sz w:val="17"/>
              </w:rPr>
              <w:t>Meaning in this plan</w:t>
            </w:r>
          </w:p>
        </w:tc>
      </w:tr>
      <w:tr>
        <w:trPr>
          <w:cantSplit/>
        </w:trPr>
        <w:tc>
          <w:tcPr>
            <w:tcW w:type="dxa" w:w="2088"/>
            <w:tcMar>
              <w:top w:w="90" w:type="dxa"/>
              <w:start w:w="110" w:type="dxa"/>
              <w:bottom w:w="90" w:type="dxa"/>
              <w:end w:w="110" w:type="dxa"/>
            </w:tcMar>
            <w:vAlign w:val="center"/>
          </w:tcPr>
          <w:p>
            <w:pPr>
              <w:spacing w:after="0"/>
            </w:pPr>
            <w:r>
              <w:rPr>
                <w:sz w:val="17"/>
              </w:rPr>
              <w:t>Mover</w:t>
            </w:r>
          </w:p>
        </w:tc>
        <w:tc>
          <w:tcPr>
            <w:tcW w:type="dxa" w:w="7704"/>
            <w:tcMar>
              <w:top w:w="90" w:type="dxa"/>
              <w:start w:w="110" w:type="dxa"/>
              <w:bottom w:w="90" w:type="dxa"/>
              <w:end w:w="110" w:type="dxa"/>
            </w:tcMar>
            <w:vAlign w:val="center"/>
          </w:tcPr>
          <w:p>
            <w:pPr>
              <w:spacing w:after="0"/>
            </w:pPr>
            <w:r>
              <w:rPr>
                <w:sz w:val="17"/>
              </w:rPr>
              <w:t>A complete production particle-advance algorithm selected at run time</w:t>
            </w:r>
          </w:p>
        </w:tc>
      </w:tr>
      <w:tr>
        <w:trPr>
          <w:cantSplit/>
        </w:trPr>
        <w:tc>
          <w:tcPr>
            <w:tcW w:type="dxa" w:w="2088"/>
            <w:shd w:fill="EAF1F8"/>
            <w:tcMar>
              <w:top w:w="90" w:type="dxa"/>
              <w:start w:w="110" w:type="dxa"/>
              <w:bottom w:w="90" w:type="dxa"/>
              <w:end w:w="110" w:type="dxa"/>
            </w:tcMar>
            <w:vAlign w:val="center"/>
          </w:tcPr>
          <w:p>
            <w:pPr>
              <w:spacing w:after="0"/>
            </w:pPr>
            <w:r>
              <w:rPr>
                <w:sz w:val="17"/>
              </w:rPr>
              <w:t>Coefficient provider</w:t>
            </w:r>
          </w:p>
        </w:tc>
        <w:tc>
          <w:tcPr>
            <w:tcW w:type="dxa" w:w="7704"/>
            <w:shd w:fill="EAF1F8"/>
            <w:tcMar>
              <w:top w:w="90" w:type="dxa"/>
              <w:start w:w="110" w:type="dxa"/>
              <w:bottom w:w="90" w:type="dxa"/>
              <w:end w:w="110" w:type="dxa"/>
            </w:tcMar>
            <w:vAlign w:val="center"/>
          </w:tcPr>
          <w:p>
            <w:pPr>
              <w:spacing w:after="0"/>
            </w:pPr>
            <w:r>
              <w:rPr>
                <w:sz w:val="17"/>
              </w:rPr>
              <w:t>A model that returns quantities such as spatial diffusion, pitch-angle diffusion, or mean free path</w:t>
            </w:r>
          </w:p>
        </w:tc>
      </w:tr>
      <w:tr>
        <w:trPr>
          <w:cantSplit/>
        </w:trPr>
        <w:tc>
          <w:tcPr>
            <w:tcW w:type="dxa" w:w="2088"/>
            <w:tcMar>
              <w:top w:w="90" w:type="dxa"/>
              <w:start w:w="110" w:type="dxa"/>
              <w:bottom w:w="90" w:type="dxa"/>
              <w:end w:w="110" w:type="dxa"/>
            </w:tcMar>
            <w:vAlign w:val="center"/>
          </w:tcPr>
          <w:p>
            <w:pPr>
              <w:spacing w:after="0"/>
            </w:pPr>
            <w:r>
              <w:rPr>
                <w:sz w:val="17"/>
              </w:rPr>
              <w:t>Background snapshot</w:t>
            </w:r>
          </w:p>
        </w:tc>
        <w:tc>
          <w:tcPr>
            <w:tcW w:type="dxa" w:w="7704"/>
            <w:tcMar>
              <w:top w:w="90" w:type="dxa"/>
              <w:start w:w="110" w:type="dxa"/>
              <w:bottom w:w="90" w:type="dxa"/>
              <w:end w:w="110" w:type="dxa"/>
            </w:tcMar>
            <w:vAlign w:val="center"/>
          </w:tcPr>
          <w:p>
            <w:pPr>
              <w:spacing w:after="0"/>
            </w:pPr>
            <w:r>
              <w:rPr>
                <w:sz w:val="17"/>
              </w:rPr>
              <w:t>Timestamped field-line geometry, plasma, IMF, turbulence, and shock data used during one particle step</w:t>
            </w:r>
          </w:p>
        </w:tc>
      </w:tr>
      <w:tr>
        <w:trPr>
          <w:cantSplit/>
        </w:trPr>
        <w:tc>
          <w:tcPr>
            <w:tcW w:type="dxa" w:w="2088"/>
            <w:shd w:fill="EAF1F8"/>
            <w:tcMar>
              <w:top w:w="90" w:type="dxa"/>
              <w:start w:w="110" w:type="dxa"/>
              <w:bottom w:w="90" w:type="dxa"/>
              <w:end w:w="110" w:type="dxa"/>
            </w:tcMar>
            <w:vAlign w:val="center"/>
          </w:tcPr>
          <w:p>
            <w:pPr>
              <w:spacing w:after="0"/>
            </w:pPr>
            <w:r>
              <w:rPr>
                <w:sz w:val="17"/>
              </w:rPr>
              <w:t>Parker mover</w:t>
            </w:r>
          </w:p>
        </w:tc>
        <w:tc>
          <w:tcPr>
            <w:tcW w:type="dxa" w:w="7704"/>
            <w:shd w:fill="EAF1F8"/>
            <w:tcMar>
              <w:top w:w="90" w:type="dxa"/>
              <w:start w:w="110" w:type="dxa"/>
              <w:bottom w:w="90" w:type="dxa"/>
              <w:end w:w="110" w:type="dxa"/>
            </w:tcMar>
            <w:vAlign w:val="center"/>
          </w:tcPr>
          <w:p>
            <w:pPr>
              <w:spacing w:after="0"/>
            </w:pPr>
            <w:r>
              <w:rPr>
                <w:sz w:val="17"/>
              </w:rPr>
              <w:t>The isotropic Parker transport equation solved along a field line; Parker does not mean a Parker-spiral magnetic-field provider</w:t>
            </w:r>
          </w:p>
        </w:tc>
      </w:tr>
      <w:tr>
        <w:trPr>
          <w:cantSplit/>
        </w:trPr>
        <w:tc>
          <w:tcPr>
            <w:tcW w:type="dxa" w:w="2088"/>
            <w:tcMar>
              <w:top w:w="90" w:type="dxa"/>
              <w:start w:w="110" w:type="dxa"/>
              <w:bottom w:w="90" w:type="dxa"/>
              <w:end w:w="110" w:type="dxa"/>
            </w:tcMar>
            <w:vAlign w:val="center"/>
          </w:tcPr>
          <w:p>
            <w:pPr>
              <w:spacing w:after="0"/>
            </w:pPr>
            <w:r>
              <w:rPr>
                <w:sz w:val="17"/>
              </w:rPr>
              <w:t>FTE</w:t>
            </w:r>
          </w:p>
        </w:tc>
        <w:tc>
          <w:tcPr>
            <w:tcW w:type="dxa" w:w="7704"/>
            <w:tcMar>
              <w:top w:w="90" w:type="dxa"/>
              <w:start w:w="110" w:type="dxa"/>
              <w:bottom w:w="90" w:type="dxa"/>
              <w:end w:w="110" w:type="dxa"/>
            </w:tcMar>
            <w:vAlign w:val="center"/>
          </w:tcPr>
          <w:p>
            <w:pPr>
              <w:spacing w:after="0"/>
            </w:pPr>
            <w:r>
              <w:rPr>
                <w:sz w:val="17"/>
              </w:rPr>
              <w:t>The pitch-angle-resolved focused transport equation in field-line coordinate, momentum, and pitch-angle cosine</w:t>
            </w:r>
          </w:p>
        </w:tc>
      </w:tr>
      <w:tr>
        <w:trPr>
          <w:cantSplit/>
        </w:trPr>
        <w:tc>
          <w:tcPr>
            <w:tcW w:type="dxa" w:w="2088"/>
            <w:shd w:fill="EAF1F8"/>
            <w:tcMar>
              <w:top w:w="90" w:type="dxa"/>
              <w:start w:w="110" w:type="dxa"/>
              <w:bottom w:w="90" w:type="dxa"/>
              <w:end w:w="110" w:type="dxa"/>
            </w:tcMar>
            <w:vAlign w:val="center"/>
          </w:tcPr>
          <w:p>
            <w:pPr>
              <w:spacing w:after="0"/>
            </w:pPr>
            <w:r>
              <w:rPr>
                <w:sz w:val="17"/>
              </w:rPr>
              <w:t>MFP mover</w:t>
            </w:r>
          </w:p>
        </w:tc>
        <w:tc>
          <w:tcPr>
            <w:tcW w:type="dxa" w:w="7704"/>
            <w:shd w:fill="EAF1F8"/>
            <w:tcMar>
              <w:top w:w="90" w:type="dxa"/>
              <w:start w:w="110" w:type="dxa"/>
              <w:bottom w:w="90" w:type="dxa"/>
              <w:end w:w="110" w:type="dxa"/>
            </w:tcMar>
            <w:vAlign w:val="center"/>
          </w:tcPr>
          <w:p>
            <w:pPr>
              <w:spacing w:after="0"/>
            </w:pPr>
            <w:r>
              <w:rPr>
                <w:sz w:val="17"/>
              </w:rPr>
              <w:t>An event-driven focused-transport closure in which the scattering rate is derived from a parallel mean free path</w:t>
            </w:r>
          </w:p>
        </w:tc>
      </w:tr>
    </w:tbl>
    <w:p>
      <w:pPr>
        <w:spacing w:after="20"/>
      </w:pPr>
    </w:p>
    <w:p>
      <w:pPr>
        <w:pStyle w:val="Heading1"/>
        <w:keepNext/>
      </w:pPr>
      <w:r>
        <w:t>2 Current mover inventory and disposition</w:t>
      </w:r>
    </w:p>
    <w:p>
      <w:pPr>
        <w:keepLines w:val="0"/>
      </w:pPr>
      <w:r>
        <w:t>The present source exposes many movers through sep.h, mover.cpp, drift.cpp, fte_mover.cpp, fte_mover_dmumu.cpp, and util/sep_cli.cpp. Several names describe old papers or experiments rather than stable production contracts. Some use Cartesian mesh interpolation and cell particle lists; others use field-line coordinates but duplicate focusing, cooling, scattering, and boundary logic. The cleanup should preserve useful formulas as private coefficient providers or test references while reducing the public production interface to three movers.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2664"/>
            <w:shd w:fill="17365D"/>
            <w:tcMar>
              <w:top w:w="90" w:type="dxa"/>
              <w:start w:w="110" w:type="dxa"/>
              <w:bottom w:w="90" w:type="dxa"/>
              <w:end w:w="110" w:type="dxa"/>
            </w:tcMar>
            <w:vAlign w:val="center"/>
          </w:tcPr>
          <w:p>
            <w:pPr>
              <w:spacing w:after="0"/>
              <w:jc w:val="center"/>
            </w:pPr>
            <w:r>
              <w:rPr>
                <w:b/>
                <w:color w:val="FFFFFF"/>
                <w:sz w:val="15"/>
              </w:rPr>
              <w:t>Current symbol</w:t>
            </w:r>
          </w:p>
        </w:tc>
        <w:tc>
          <w:tcPr>
            <w:tcW w:type="dxa" w:w="1584"/>
            <w:shd w:fill="17365D"/>
            <w:tcMar>
              <w:top w:w="90" w:type="dxa"/>
              <w:start w:w="110" w:type="dxa"/>
              <w:bottom w:w="90" w:type="dxa"/>
              <w:end w:w="110" w:type="dxa"/>
            </w:tcMar>
            <w:vAlign w:val="center"/>
          </w:tcPr>
          <w:p>
            <w:pPr>
              <w:spacing w:after="0"/>
              <w:jc w:val="center"/>
            </w:pPr>
            <w:r>
              <w:rPr>
                <w:b/>
                <w:color w:val="FFFFFF"/>
                <w:sz w:val="15"/>
              </w:rPr>
              <w:t>Class</w:t>
            </w:r>
          </w:p>
        </w:tc>
        <w:tc>
          <w:tcPr>
            <w:tcW w:type="dxa" w:w="1224"/>
            <w:shd w:fill="17365D"/>
            <w:tcMar>
              <w:top w:w="90" w:type="dxa"/>
              <w:start w:w="110" w:type="dxa"/>
              <w:bottom w:w="90" w:type="dxa"/>
              <w:end w:w="110" w:type="dxa"/>
            </w:tcMar>
            <w:vAlign w:val="center"/>
          </w:tcPr>
          <w:p>
            <w:pPr>
              <w:spacing w:after="0"/>
              <w:jc w:val="center"/>
            </w:pPr>
            <w:r>
              <w:rPr>
                <w:b/>
                <w:color w:val="FFFFFF"/>
                <w:sz w:val="15"/>
              </w:rPr>
              <w:t>Disposition</w:t>
            </w:r>
          </w:p>
        </w:tc>
        <w:tc>
          <w:tcPr>
            <w:tcW w:type="dxa" w:w="4320"/>
            <w:shd w:fill="17365D"/>
            <w:tcMar>
              <w:top w:w="90" w:type="dxa"/>
              <w:start w:w="110" w:type="dxa"/>
              <w:bottom w:w="90" w:type="dxa"/>
              <w:end w:w="110" w:type="dxa"/>
            </w:tcMar>
            <w:vAlign w:val="center"/>
          </w:tcPr>
          <w:p>
            <w:pPr>
              <w:spacing w:after="0"/>
              <w:jc w:val="center"/>
            </w:pPr>
            <w:r>
              <w:rPr>
                <w:b/>
                <w:color w:val="FFFFFF"/>
                <w:sz w:val="15"/>
              </w:rPr>
              <w:t>Reason and destination</w:t>
            </w:r>
          </w:p>
        </w:tc>
      </w:tr>
      <w:tr>
        <w:trPr>
          <w:cantSplit/>
        </w:trPr>
        <w:tc>
          <w:tcPr>
            <w:tcW w:type="dxa" w:w="2664"/>
            <w:tcMar>
              <w:top w:w="90" w:type="dxa"/>
              <w:start w:w="110" w:type="dxa"/>
              <w:bottom w:w="90" w:type="dxa"/>
              <w:end w:w="110" w:type="dxa"/>
            </w:tcMar>
            <w:vAlign w:val="center"/>
          </w:tcPr>
          <w:p>
            <w:pPr>
              <w:spacing w:after="0"/>
              <w:jc w:val="center"/>
            </w:pPr>
            <w:r>
              <w:rPr>
                <w:sz w:val="15"/>
              </w:rPr>
              <w:t>ParticleMover_default</w:t>
            </w:r>
          </w:p>
        </w:tc>
        <w:tc>
          <w:tcPr>
            <w:tcW w:type="dxa" w:w="1584"/>
            <w:tcMar>
              <w:top w:w="90" w:type="dxa"/>
              <w:start w:w="110" w:type="dxa"/>
              <w:bottom w:w="90" w:type="dxa"/>
              <w:end w:w="110" w:type="dxa"/>
            </w:tcMar>
            <w:vAlign w:val="center"/>
          </w:tcPr>
          <w:p>
            <w:pPr>
              <w:spacing w:after="0"/>
            </w:pPr>
            <w:r>
              <w:rPr>
                <w:sz w:val="15"/>
              </w:rPr>
              <w:t>Mixed dispatcher</w:t>
            </w:r>
          </w:p>
        </w:tc>
        <w:tc>
          <w:tcPr>
            <w:tcW w:type="dxa" w:w="1224"/>
            <w:tcMar>
              <w:top w:w="90" w:type="dxa"/>
              <w:start w:w="110" w:type="dxa"/>
              <w:bottom w:w="90" w:type="dxa"/>
              <w:end w:w="110" w:type="dxa"/>
            </w:tcMar>
            <w:vAlign w:val="center"/>
          </w:tcPr>
          <w:p>
            <w:pPr>
              <w:spacing w:after="0"/>
            </w:pPr>
            <w:r>
              <w:rPr>
                <w:sz w:val="15"/>
              </w:rPr>
              <w:t>Remove</w:t>
            </w:r>
          </w:p>
        </w:tc>
        <w:tc>
          <w:tcPr>
            <w:tcW w:type="dxa" w:w="4320"/>
            <w:tcMar>
              <w:top w:w="90" w:type="dxa"/>
              <w:start w:w="110" w:type="dxa"/>
              <w:bottom w:w="90" w:type="dxa"/>
              <w:end w:w="110" w:type="dxa"/>
            </w:tcMar>
            <w:vAlign w:val="center"/>
          </w:tcPr>
          <w:p>
            <w:pPr>
              <w:spacing w:after="0"/>
            </w:pPr>
            <w:r>
              <w:rPr>
                <w:sz w:val="15"/>
              </w:rPr>
              <w:t>Contains Boris, generic AMPS field-line, and Parker3D branches; replace with the production mover registry</w:t>
            </w:r>
          </w:p>
        </w:tc>
      </w:tr>
      <w:tr>
        <w:trPr>
          <w:cantSplit/>
        </w:trPr>
        <w:tc>
          <w:tcPr>
            <w:tcW w:type="dxa" w:w="2664"/>
            <w:shd w:fill="EAF1F8"/>
            <w:tcMar>
              <w:top w:w="90" w:type="dxa"/>
              <w:start w:w="110" w:type="dxa"/>
              <w:bottom w:w="90" w:type="dxa"/>
              <w:end w:w="110" w:type="dxa"/>
            </w:tcMar>
            <w:vAlign w:val="center"/>
          </w:tcPr>
          <w:p>
            <w:pPr>
              <w:spacing w:after="0"/>
              <w:jc w:val="center"/>
            </w:pPr>
            <w:r>
              <w:rPr>
                <w:sz w:val="15"/>
              </w:rPr>
              <w:t>ParticleMover_Parker3D_MeanFreePath</w:t>
            </w:r>
          </w:p>
        </w:tc>
        <w:tc>
          <w:tcPr>
            <w:tcW w:type="dxa" w:w="1584"/>
            <w:shd w:fill="EAF1F8"/>
            <w:tcMar>
              <w:top w:w="90" w:type="dxa"/>
              <w:start w:w="110" w:type="dxa"/>
              <w:bottom w:w="90" w:type="dxa"/>
              <w:end w:w="110" w:type="dxa"/>
            </w:tcMar>
            <w:vAlign w:val="center"/>
          </w:tcPr>
          <w:p>
            <w:pPr>
              <w:spacing w:after="0"/>
            </w:pPr>
            <w:r>
              <w:rPr>
                <w:sz w:val="15"/>
              </w:rPr>
              <w:t>Full 3D</w:t>
            </w:r>
          </w:p>
        </w:tc>
        <w:tc>
          <w:tcPr>
            <w:tcW w:type="dxa" w:w="1224"/>
            <w:shd w:fill="EAF1F8"/>
            <w:tcMar>
              <w:top w:w="90" w:type="dxa"/>
              <w:start w:w="110" w:type="dxa"/>
              <w:bottom w:w="90" w:type="dxa"/>
              <w:end w:w="110" w:type="dxa"/>
            </w:tcMar>
            <w:vAlign w:val="center"/>
          </w:tcPr>
          <w:p>
            <w:pPr>
              <w:spacing w:after="0"/>
            </w:pPr>
            <w:r>
              <w:rPr>
                <w:sz w:val="15"/>
              </w:rPr>
              <w:t>Transfer</w:t>
            </w:r>
          </w:p>
        </w:tc>
        <w:tc>
          <w:tcPr>
            <w:tcW w:type="dxa" w:w="4320"/>
            <w:shd w:fill="EAF1F8"/>
            <w:tcMar>
              <w:top w:w="90" w:type="dxa"/>
              <w:start w:w="110" w:type="dxa"/>
              <w:bottom w:w="90" w:type="dxa"/>
              <w:end w:w="110" w:type="dxa"/>
            </w:tcMar>
            <w:vAlign w:val="center"/>
          </w:tcPr>
          <w:p>
            <w:pPr>
              <w:spacing w:after="0"/>
            </w:pPr>
            <w:r>
              <w:rPr>
                <w:sz w:val="15"/>
              </w:rPr>
              <w:t>Moves Cartesian position and applies perpendicular diffusion</w:t>
            </w:r>
          </w:p>
        </w:tc>
      </w:tr>
      <w:tr>
        <w:trPr>
          <w:cantSplit/>
        </w:trPr>
        <w:tc>
          <w:tcPr>
            <w:tcW w:type="dxa" w:w="2664"/>
            <w:tcMar>
              <w:top w:w="90" w:type="dxa"/>
              <w:start w:w="110" w:type="dxa"/>
              <w:bottom w:w="90" w:type="dxa"/>
              <w:end w:w="110" w:type="dxa"/>
            </w:tcMar>
            <w:vAlign w:val="center"/>
          </w:tcPr>
          <w:p>
            <w:pPr>
              <w:spacing w:after="0"/>
              <w:jc w:val="center"/>
            </w:pPr>
            <w:r>
              <w:rPr>
                <w:sz w:val="15"/>
              </w:rPr>
              <w:t>ParticleMover_HE_2019_AJL</w:t>
            </w:r>
          </w:p>
        </w:tc>
        <w:tc>
          <w:tcPr>
            <w:tcW w:type="dxa" w:w="1584"/>
            <w:tcMar>
              <w:top w:w="90" w:type="dxa"/>
              <w:start w:w="110" w:type="dxa"/>
              <w:bottom w:w="90" w:type="dxa"/>
              <w:end w:w="110" w:type="dxa"/>
            </w:tcMar>
            <w:vAlign w:val="center"/>
          </w:tcPr>
          <w:p>
            <w:pPr>
              <w:spacing w:after="0"/>
            </w:pPr>
            <w:r>
              <w:rPr>
                <w:sz w:val="15"/>
              </w:rPr>
              <w:t>Full 3D</w:t>
            </w:r>
          </w:p>
        </w:tc>
        <w:tc>
          <w:tcPr>
            <w:tcW w:type="dxa" w:w="1224"/>
            <w:tcMar>
              <w:top w:w="90" w:type="dxa"/>
              <w:start w:w="110" w:type="dxa"/>
              <w:bottom w:w="90" w:type="dxa"/>
              <w:end w:w="110" w:type="dxa"/>
            </w:tcMar>
            <w:vAlign w:val="center"/>
          </w:tcPr>
          <w:p>
            <w:pPr>
              <w:spacing w:after="0"/>
            </w:pPr>
            <w:r>
              <w:rPr>
                <w:sz w:val="15"/>
              </w:rPr>
              <w:t>Transfer</w:t>
            </w:r>
          </w:p>
        </w:tc>
        <w:tc>
          <w:tcPr>
            <w:tcW w:type="dxa" w:w="4320"/>
            <w:tcMar>
              <w:top w:w="90" w:type="dxa"/>
              <w:start w:w="110" w:type="dxa"/>
              <w:bottom w:w="90" w:type="dxa"/>
              <w:end w:w="110" w:type="dxa"/>
            </w:tcMar>
            <w:vAlign w:val="center"/>
          </w:tcPr>
          <w:p>
            <w:pPr>
              <w:spacing w:after="0"/>
            </w:pPr>
            <w:r>
              <w:rPr>
                <w:sz w:val="15"/>
              </w:rPr>
              <w:t>Implemented in drift.cpp and coupled to mesh fields and drift motion</w:t>
            </w:r>
          </w:p>
        </w:tc>
      </w:tr>
      <w:tr>
        <w:trPr>
          <w:cantSplit/>
        </w:trPr>
        <w:tc>
          <w:tcPr>
            <w:tcW w:type="dxa" w:w="2664"/>
            <w:shd w:fill="EAF1F8"/>
            <w:tcMar>
              <w:top w:w="90" w:type="dxa"/>
              <w:start w:w="110" w:type="dxa"/>
              <w:bottom w:w="90" w:type="dxa"/>
              <w:end w:w="110" w:type="dxa"/>
            </w:tcMar>
            <w:vAlign w:val="center"/>
          </w:tcPr>
          <w:p>
            <w:pPr>
              <w:spacing w:after="0"/>
              <w:jc w:val="center"/>
            </w:pPr>
            <w:r>
              <w:rPr>
                <w:sz w:val="15"/>
              </w:rPr>
              <w:t>ParticleMover_BOROVIKOV_2019_ARXIV</w:t>
            </w:r>
          </w:p>
        </w:tc>
        <w:tc>
          <w:tcPr>
            <w:tcW w:type="dxa" w:w="1584"/>
            <w:shd w:fill="EAF1F8"/>
            <w:tcMar>
              <w:top w:w="90" w:type="dxa"/>
              <w:start w:w="110" w:type="dxa"/>
              <w:bottom w:w="90" w:type="dxa"/>
              <w:end w:w="110" w:type="dxa"/>
            </w:tcMar>
            <w:vAlign w:val="center"/>
          </w:tcPr>
          <w:p>
            <w:pPr>
              <w:spacing w:after="0"/>
            </w:pPr>
            <w:r>
              <w:rPr>
                <w:sz w:val="15"/>
              </w:rPr>
              <w:t>Full 3D</w:t>
            </w:r>
          </w:p>
        </w:tc>
        <w:tc>
          <w:tcPr>
            <w:tcW w:type="dxa" w:w="1224"/>
            <w:shd w:fill="EAF1F8"/>
            <w:tcMar>
              <w:top w:w="90" w:type="dxa"/>
              <w:start w:w="110" w:type="dxa"/>
              <w:bottom w:w="90" w:type="dxa"/>
              <w:end w:w="110" w:type="dxa"/>
            </w:tcMar>
            <w:vAlign w:val="center"/>
          </w:tcPr>
          <w:p>
            <w:pPr>
              <w:spacing w:after="0"/>
            </w:pPr>
            <w:r>
              <w:rPr>
                <w:sz w:val="15"/>
              </w:rPr>
              <w:t>Transfer</w:t>
            </w:r>
          </w:p>
        </w:tc>
        <w:tc>
          <w:tcPr>
            <w:tcW w:type="dxa" w:w="4320"/>
            <w:shd w:fill="EAF1F8"/>
            <w:tcMar>
              <w:top w:w="90" w:type="dxa"/>
              <w:start w:w="110" w:type="dxa"/>
              <w:bottom w:w="90" w:type="dxa"/>
              <w:end w:w="110" w:type="dxa"/>
            </w:tcMar>
            <w:vAlign w:val="center"/>
          </w:tcPr>
          <w:p>
            <w:pPr>
              <w:spacing w:after="0"/>
            </w:pPr>
            <w:r>
              <w:rPr>
                <w:sz w:val="15"/>
              </w:rPr>
              <w:t>Implemented in drift.cpp and attached to Cartesian mesh state</w:t>
            </w:r>
          </w:p>
        </w:tc>
      </w:tr>
      <w:tr>
        <w:trPr>
          <w:cantSplit/>
        </w:trPr>
        <w:tc>
          <w:tcPr>
            <w:tcW w:type="dxa" w:w="2664"/>
            <w:tcMar>
              <w:top w:w="90" w:type="dxa"/>
              <w:start w:w="110" w:type="dxa"/>
              <w:bottom w:w="90" w:type="dxa"/>
              <w:end w:w="110" w:type="dxa"/>
            </w:tcMar>
            <w:vAlign w:val="center"/>
          </w:tcPr>
          <w:p>
            <w:pPr>
              <w:spacing w:after="0"/>
              <w:jc w:val="center"/>
            </w:pPr>
            <w:r>
              <w:rPr>
                <w:sz w:val="15"/>
              </w:rPr>
              <w:t>ParticleMover__He_2019_AJL</w:t>
            </w:r>
          </w:p>
        </w:tc>
        <w:tc>
          <w:tcPr>
            <w:tcW w:type="dxa" w:w="1584"/>
            <w:tcMar>
              <w:top w:w="90" w:type="dxa"/>
              <w:start w:w="110" w:type="dxa"/>
              <w:bottom w:w="90" w:type="dxa"/>
              <w:end w:w="110" w:type="dxa"/>
            </w:tcMar>
            <w:vAlign w:val="center"/>
          </w:tcPr>
          <w:p>
            <w:pPr>
              <w:spacing w:after="0"/>
            </w:pPr>
            <w:r>
              <w:rPr>
                <w:sz w:val="15"/>
              </w:rPr>
              <w:t>Full 3D</w:t>
            </w:r>
          </w:p>
        </w:tc>
        <w:tc>
          <w:tcPr>
            <w:tcW w:type="dxa" w:w="1224"/>
            <w:tcMar>
              <w:top w:w="90" w:type="dxa"/>
              <w:start w:w="110" w:type="dxa"/>
              <w:bottom w:w="90" w:type="dxa"/>
              <w:end w:w="110" w:type="dxa"/>
            </w:tcMar>
            <w:vAlign w:val="center"/>
          </w:tcPr>
          <w:p>
            <w:pPr>
              <w:spacing w:after="0"/>
            </w:pPr>
            <w:r>
              <w:rPr>
                <w:sz w:val="15"/>
              </w:rPr>
              <w:t>Transfer</w:t>
            </w:r>
          </w:p>
        </w:tc>
        <w:tc>
          <w:tcPr>
            <w:tcW w:type="dxa" w:w="4320"/>
            <w:tcMar>
              <w:top w:w="90" w:type="dxa"/>
              <w:start w:w="110" w:type="dxa"/>
              <w:bottom w:w="90" w:type="dxa"/>
              <w:end w:w="110" w:type="dxa"/>
            </w:tcMar>
            <w:vAlign w:val="center"/>
          </w:tcPr>
          <w:p>
            <w:pPr>
              <w:spacing w:after="0"/>
            </w:pPr>
            <w:r>
              <w:rPr>
                <w:sz w:val="15"/>
              </w:rPr>
              <w:t>Interpolates mesh fields and updates Cartesian particle coordinates</w:t>
            </w:r>
          </w:p>
        </w:tc>
      </w:tr>
      <w:tr>
        <w:trPr>
          <w:cantSplit/>
        </w:trPr>
        <w:tc>
          <w:tcPr>
            <w:tcW w:type="dxa" w:w="2664"/>
            <w:shd w:fill="EAF1F8"/>
            <w:tcMar>
              <w:top w:w="90" w:type="dxa"/>
              <w:start w:w="110" w:type="dxa"/>
              <w:bottom w:w="90" w:type="dxa"/>
              <w:end w:w="110" w:type="dxa"/>
            </w:tcMar>
            <w:vAlign w:val="center"/>
          </w:tcPr>
          <w:p>
            <w:pPr>
              <w:spacing w:after="0"/>
              <w:jc w:val="center"/>
            </w:pPr>
            <w:r>
              <w:rPr>
                <w:sz w:val="15"/>
              </w:rPr>
              <w:t>ParticleMover_Kartavykh_2016_AJ</w:t>
            </w:r>
          </w:p>
        </w:tc>
        <w:tc>
          <w:tcPr>
            <w:tcW w:type="dxa" w:w="1584"/>
            <w:shd w:fill="EAF1F8"/>
            <w:tcMar>
              <w:top w:w="90" w:type="dxa"/>
              <w:start w:w="110" w:type="dxa"/>
              <w:bottom w:w="90" w:type="dxa"/>
              <w:end w:w="110" w:type="dxa"/>
            </w:tcMar>
            <w:vAlign w:val="center"/>
          </w:tcPr>
          <w:p>
            <w:pPr>
              <w:spacing w:after="0"/>
            </w:pPr>
            <w:r>
              <w:rPr>
                <w:sz w:val="15"/>
              </w:rPr>
              <w:t>Full 3D</w:t>
            </w:r>
          </w:p>
        </w:tc>
        <w:tc>
          <w:tcPr>
            <w:tcW w:type="dxa" w:w="1224"/>
            <w:shd w:fill="EAF1F8"/>
            <w:tcMar>
              <w:top w:w="90" w:type="dxa"/>
              <w:start w:w="110" w:type="dxa"/>
              <w:bottom w:w="90" w:type="dxa"/>
              <w:end w:w="110" w:type="dxa"/>
            </w:tcMar>
            <w:vAlign w:val="center"/>
          </w:tcPr>
          <w:p>
            <w:pPr>
              <w:spacing w:after="0"/>
            </w:pPr>
            <w:r>
              <w:rPr>
                <w:sz w:val="15"/>
              </w:rPr>
              <w:t>Transfer</w:t>
            </w:r>
          </w:p>
        </w:tc>
        <w:tc>
          <w:tcPr>
            <w:tcW w:type="dxa" w:w="4320"/>
            <w:shd w:fill="EAF1F8"/>
            <w:tcMar>
              <w:top w:w="90" w:type="dxa"/>
              <w:start w:w="110" w:type="dxa"/>
              <w:bottom w:w="90" w:type="dxa"/>
              <w:end w:w="110" w:type="dxa"/>
            </w:tcMar>
            <w:vAlign w:val="center"/>
          </w:tcPr>
          <w:p>
            <w:pPr>
              <w:spacing w:after="0"/>
            </w:pPr>
            <w:r>
              <w:rPr>
                <w:sz w:val="15"/>
              </w:rPr>
              <w:t>Depends on multiple SWMF mesh datasets and Cartesian derivatives</w:t>
            </w:r>
          </w:p>
        </w:tc>
      </w:tr>
      <w:tr>
        <w:trPr>
          <w:cantSplit/>
        </w:trPr>
        <w:tc>
          <w:tcPr>
            <w:tcW w:type="dxa" w:w="2664"/>
            <w:tcMar>
              <w:top w:w="90" w:type="dxa"/>
              <w:start w:w="110" w:type="dxa"/>
              <w:bottom w:w="90" w:type="dxa"/>
              <w:end w:w="110" w:type="dxa"/>
            </w:tcMar>
            <w:vAlign w:val="center"/>
          </w:tcPr>
          <w:p>
            <w:pPr>
              <w:spacing w:after="0"/>
              <w:jc w:val="center"/>
            </w:pPr>
            <w:r>
              <w:rPr>
                <w:sz w:val="15"/>
              </w:rPr>
              <w:t>ParticleMover_FTE</w:t>
            </w:r>
          </w:p>
        </w:tc>
        <w:tc>
          <w:tcPr>
            <w:tcW w:type="dxa" w:w="1584"/>
            <w:tcMar>
              <w:top w:w="90" w:type="dxa"/>
              <w:start w:w="110" w:type="dxa"/>
              <w:bottom w:w="90" w:type="dxa"/>
              <w:end w:w="110" w:type="dxa"/>
            </w:tcMar>
            <w:vAlign w:val="center"/>
          </w:tcPr>
          <w:p>
            <w:pPr>
              <w:spacing w:after="0"/>
            </w:pPr>
            <w:r>
              <w:rPr>
                <w:sz w:val="15"/>
              </w:rPr>
              <w:t>Field line Dmumu</w:t>
            </w:r>
          </w:p>
        </w:tc>
        <w:tc>
          <w:tcPr>
            <w:tcW w:type="dxa" w:w="1224"/>
            <w:tcMar>
              <w:top w:w="90" w:type="dxa"/>
              <w:start w:w="110" w:type="dxa"/>
              <w:bottom w:w="90" w:type="dxa"/>
              <w:end w:w="110" w:type="dxa"/>
            </w:tcMar>
            <w:vAlign w:val="center"/>
          </w:tcPr>
          <w:p>
            <w:pPr>
              <w:spacing w:after="0"/>
            </w:pPr>
            <w:r>
              <w:rPr>
                <w:sz w:val="15"/>
              </w:rPr>
              <w:t>Refactor</w:t>
            </w:r>
          </w:p>
        </w:tc>
        <w:tc>
          <w:tcPr>
            <w:tcW w:type="dxa" w:w="4320"/>
            <w:tcMar>
              <w:top w:w="90" w:type="dxa"/>
              <w:start w:w="110" w:type="dxa"/>
              <w:bottom w:w="90" w:type="dxa"/>
              <w:end w:w="110" w:type="dxa"/>
            </w:tcMar>
            <w:vAlign w:val="center"/>
          </w:tcPr>
          <w:p>
            <w:pPr>
              <w:spacing w:after="0"/>
            </w:pPr>
            <w:r>
              <w:rPr>
                <w:sz w:val="15"/>
              </w:rPr>
              <w:t>Use as the initial shell for the canonical fte-dmumu mover; replace its hard-coded QLT closure</w:t>
            </w:r>
          </w:p>
        </w:tc>
      </w:tr>
      <w:tr>
        <w:trPr>
          <w:cantSplit/>
        </w:trPr>
        <w:tc>
          <w:tcPr>
            <w:tcW w:type="dxa" w:w="2664"/>
            <w:shd w:fill="EAF1F8"/>
            <w:tcMar>
              <w:top w:w="90" w:type="dxa"/>
              <w:start w:w="110" w:type="dxa"/>
              <w:bottom w:w="90" w:type="dxa"/>
              <w:end w:w="110" w:type="dxa"/>
            </w:tcMar>
            <w:vAlign w:val="center"/>
          </w:tcPr>
          <w:p>
            <w:pPr>
              <w:spacing w:after="0"/>
              <w:jc w:val="center"/>
            </w:pPr>
            <w:r>
              <w:rPr>
                <w:sz w:val="15"/>
              </w:rPr>
              <w:t>ParticleMover_FocusedTransport_EventDriven</w:t>
            </w:r>
          </w:p>
        </w:tc>
        <w:tc>
          <w:tcPr>
            <w:tcW w:type="dxa" w:w="1584"/>
            <w:shd w:fill="EAF1F8"/>
            <w:tcMar>
              <w:top w:w="90" w:type="dxa"/>
              <w:start w:w="110" w:type="dxa"/>
              <w:bottom w:w="90" w:type="dxa"/>
              <w:end w:w="110" w:type="dxa"/>
            </w:tcMar>
            <w:vAlign w:val="center"/>
          </w:tcPr>
          <w:p>
            <w:pPr>
              <w:spacing w:after="0"/>
            </w:pPr>
            <w:r>
              <w:rPr>
                <w:sz w:val="15"/>
              </w:rPr>
              <w:t>Field line MFP</w:t>
            </w:r>
          </w:p>
        </w:tc>
        <w:tc>
          <w:tcPr>
            <w:tcW w:type="dxa" w:w="1224"/>
            <w:shd w:fill="EAF1F8"/>
            <w:tcMar>
              <w:top w:w="90" w:type="dxa"/>
              <w:start w:w="110" w:type="dxa"/>
              <w:bottom w:w="90" w:type="dxa"/>
              <w:end w:w="110" w:type="dxa"/>
            </w:tcMar>
            <w:vAlign w:val="center"/>
          </w:tcPr>
          <w:p>
            <w:pPr>
              <w:spacing w:after="0"/>
            </w:pPr>
            <w:r>
              <w:rPr>
                <w:sz w:val="15"/>
              </w:rPr>
              <w:t>Refactor</w:t>
            </w:r>
          </w:p>
        </w:tc>
        <w:tc>
          <w:tcPr>
            <w:tcW w:type="dxa" w:w="4320"/>
            <w:shd w:fill="EAF1F8"/>
            <w:tcMar>
              <w:top w:w="90" w:type="dxa"/>
              <w:start w:w="110" w:type="dxa"/>
              <w:bottom w:w="90" w:type="dxa"/>
              <w:end w:w="110" w:type="dxa"/>
            </w:tcMar>
            <w:vAlign w:val="center"/>
          </w:tcPr>
          <w:p>
            <w:pPr>
              <w:spacing w:after="0"/>
            </w:pPr>
            <w:r>
              <w:rPr>
                <w:sz w:val="15"/>
              </w:rPr>
              <w:t>Use as the initial shell for the canonical fte-mfp mover</w:t>
            </w:r>
          </w:p>
        </w:tc>
      </w:tr>
      <w:tr>
        <w:trPr>
          <w:cantSplit/>
        </w:trPr>
        <w:tc>
          <w:tcPr>
            <w:tcW w:type="dxa" w:w="2664"/>
            <w:tcMar>
              <w:top w:w="90" w:type="dxa"/>
              <w:start w:w="110" w:type="dxa"/>
              <w:bottom w:w="90" w:type="dxa"/>
              <w:end w:w="110" w:type="dxa"/>
            </w:tcMar>
            <w:vAlign w:val="center"/>
          </w:tcPr>
          <w:p>
            <w:pPr>
              <w:spacing w:after="0"/>
              <w:jc w:val="center"/>
            </w:pPr>
            <w:r>
              <w:rPr>
                <w:sz w:val="15"/>
              </w:rPr>
              <w:t>ParticleMover_Parker_Dxx</w:t>
            </w:r>
          </w:p>
        </w:tc>
        <w:tc>
          <w:tcPr>
            <w:tcW w:type="dxa" w:w="1584"/>
            <w:tcMar>
              <w:top w:w="90" w:type="dxa"/>
              <w:start w:w="110" w:type="dxa"/>
              <w:bottom w:w="90" w:type="dxa"/>
              <w:end w:w="110" w:type="dxa"/>
            </w:tcMar>
            <w:vAlign w:val="center"/>
          </w:tcPr>
          <w:p>
            <w:pPr>
              <w:spacing w:after="0"/>
            </w:pPr>
            <w:r>
              <w:rPr>
                <w:sz w:val="15"/>
              </w:rPr>
              <w:t>Field line Parker</w:t>
            </w:r>
          </w:p>
        </w:tc>
        <w:tc>
          <w:tcPr>
            <w:tcW w:type="dxa" w:w="1224"/>
            <w:tcMar>
              <w:top w:w="90" w:type="dxa"/>
              <w:start w:w="110" w:type="dxa"/>
              <w:bottom w:w="90" w:type="dxa"/>
              <w:end w:w="110" w:type="dxa"/>
            </w:tcMar>
            <w:vAlign w:val="center"/>
          </w:tcPr>
          <w:p>
            <w:pPr>
              <w:spacing w:after="0"/>
            </w:pPr>
            <w:r>
              <w:rPr>
                <w:sz w:val="15"/>
              </w:rPr>
              <w:t>Refactor</w:t>
            </w:r>
          </w:p>
        </w:tc>
        <w:tc>
          <w:tcPr>
            <w:tcW w:type="dxa" w:w="4320"/>
            <w:tcMar>
              <w:top w:w="90" w:type="dxa"/>
              <w:start w:w="110" w:type="dxa"/>
              <w:bottom w:w="90" w:type="dxa"/>
              <w:end w:w="110" w:type="dxa"/>
            </w:tcMar>
            <w:vAlign w:val="center"/>
          </w:tcPr>
          <w:p>
            <w:pPr>
              <w:spacing w:after="0"/>
            </w:pPr>
            <w:r>
              <w:rPr>
                <w:sz w:val="15"/>
              </w:rPr>
              <w:t>Use as the initial shell for the canonical Parker mover</w:t>
            </w:r>
          </w:p>
        </w:tc>
      </w:tr>
      <w:tr>
        <w:trPr>
          <w:cantSplit/>
        </w:trPr>
        <w:tc>
          <w:tcPr>
            <w:tcW w:type="dxa" w:w="2664"/>
            <w:shd w:fill="EAF1F8"/>
            <w:tcMar>
              <w:top w:w="90" w:type="dxa"/>
              <w:start w:w="110" w:type="dxa"/>
              <w:bottom w:w="90" w:type="dxa"/>
              <w:end w:w="110" w:type="dxa"/>
            </w:tcMar>
            <w:vAlign w:val="center"/>
          </w:tcPr>
          <w:p>
            <w:pPr>
              <w:spacing w:after="0"/>
              <w:jc w:val="center"/>
            </w:pPr>
            <w:r>
              <w:rPr>
                <w:sz w:val="15"/>
              </w:rPr>
              <w:t>ParticleMover_ParkerEquation</w:t>
            </w:r>
          </w:p>
        </w:tc>
        <w:tc>
          <w:tcPr>
            <w:tcW w:type="dxa" w:w="1584"/>
            <w:shd w:fill="EAF1F8"/>
            <w:tcMar>
              <w:top w:w="90" w:type="dxa"/>
              <w:start w:w="110" w:type="dxa"/>
              <w:bottom w:w="90" w:type="dxa"/>
              <w:end w:w="110" w:type="dxa"/>
            </w:tcMar>
            <w:vAlign w:val="center"/>
          </w:tcPr>
          <w:p>
            <w:pPr>
              <w:spacing w:after="0"/>
            </w:pPr>
            <w:r>
              <w:rPr>
                <w:sz w:val="15"/>
              </w:rPr>
              <w:t>Field line Parker</w:t>
            </w:r>
          </w:p>
        </w:tc>
        <w:tc>
          <w:tcPr>
            <w:tcW w:type="dxa" w:w="1224"/>
            <w:shd w:fill="EAF1F8"/>
            <w:tcMar>
              <w:top w:w="90" w:type="dxa"/>
              <w:start w:w="110" w:type="dxa"/>
              <w:bottom w:w="90" w:type="dxa"/>
              <w:end w:w="110" w:type="dxa"/>
            </w:tcMar>
            <w:vAlign w:val="center"/>
          </w:tcPr>
          <w:p>
            <w:pPr>
              <w:spacing w:after="0"/>
            </w:pPr>
            <w:r>
              <w:rPr>
                <w:sz w:val="15"/>
              </w:rPr>
              <w:t>Merge</w:t>
            </w:r>
          </w:p>
        </w:tc>
        <w:tc>
          <w:tcPr>
            <w:tcW w:type="dxa" w:w="4320"/>
            <w:shd w:fill="EAF1F8"/>
            <w:tcMar>
              <w:top w:w="90" w:type="dxa"/>
              <w:start w:w="110" w:type="dxa"/>
              <w:bottom w:w="90" w:type="dxa"/>
              <w:end w:w="110" w:type="dxa"/>
            </w:tcMar>
            <w:vAlign w:val="center"/>
          </w:tcPr>
          <w:p>
            <w:pPr>
              <w:spacing w:after="0"/>
            </w:pPr>
            <w:r>
              <w:rPr>
                <w:sz w:val="15"/>
              </w:rPr>
              <w:t>Move validated cooling and coefficient logic into the canonical Parker implementation</w:t>
            </w:r>
          </w:p>
        </w:tc>
      </w:tr>
      <w:tr>
        <w:trPr>
          <w:cantSplit/>
        </w:trPr>
        <w:tc>
          <w:tcPr>
            <w:tcW w:type="dxa" w:w="2664"/>
            <w:tcMar>
              <w:top w:w="90" w:type="dxa"/>
              <w:start w:w="110" w:type="dxa"/>
              <w:bottom w:w="90" w:type="dxa"/>
              <w:end w:w="110" w:type="dxa"/>
            </w:tcMar>
            <w:vAlign w:val="center"/>
          </w:tcPr>
          <w:p>
            <w:pPr>
              <w:spacing w:after="0"/>
              <w:jc w:val="center"/>
            </w:pPr>
            <w:r>
              <w:rPr>
                <w:sz w:val="15"/>
              </w:rPr>
              <w:t>ParticleMover_Droge_2009_AJ</w:t>
            </w:r>
          </w:p>
        </w:tc>
        <w:tc>
          <w:tcPr>
            <w:tcW w:type="dxa" w:w="1584"/>
            <w:tcMar>
              <w:top w:w="90" w:type="dxa"/>
              <w:start w:w="110" w:type="dxa"/>
              <w:bottom w:w="90" w:type="dxa"/>
              <w:end w:w="110" w:type="dxa"/>
            </w:tcMar>
            <w:vAlign w:val="center"/>
          </w:tcPr>
          <w:p>
            <w:pPr>
              <w:spacing w:after="0"/>
            </w:pPr>
            <w:r>
              <w:rPr>
                <w:sz w:val="15"/>
              </w:rPr>
              <w:t>Field line historical</w:t>
            </w:r>
          </w:p>
        </w:tc>
        <w:tc>
          <w:tcPr>
            <w:tcW w:type="dxa" w:w="1224"/>
            <w:tcMar>
              <w:top w:w="90" w:type="dxa"/>
              <w:start w:w="110" w:type="dxa"/>
              <w:bottom w:w="90" w:type="dxa"/>
              <w:end w:w="110" w:type="dxa"/>
            </w:tcMar>
            <w:vAlign w:val="center"/>
          </w:tcPr>
          <w:p>
            <w:pPr>
              <w:spacing w:after="0"/>
            </w:pPr>
            <w:r>
              <w:rPr>
                <w:sz w:val="15"/>
              </w:rPr>
              <w:t>Internalize</w:t>
            </w:r>
          </w:p>
        </w:tc>
        <w:tc>
          <w:tcPr>
            <w:tcW w:type="dxa" w:w="4320"/>
            <w:tcMar>
              <w:top w:w="90" w:type="dxa"/>
              <w:start w:w="110" w:type="dxa"/>
              <w:bottom w:w="90" w:type="dxa"/>
              <w:end w:w="110" w:type="dxa"/>
            </w:tcMar>
            <w:vAlign w:val="center"/>
          </w:tcPr>
          <w:p>
            <w:pPr>
              <w:spacing w:after="0"/>
            </w:pPr>
            <w:r>
              <w:rPr>
                <w:sz w:val="15"/>
              </w:rPr>
              <w:t>Retain any needed coefficient formula as a provider or reference test; remove public mover</w:t>
            </w:r>
          </w:p>
        </w:tc>
      </w:tr>
      <w:tr>
        <w:trPr>
          <w:cantSplit/>
        </w:trPr>
        <w:tc>
          <w:tcPr>
            <w:tcW w:type="dxa" w:w="2664"/>
            <w:shd w:fill="EAF1F8"/>
            <w:tcMar>
              <w:top w:w="90" w:type="dxa"/>
              <w:start w:w="110" w:type="dxa"/>
              <w:bottom w:w="90" w:type="dxa"/>
              <w:end w:w="110" w:type="dxa"/>
            </w:tcMar>
            <w:vAlign w:val="center"/>
          </w:tcPr>
          <w:p>
            <w:pPr>
              <w:spacing w:after="0"/>
              <w:jc w:val="center"/>
            </w:pPr>
            <w:r>
              <w:rPr>
                <w:sz w:val="15"/>
              </w:rPr>
              <w:t>ParticleMover_Tenishev_2005_FL</w:t>
            </w:r>
          </w:p>
        </w:tc>
        <w:tc>
          <w:tcPr>
            <w:tcW w:type="dxa" w:w="1584"/>
            <w:shd w:fill="EAF1F8"/>
            <w:tcMar>
              <w:top w:w="90" w:type="dxa"/>
              <w:start w:w="110" w:type="dxa"/>
              <w:bottom w:w="90" w:type="dxa"/>
              <w:end w:w="110" w:type="dxa"/>
            </w:tcMar>
            <w:vAlign w:val="center"/>
          </w:tcPr>
          <w:p>
            <w:pPr>
              <w:spacing w:after="0"/>
            </w:pPr>
            <w:r>
              <w:rPr>
                <w:sz w:val="15"/>
              </w:rPr>
              <w:t>Field line historical</w:t>
            </w:r>
          </w:p>
        </w:tc>
        <w:tc>
          <w:tcPr>
            <w:tcW w:type="dxa" w:w="1224"/>
            <w:shd w:fill="EAF1F8"/>
            <w:tcMar>
              <w:top w:w="90" w:type="dxa"/>
              <w:start w:w="110" w:type="dxa"/>
              <w:bottom w:w="90" w:type="dxa"/>
              <w:end w:w="110" w:type="dxa"/>
            </w:tcMar>
            <w:vAlign w:val="center"/>
          </w:tcPr>
          <w:p>
            <w:pPr>
              <w:spacing w:after="0"/>
            </w:pPr>
            <w:r>
              <w:rPr>
                <w:sz w:val="15"/>
              </w:rPr>
              <w:t>Internalize</w:t>
            </w:r>
          </w:p>
        </w:tc>
        <w:tc>
          <w:tcPr>
            <w:tcW w:type="dxa" w:w="4320"/>
            <w:shd w:fill="EAF1F8"/>
            <w:tcMar>
              <w:top w:w="90" w:type="dxa"/>
              <w:start w:w="110" w:type="dxa"/>
              <w:bottom w:w="90" w:type="dxa"/>
              <w:end w:w="110" w:type="dxa"/>
            </w:tcMar>
            <w:vAlign w:val="center"/>
          </w:tcPr>
          <w:p>
            <w:pPr>
              <w:spacing w:after="0"/>
            </w:pPr>
            <w:r>
              <w:rPr>
                <w:sz w:val="15"/>
              </w:rPr>
              <w:t>Retain source or scattering formulas only when independently validated</w:t>
            </w:r>
          </w:p>
        </w:tc>
      </w:tr>
      <w:tr>
        <w:trPr>
          <w:cantSplit/>
        </w:trPr>
        <w:tc>
          <w:tcPr>
            <w:tcW w:type="dxa" w:w="2664"/>
            <w:tcMar>
              <w:top w:w="90" w:type="dxa"/>
              <w:start w:w="110" w:type="dxa"/>
              <w:bottom w:w="90" w:type="dxa"/>
              <w:end w:w="110" w:type="dxa"/>
            </w:tcMar>
            <w:vAlign w:val="center"/>
          </w:tcPr>
          <w:p>
            <w:pPr>
              <w:spacing w:after="0"/>
              <w:jc w:val="center"/>
            </w:pPr>
            <w:r>
              <w:rPr>
                <w:sz w:val="15"/>
              </w:rPr>
              <w:t>ParticleMover_He_2011_AJ</w:t>
            </w:r>
          </w:p>
        </w:tc>
        <w:tc>
          <w:tcPr>
            <w:tcW w:type="dxa" w:w="1584"/>
            <w:tcMar>
              <w:top w:w="90" w:type="dxa"/>
              <w:start w:w="110" w:type="dxa"/>
              <w:bottom w:w="90" w:type="dxa"/>
              <w:end w:w="110" w:type="dxa"/>
            </w:tcMar>
            <w:vAlign w:val="center"/>
          </w:tcPr>
          <w:p>
            <w:pPr>
              <w:spacing w:after="0"/>
            </w:pPr>
            <w:r>
              <w:rPr>
                <w:sz w:val="15"/>
              </w:rPr>
              <w:t>Field line historical</w:t>
            </w:r>
          </w:p>
        </w:tc>
        <w:tc>
          <w:tcPr>
            <w:tcW w:type="dxa" w:w="1224"/>
            <w:tcMar>
              <w:top w:w="90" w:type="dxa"/>
              <w:start w:w="110" w:type="dxa"/>
              <w:bottom w:w="90" w:type="dxa"/>
              <w:end w:w="110" w:type="dxa"/>
            </w:tcMar>
            <w:vAlign w:val="center"/>
          </w:tcPr>
          <w:p>
            <w:pPr>
              <w:spacing w:after="0"/>
            </w:pPr>
            <w:r>
              <w:rPr>
                <w:sz w:val="15"/>
              </w:rPr>
              <w:t>Internalize</w:t>
            </w:r>
          </w:p>
        </w:tc>
        <w:tc>
          <w:tcPr>
            <w:tcW w:type="dxa" w:w="4320"/>
            <w:tcMar>
              <w:top w:w="90" w:type="dxa"/>
              <w:start w:w="110" w:type="dxa"/>
              <w:bottom w:w="90" w:type="dxa"/>
              <w:end w:w="110" w:type="dxa"/>
            </w:tcMar>
            <w:vAlign w:val="center"/>
          </w:tcPr>
          <w:p>
            <w:pPr>
              <w:spacing w:after="0"/>
            </w:pPr>
            <w:r>
              <w:rPr>
                <w:sz w:val="15"/>
              </w:rPr>
              <w:t>Move distinct coefficient formulas to the coefficient library</w:t>
            </w:r>
          </w:p>
        </w:tc>
      </w:tr>
      <w:tr>
        <w:trPr>
          <w:cantSplit/>
        </w:trPr>
        <w:tc>
          <w:tcPr>
            <w:tcW w:type="dxa" w:w="2664"/>
            <w:shd w:fill="EAF1F8"/>
            <w:tcMar>
              <w:top w:w="90" w:type="dxa"/>
              <w:start w:w="110" w:type="dxa"/>
              <w:bottom w:w="90" w:type="dxa"/>
              <w:end w:w="110" w:type="dxa"/>
            </w:tcMar>
            <w:vAlign w:val="center"/>
          </w:tcPr>
          <w:p>
            <w:pPr>
              <w:spacing w:after="0"/>
              <w:jc w:val="center"/>
            </w:pPr>
            <w:r>
              <w:rPr>
                <w:sz w:val="15"/>
              </w:rPr>
              <w:t>ParticleMover_Parker_MeanFreePath</w:t>
            </w:r>
          </w:p>
        </w:tc>
        <w:tc>
          <w:tcPr>
            <w:tcW w:type="dxa" w:w="1584"/>
            <w:shd w:fill="EAF1F8"/>
            <w:tcMar>
              <w:top w:w="90" w:type="dxa"/>
              <w:start w:w="110" w:type="dxa"/>
              <w:bottom w:w="90" w:type="dxa"/>
              <w:end w:w="110" w:type="dxa"/>
            </w:tcMar>
            <w:vAlign w:val="center"/>
          </w:tcPr>
          <w:p>
            <w:pPr>
              <w:spacing w:after="0"/>
            </w:pPr>
            <w:r>
              <w:rPr>
                <w:sz w:val="15"/>
              </w:rPr>
              <w:t>Field line historical</w:t>
            </w:r>
          </w:p>
        </w:tc>
        <w:tc>
          <w:tcPr>
            <w:tcW w:type="dxa" w:w="1224"/>
            <w:shd w:fill="EAF1F8"/>
            <w:tcMar>
              <w:top w:w="90" w:type="dxa"/>
              <w:start w:w="110" w:type="dxa"/>
              <w:bottom w:w="90" w:type="dxa"/>
              <w:end w:w="110" w:type="dxa"/>
            </w:tcMar>
            <w:vAlign w:val="center"/>
          </w:tcPr>
          <w:p>
            <w:pPr>
              <w:spacing w:after="0"/>
            </w:pPr>
            <w:r>
              <w:rPr>
                <w:sz w:val="15"/>
              </w:rPr>
              <w:t>Merge</w:t>
            </w:r>
          </w:p>
        </w:tc>
        <w:tc>
          <w:tcPr>
            <w:tcW w:type="dxa" w:w="4320"/>
            <w:shd w:fill="EAF1F8"/>
            <w:tcMar>
              <w:top w:w="90" w:type="dxa"/>
              <w:start w:w="110" w:type="dxa"/>
              <w:bottom w:w="90" w:type="dxa"/>
              <w:end w:w="110" w:type="dxa"/>
            </w:tcMar>
            <w:vAlign w:val="center"/>
          </w:tcPr>
          <w:p>
            <w:pPr>
              <w:spacing w:after="0"/>
            </w:pPr>
            <w:r>
              <w:rPr>
                <w:sz w:val="15"/>
              </w:rPr>
              <w:t>Use tests or formulas to validate fte-mfp; remove separate production name</w:t>
            </w:r>
          </w:p>
        </w:tc>
      </w:tr>
      <w:tr>
        <w:trPr>
          <w:cantSplit/>
        </w:trPr>
        <w:tc>
          <w:tcPr>
            <w:tcW w:type="dxa" w:w="2664"/>
            <w:tcMar>
              <w:top w:w="90" w:type="dxa"/>
              <w:start w:w="110" w:type="dxa"/>
              <w:bottom w:w="90" w:type="dxa"/>
              <w:end w:w="110" w:type="dxa"/>
            </w:tcMar>
            <w:vAlign w:val="center"/>
          </w:tcPr>
          <w:p>
            <w:pPr>
              <w:spacing w:after="0"/>
              <w:jc w:val="center"/>
            </w:pPr>
            <w:r>
              <w:rPr>
                <w:sz w:val="15"/>
              </w:rPr>
              <w:t>ParticleMover_MeanFreePathScattering</w:t>
            </w:r>
          </w:p>
        </w:tc>
        <w:tc>
          <w:tcPr>
            <w:tcW w:type="dxa" w:w="1584"/>
            <w:tcMar>
              <w:top w:w="90" w:type="dxa"/>
              <w:start w:w="110" w:type="dxa"/>
              <w:bottom w:w="90" w:type="dxa"/>
              <w:end w:w="110" w:type="dxa"/>
            </w:tcMar>
            <w:vAlign w:val="center"/>
          </w:tcPr>
          <w:p>
            <w:pPr>
              <w:spacing w:after="0"/>
            </w:pPr>
            <w:r>
              <w:rPr>
                <w:sz w:val="15"/>
              </w:rPr>
              <w:t>Field line historical</w:t>
            </w:r>
          </w:p>
        </w:tc>
        <w:tc>
          <w:tcPr>
            <w:tcW w:type="dxa" w:w="1224"/>
            <w:tcMar>
              <w:top w:w="90" w:type="dxa"/>
              <w:start w:w="110" w:type="dxa"/>
              <w:bottom w:w="90" w:type="dxa"/>
              <w:end w:w="110" w:type="dxa"/>
            </w:tcMar>
            <w:vAlign w:val="center"/>
          </w:tcPr>
          <w:p>
            <w:pPr>
              <w:spacing w:after="0"/>
            </w:pPr>
            <w:r>
              <w:rPr>
                <w:sz w:val="15"/>
              </w:rPr>
              <w:t>Merge</w:t>
            </w:r>
          </w:p>
        </w:tc>
        <w:tc>
          <w:tcPr>
            <w:tcW w:type="dxa" w:w="4320"/>
            <w:tcMar>
              <w:top w:w="90" w:type="dxa"/>
              <w:start w:w="110" w:type="dxa"/>
              <w:bottom w:w="90" w:type="dxa"/>
              <w:end w:w="110" w:type="dxa"/>
            </w:tcMar>
            <w:vAlign w:val="center"/>
          </w:tcPr>
          <w:p>
            <w:pPr>
              <w:spacing w:after="0"/>
            </w:pPr>
            <w:r>
              <w:rPr>
                <w:sz w:val="15"/>
              </w:rPr>
              <w:t>Move reusable event sampling into fte-mfp</w:t>
            </w:r>
          </w:p>
        </w:tc>
      </w:tr>
      <w:tr>
        <w:trPr>
          <w:cantSplit/>
        </w:trPr>
        <w:tc>
          <w:tcPr>
            <w:tcW w:type="dxa" w:w="2664"/>
            <w:shd w:fill="EAF1F8"/>
            <w:tcMar>
              <w:top w:w="90" w:type="dxa"/>
              <w:start w:w="110" w:type="dxa"/>
              <w:bottom w:w="90" w:type="dxa"/>
              <w:end w:w="110" w:type="dxa"/>
            </w:tcMar>
            <w:vAlign w:val="center"/>
          </w:tcPr>
          <w:p>
            <w:pPr>
              <w:spacing w:after="0"/>
              <w:jc w:val="center"/>
            </w:pPr>
            <w:r>
              <w:rPr>
                <w:sz w:val="15"/>
              </w:rPr>
              <w:t>ParticleMover_FocusedTransport_WaveScattering</w:t>
            </w:r>
          </w:p>
        </w:tc>
        <w:tc>
          <w:tcPr>
            <w:tcW w:type="dxa" w:w="1584"/>
            <w:shd w:fill="EAF1F8"/>
            <w:tcMar>
              <w:top w:w="90" w:type="dxa"/>
              <w:start w:w="110" w:type="dxa"/>
              <w:bottom w:w="90" w:type="dxa"/>
              <w:end w:w="110" w:type="dxa"/>
            </w:tcMar>
            <w:vAlign w:val="center"/>
          </w:tcPr>
          <w:p>
            <w:pPr>
              <w:spacing w:after="0"/>
            </w:pPr>
            <w:r>
              <w:rPr>
                <w:sz w:val="15"/>
              </w:rPr>
              <w:t>Field line experimental</w:t>
            </w:r>
          </w:p>
        </w:tc>
        <w:tc>
          <w:tcPr>
            <w:tcW w:type="dxa" w:w="1224"/>
            <w:shd w:fill="EAF1F8"/>
            <w:tcMar>
              <w:top w:w="90" w:type="dxa"/>
              <w:start w:w="110" w:type="dxa"/>
              <w:bottom w:w="90" w:type="dxa"/>
              <w:end w:w="110" w:type="dxa"/>
            </w:tcMar>
            <w:vAlign w:val="center"/>
          </w:tcPr>
          <w:p>
            <w:pPr>
              <w:spacing w:after="0"/>
            </w:pPr>
            <w:r>
              <w:rPr>
                <w:sz w:val="15"/>
              </w:rPr>
              <w:t>Internalize</w:t>
            </w:r>
          </w:p>
        </w:tc>
        <w:tc>
          <w:tcPr>
            <w:tcW w:type="dxa" w:w="4320"/>
            <w:shd w:fill="EAF1F8"/>
            <w:tcMar>
              <w:top w:w="90" w:type="dxa"/>
              <w:start w:w="110" w:type="dxa"/>
              <w:bottom w:w="90" w:type="dxa"/>
              <w:end w:w="110" w:type="dxa"/>
            </w:tcMar>
            <w:vAlign w:val="center"/>
          </w:tcPr>
          <w:p>
            <w:pPr>
              <w:spacing w:after="0"/>
            </w:pPr>
            <w:r>
              <w:rPr>
                <w:sz w:val="15"/>
              </w:rPr>
              <w:t>Retain wave-frame kernels and tests; remove direct shared wave-energy updates from mover</w:t>
            </w:r>
          </w:p>
        </w:tc>
      </w:tr>
    </w:tbl>
    <w:p>
      <w:pPr>
        <w:spacing w:after="20"/>
      </w:pPr>
    </w:p>
    <w:p>
      <w:pPr>
        <w:pStyle w:val="Heading2"/>
        <w:keepNext/>
      </w:pPr>
      <w:r>
        <w:t>2.1 Code that remains in srcSEP</w:t>
      </w:r>
    </w:p>
    <w:p>
      <w:pPr>
        <w:spacing w:after="60"/>
        <w:ind w:left="360" w:hanging="288"/>
      </w:pPr>
      <w:r>
        <w:t>•  Three-dimensional Cartesian field-line positions, tangents, magnetic vectors, shock normals, and Parker geometry.</w:t>
      </w:r>
    </w:p>
    <w:p>
      <w:pPr>
        <w:spacing w:after="60"/>
        <w:ind w:left="360" w:hanging="288"/>
      </w:pPr>
      <w:r>
        <w:t>•  Field-line import and update through AMPS and SWMF.</w:t>
      </w:r>
    </w:p>
    <w:p>
      <w:pPr>
        <w:spacing w:after="60"/>
        <w:ind w:left="360" w:hanging="288"/>
      </w:pPr>
      <w:r>
        <w:t>•  Shock intersection and particle injection onto a field line.</w:t>
      </w:r>
    </w:p>
    <w:p>
      <w:pPr>
        <w:spacing w:after="60"/>
        <w:ind w:left="360" w:hanging="288"/>
      </w:pPr>
      <w:r>
        <w:t>•  Field-line sampling of intensity, fluence, pitch angle, anisotropy, energy, and turbulence.</w:t>
      </w:r>
    </w:p>
    <w:p>
      <w:pPr>
        <w:spacing w:after="60"/>
        <w:ind w:left="360" w:hanging="288"/>
      </w:pPr>
      <w:r>
        <w:t>•  Alfven-wave transport and particle-wave coupling along the field line.</w:t>
      </w:r>
    </w:p>
    <w:p>
      <w:pPr>
        <w:pStyle w:val="Heading2"/>
        <w:keepNext/>
      </w:pPr>
      <w:r>
        <w:t>2.2 Code transferred to the separate application</w:t>
      </w:r>
    </w:p>
    <w:p>
      <w:pPr>
        <w:spacing w:after="60"/>
        <w:ind w:left="360" w:hanging="288"/>
      </w:pPr>
      <w:r>
        <w:t>•  Cartesian Boris and guiding-center mover selection from srcSEP.</w:t>
      </w:r>
    </w:p>
    <w:p>
      <w:pPr>
        <w:spacing w:after="60"/>
        <w:ind w:left="360" w:hanging="288"/>
      </w:pPr>
      <w:r>
        <w:t>•  Drift-velocity movers and their three-dimensional derivative stencils.</w:t>
      </w:r>
    </w:p>
    <w:p>
      <w:pPr>
        <w:spacing w:after="60"/>
        <w:ind w:left="360" w:hanging="288"/>
      </w:pPr>
      <w:r>
        <w:t>•  Mesh-cell particle-list attachment used only by full three-dimensional motion.</w:t>
      </w:r>
    </w:p>
    <w:p>
      <w:pPr>
        <w:spacing w:after="60"/>
        <w:ind w:left="360" w:hanging="288"/>
      </w:pPr>
      <w:r>
        <w:t>•  Perpendicular spatial diffusion and changes of Cartesian particle position outside the assigned field line.</w:t>
      </w:r>
    </w:p>
    <w:p>
      <w:pPr>
        <w:spacing w:after="60"/>
        <w:ind w:left="360" w:hanging="288"/>
      </w:pPr>
      <w:r>
        <w:t>•  The Sample3D implementation if the separate application owns all full-volume particle sampling. Field-line observers and Cartesian coordinates of points on a field line remain in srcSEP.</w:t>
      </w:r>
    </w:p>
    <w:p>
      <w:pPr>
        <w:keepLines w:val="0"/>
      </w:pPr>
      <w:r>
        <w:rPr>
          <w:b/>
        </w:rPr>
        <w:t xml:space="preserve">Transfer control  </w:t>
      </w:r>
      <w:r>
        <w:t>Before deleting any function, record its source path, public symbol, dependent macros, test coverage, and destination commit in a migration manifest. Create a permanent repository tag for the last combined version. Do not keep a second unmaintained legacy copy inside srcSEP.</w:t>
      </w:r>
    </w:p>
    <w:p>
      <w:pPr>
        <w:pStyle w:val="Heading1"/>
        <w:keepNext/>
      </w:pPr>
      <w:r>
        <w:t>3 Target physics for the three production movers</w:t>
      </w:r>
    </w:p>
    <w:p>
      <w:pPr>
        <w:pStyle w:val="Heading2"/>
        <w:keepNext/>
      </w:pPr>
      <w:r>
        <w:t>3.1 Shared field line state</w:t>
      </w:r>
    </w:p>
    <w:p>
      <w:pPr>
        <w:keepLines w:val="0"/>
      </w:pPr>
      <w:r>
        <w:t>All three movers will advance the same particle state and the same background query. A particle contains species, statistical weight, field-line identifier, field-line coordinate s, momentum p, and pitch-angle cosine mu when required. The background query returns position, tangent, magnetic field, magnetic-field focusing length, plasma velocity parallel to the line, velocity divergence, number and mass density, temperature or pressure, turbulence, and shock information at one timestamp.</w:t>
      </w:r>
    </w:p>
    <w:p>
      <w:pPr>
        <w:pStyle w:val="Code"/>
        <w:keepLines/>
        <w:spacing w:after="0"/>
      </w:pPr>
      <w:r>
        <w:t>enum class ProductionMover {</w:t>
      </w:r>
    </w:p>
    <w:p>
      <w:pPr>
        <w:pStyle w:val="Code"/>
        <w:keepLines/>
        <w:spacing w:after="0"/>
      </w:pPr>
      <w:r>
        <w:t xml:space="preserve">  Parker,</w:t>
      </w:r>
    </w:p>
    <w:p>
      <w:pPr>
        <w:pStyle w:val="Code"/>
        <w:keepLines/>
        <w:spacing w:after="0"/>
      </w:pPr>
      <w:r>
        <w:t xml:space="preserve">  FocusedTransportDiffusion,</w:t>
      </w:r>
    </w:p>
    <w:p>
      <w:pPr>
        <w:pStyle w:val="Code"/>
        <w:keepLines/>
        <w:spacing w:after="0"/>
      </w:pPr>
      <w:r>
        <w:t xml:space="preserve">  FocusedTransportMeanFreePath</w:t>
      </w:r>
    </w:p>
    <w:p>
      <w:pPr>
        <w:pStyle w:val="Code"/>
        <w:keepLines/>
        <w:spacing w:after="0"/>
      </w:pPr>
      <w:r>
        <w:t>};</w:t>
      </w:r>
    </w:p>
    <w:p>
      <w:pPr>
        <w:pStyle w:val="Code"/>
        <w:keepLines/>
        <w:spacing w:after="0"/>
      </w:pPr>
      <w:r/>
    </w:p>
    <w:p>
      <w:pPr>
        <w:pStyle w:val="Code"/>
        <w:keepLines/>
        <w:spacing w:after="0"/>
      </w:pPr>
      <w:r>
        <w:t>struct FieldLineState {</w:t>
      </w:r>
    </w:p>
    <w:p>
      <w:pPr>
        <w:pStyle w:val="Code"/>
        <w:keepLines/>
        <w:spacing w:after="0"/>
      </w:pPr>
      <w:r>
        <w:t xml:space="preserve">  double time_s;</w:t>
      </w:r>
    </w:p>
    <w:p>
      <w:pPr>
        <w:pStyle w:val="Code"/>
        <w:keepLines/>
        <w:spacing w:after="0"/>
      </w:pPr>
      <w:r>
        <w:t xml:space="preserve">  int field_line_id;</w:t>
      </w:r>
    </w:p>
    <w:p>
      <w:pPr>
        <w:pStyle w:val="Code"/>
        <w:keepLines/>
        <w:spacing w:after="0"/>
      </w:pPr>
      <w:r>
        <w:t xml:space="preserve">  double s;</w:t>
      </w:r>
    </w:p>
    <w:p>
      <w:pPr>
        <w:pStyle w:val="Code"/>
        <w:keepLines/>
        <w:spacing w:after="0"/>
      </w:pPr>
      <w:r>
        <w:t xml:space="preserve">  Vec3 position_m;</w:t>
      </w:r>
    </w:p>
    <w:p>
      <w:pPr>
        <w:pStyle w:val="Code"/>
        <w:keepLines/>
        <w:spacing w:after="0"/>
      </w:pPr>
      <w:r>
        <w:t xml:space="preserve">  Vec3 tangent;</w:t>
      </w:r>
    </w:p>
    <w:p>
      <w:pPr>
        <w:pStyle w:val="Code"/>
        <w:keepLines/>
        <w:spacing w:after="0"/>
      </w:pPr>
      <w:r>
        <w:t xml:space="preserve">  Vec3 magnetic_field_T;</w:t>
      </w:r>
    </w:p>
    <w:p>
      <w:pPr>
        <w:pStyle w:val="Code"/>
        <w:keepLines/>
        <w:spacing w:after="0"/>
      </w:pPr>
      <w:r>
        <w:t xml:space="preserve">  double focusing_length_m;</w:t>
      </w:r>
    </w:p>
    <w:p>
      <w:pPr>
        <w:pStyle w:val="Code"/>
        <w:keepLines/>
        <w:spacing w:after="0"/>
      </w:pPr>
      <w:r>
        <w:t xml:space="preserve">  double plasma_speed_parallel_ms;</w:t>
      </w:r>
    </w:p>
    <w:p>
      <w:pPr>
        <w:pStyle w:val="Code"/>
        <w:keepLines/>
        <w:spacing w:after="0"/>
      </w:pPr>
      <w:r>
        <w:t xml:space="preserve">  double divergence_sinv;</w:t>
      </w:r>
    </w:p>
    <w:p>
      <w:pPr>
        <w:pStyle w:val="Code"/>
        <w:keepLines/>
        <w:spacing w:after="0"/>
      </w:pPr>
      <w:r>
        <w:t xml:space="preserve">  double number_density_m3;</w:t>
      </w:r>
    </w:p>
    <w:p>
      <w:pPr>
        <w:pStyle w:val="Code"/>
        <w:keepLines/>
        <w:spacing w:after="0"/>
      </w:pPr>
      <w:r>
        <w:t xml:space="preserve">  double mass_density_kgm3;</w:t>
      </w:r>
    </w:p>
    <w:p>
      <w:pPr>
        <w:pStyle w:val="Code"/>
        <w:keepLines/>
        <w:spacing w:after="0"/>
      </w:pPr>
      <w:r>
        <w:t xml:space="preserve">  TurbulenceState turbulence;</w:t>
      </w:r>
    </w:p>
    <w:p>
      <w:pPr>
        <w:pStyle w:val="Code"/>
        <w:keepLines/>
        <w:spacing w:after="0"/>
      </w:pPr>
      <w:r>
        <w:t xml:space="preserve">  ShockState shock;</w:t>
      </w:r>
    </w:p>
    <w:p>
      <w:pPr>
        <w:pStyle w:val="Code"/>
        <w:keepLines/>
        <w:spacing w:after="0"/>
      </w:pPr>
      <w:r>
        <w:t xml:space="preserve">  BackgroundProvenance provenance;</w:t>
      </w:r>
    </w:p>
    <w:p>
      <w:pPr>
        <w:pStyle w:val="Code"/>
        <w:keepLines/>
        <w:spacing w:after="0"/>
      </w:pPr>
      <w:r>
        <w:t>};</w:t>
      </w:r>
    </w:p>
    <w:p>
      <w:pPr>
        <w:spacing w:after="20"/>
      </w:pPr>
    </w:p>
    <w:p>
      <w:pPr>
        <w:keepLines w:val="0"/>
      </w:pPr>
      <w:r>
        <w:t>The state object is immutable after publication. Its epoch must equal the epoch requested by the particle step. A stale or cross-provider state is an error in strict production mode. This change also fixes the present SWCME ordering defect in which the particle step can use an uninitialized or previous-time state.</w:t>
      </w:r>
    </w:p>
    <w:p>
      <w:pPr>
        <w:pStyle w:val="Heading2"/>
        <w:keepNext/>
      </w:pPr>
      <w:r>
        <w:t>3.2 Parker production mover</w:t>
      </w:r>
    </w:p>
    <w:p>
      <w:pPr>
        <w:keepLines w:val="0"/>
      </w:pPr>
      <w:r>
        <w:t>The Parker mover solves the gyrotropic but pitch-angle-averaged transport equation along each field line. Its stochastic coordinate is s and its momentum changes through solar-wind compression or expansion. It does not carry or evolve an individual pitch angle as a physical state variable. The spatial diffusion coefficient kappa parallel is obtained from an explicit provider and must be independent of which background provider supplied the line.</w:t>
      </w:r>
    </w:p>
    <w:p>
      <w:pPr>
        <w:keepLines w:val="0"/>
      </w:pPr>
      <w:r>
        <w:rPr>
          <w:b/>
        </w:rPr>
        <w:t xml:space="preserve">Recommended field-line equation  </w:t>
      </w:r>
      <w:r>
        <w:t>df/dt + Vparallel df/ds = d/ds(kappa_parallel df/ds) + (1/3)(div V) d f/d ln p + Q, with the metric and tube-area terms included for a nonuniform field-line coordinate.</w:t>
      </w:r>
    </w:p>
    <w:p>
      <w:pPr>
        <w:spacing w:after="60"/>
        <w:ind w:left="360" w:hanging="288"/>
      </w:pPr>
      <w:r>
        <w:t>•  Advance s with convection, the spatial-diffusion drift derivative, and a stochastic increment whose variance is 2 kappa_parallel dt.</w:t>
      </w:r>
    </w:p>
    <w:p>
      <w:pPr>
        <w:spacing w:after="60"/>
        <w:ind w:left="360" w:hanging="288"/>
      </w:pPr>
      <w:r>
        <w:t>•  Advance momentum with dp/dt = -(p/3) div V using a stable exponential or second-order update.</w:t>
      </w:r>
    </w:p>
    <w:p>
      <w:pPr>
        <w:spacing w:after="60"/>
        <w:ind w:left="360" w:hanging="288"/>
      </w:pPr>
      <w:r>
        <w:t>•  Evaluate kappa_parallel and its field-line derivative at a declared temporal location, preferably the midpoint snapshot for second-order runs.</w:t>
      </w:r>
    </w:p>
    <w:p>
      <w:pPr>
        <w:spacing w:after="60"/>
        <w:ind w:left="360" w:hanging="288"/>
      </w:pPr>
      <w:r>
        <w:t>•  Use absorbing, reflecting, or prescribed-flux boundaries selected through a common boundary policy.</w:t>
      </w:r>
    </w:p>
    <w:p>
      <w:pPr>
        <w:spacing w:after="60"/>
        <w:ind w:left="360" w:hanging="288"/>
      </w:pPr>
      <w:r>
        <w:t>•  Do not use pitch-angle diffusion, wave-frame scattering events, or perpendicular displacement inside this mover.</w:t>
      </w:r>
    </w:p>
    <w:p>
      <w:pPr>
        <w:pStyle w:val="Heading2"/>
        <w:keepNext/>
      </w:pPr>
      <w:r>
        <w:t>3.3 Focused transport diffusion mover</w:t>
      </w:r>
    </w:p>
    <w:p>
      <w:pPr>
        <w:keepLines w:val="0"/>
      </w:pPr>
      <w:r>
        <w:t>The fte-dmumu mover solves the pitch-angle-resolved focused transport equation by an Ito or equivalent stochastic differential equation. Its coefficient provider returns Dmumu and dDmumu/dmu from the selected prescribed, self-consistent, or SWMF turbulence state. The implementation must include both the diffusion amplitude and the diffusion drift required by d/dmu(Dmumu df/dmu).</w:t>
      </w:r>
    </w:p>
    <w:p>
      <w:pPr>
        <w:keepLines w:val="0"/>
      </w:pPr>
      <w:r>
        <w:rPr>
          <w:b/>
        </w:rPr>
        <w:t xml:space="preserve">Required terms  </w:t>
      </w:r>
      <w:r>
        <w:t>Parallel streaming, field-line motion or plasma convection in the declared coordinate frame, magnetic focusing, pitch-angle diffusion, pitch-angle drift, adiabatic momentum change, shock injection, and boundary handling.</w:t>
      </w:r>
    </w:p>
    <w:p>
      <w:pPr>
        <w:spacing w:after="60"/>
        <w:ind w:left="360" w:hanging="288"/>
      </w:pPr>
      <w:r>
        <w:t>•  Use the actual vector magnetic field and focusing derivative from FieldLineState. Remove the hard-coded 5 nT and 2 nT radial QLT wrapper from the mover path.</w:t>
      </w:r>
    </w:p>
    <w:p>
      <w:pPr>
        <w:spacing w:after="60"/>
        <w:ind w:left="360" w:hanging="288"/>
      </w:pPr>
      <w:r>
        <w:t>•  Require Dmumu to be finite and nonnegative and to have units of inverse seconds.</w:t>
      </w:r>
    </w:p>
    <w:p>
      <w:pPr>
        <w:spacing w:after="60"/>
        <w:ind w:left="360" w:hanging="288"/>
      </w:pPr>
      <w:r>
        <w:t>•  Handle mu equal to zero and the limits near plus or minus one without division by zero, bin clamping, or artificial isotropization.</w:t>
      </w:r>
    </w:p>
    <w:p>
      <w:pPr>
        <w:spacing w:after="60"/>
        <w:ind w:left="360" w:hanging="288"/>
      </w:pPr>
      <w:r>
        <w:t>•  Reflect stochastic overshoots at the physical pitch-angle boundaries or use a transformed coordinate that enforces the interval by construction.</w:t>
      </w:r>
    </w:p>
    <w:p>
      <w:pPr>
        <w:spacing w:after="60"/>
        <w:ind w:left="360" w:hanging="288"/>
      </w:pPr>
      <w:r>
        <w:t>•  Subcycle based on streaming across a segment, focusing change, stochastic pitch-angle change, momentum change, background validity interval, and shock crossing time.</w:t>
      </w:r>
    </w:p>
    <w:p>
      <w:pPr>
        <w:pStyle w:val="Heading2"/>
        <w:keepNext/>
      </w:pPr>
      <w:r>
        <w:t>3.4 Focused transport mean free path mover</w:t>
      </w:r>
    </w:p>
    <w:p>
      <w:pPr>
        <w:keepLines w:val="0"/>
      </w:pPr>
      <w:r>
        <w:t>The fte-mfp mover keeps the pitch-angle-resolved focused-transport state but receives a parallel mean free path lambda parallel rather than an explicit Dmumu function. To keep this mover physically distinct from fte-dmumu, use an event-driven scattering closure. The provider returns lambda parallel in meters; the mover derives a scattering rate, samples the next event, propagates between events, and performs the documented wave-frame pitch-angle redistribution at an event.</w:t>
      </w:r>
    </w:p>
    <w:p>
      <w:pPr>
        <w:spacing w:after="60"/>
        <w:ind w:left="360" w:hanging="288"/>
      </w:pPr>
      <w:r>
        <w:t>•  Derive the event rate from the declared closure, for example nu = v/lambda_parallel, with any numerical factor stated in the API rather than hidden in the mover.</w:t>
      </w:r>
    </w:p>
    <w:p>
      <w:pPr>
        <w:spacing w:after="60"/>
        <w:ind w:left="360" w:hanging="288"/>
      </w:pPr>
      <w:r>
        <w:t>•  Sample exponential waiting times from a particle-specific random stream.</w:t>
      </w:r>
    </w:p>
    <w:p>
      <w:pPr>
        <w:spacing w:after="60"/>
        <w:ind w:left="360" w:hanging="288"/>
      </w:pPr>
      <w:r>
        <w:t>•  Apply focusing and adiabatic momentum evolution during the deterministic interval between events.</w:t>
      </w:r>
    </w:p>
    <w:p>
      <w:pPr>
        <w:spacing w:after="60"/>
        <w:ind w:left="360" w:hanging="288"/>
      </w:pPr>
      <w:r>
        <w:t>•  Select the Alfven-wave branch from a documented resonance rule and use a consistent plasma-to-wave and wave-to-plasma Lorentz transformation.</w:t>
      </w:r>
    </w:p>
    <w:p>
      <w:pPr>
        <w:spacing w:after="60"/>
        <w:ind w:left="360" w:hanging="288"/>
      </w:pPr>
      <w:r>
        <w:t>•  Do not directly modify shared turbulence arrays inside the mover. Record the particle energy and streaming exchange in a thread-local accumulator.</w:t>
      </w:r>
    </w:p>
    <w:p>
      <w:pPr>
        <w:spacing w:after="60"/>
        <w:ind w:left="360" w:hanging="288"/>
      </w:pPr>
      <w:r>
        <w:t>•  Treat an invalid mean free path as an explicit status. A fallback to ballistic motion may be permitted only through a named user policy and must be counted in output metadata.</w:t>
      </w:r>
    </w:p>
    <w:p>
      <w:pPr>
        <w:pStyle w:val="Heading2"/>
        <w:keepNext/>
      </w:pPr>
      <w:r>
        <w:t>3.5 Cross mover consistency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1944"/>
            <w:shd w:fill="17365D"/>
            <w:tcMar>
              <w:top w:w="90" w:type="dxa"/>
              <w:start w:w="110" w:type="dxa"/>
              <w:bottom w:w="90" w:type="dxa"/>
              <w:end w:w="110" w:type="dxa"/>
            </w:tcMar>
            <w:vAlign w:val="center"/>
          </w:tcPr>
          <w:p>
            <w:pPr>
              <w:spacing w:after="0"/>
              <w:jc w:val="center"/>
            </w:pPr>
            <w:r>
              <w:rPr>
                <w:b/>
                <w:color w:val="FFFFFF"/>
                <w:sz w:val="16"/>
              </w:rPr>
              <w:t>Property</w:t>
            </w:r>
          </w:p>
        </w:tc>
        <w:tc>
          <w:tcPr>
            <w:tcW w:type="dxa" w:w="2520"/>
            <w:shd w:fill="17365D"/>
            <w:tcMar>
              <w:top w:w="90" w:type="dxa"/>
              <w:start w:w="110" w:type="dxa"/>
              <w:bottom w:w="90" w:type="dxa"/>
              <w:end w:w="110" w:type="dxa"/>
            </w:tcMar>
            <w:vAlign w:val="center"/>
          </w:tcPr>
          <w:p>
            <w:pPr>
              <w:spacing w:after="0"/>
              <w:jc w:val="center"/>
            </w:pPr>
            <w:r>
              <w:rPr>
                <w:b/>
                <w:color w:val="FFFFFF"/>
                <w:sz w:val="16"/>
              </w:rPr>
              <w:t>Parker</w:t>
            </w:r>
          </w:p>
        </w:tc>
        <w:tc>
          <w:tcPr>
            <w:tcW w:type="dxa" w:w="2664"/>
            <w:shd w:fill="17365D"/>
            <w:tcMar>
              <w:top w:w="90" w:type="dxa"/>
              <w:start w:w="110" w:type="dxa"/>
              <w:bottom w:w="90" w:type="dxa"/>
              <w:end w:w="110" w:type="dxa"/>
            </w:tcMar>
            <w:vAlign w:val="center"/>
          </w:tcPr>
          <w:p>
            <w:pPr>
              <w:spacing w:after="0"/>
              <w:jc w:val="center"/>
            </w:pPr>
            <w:r>
              <w:rPr>
                <w:b/>
                <w:color w:val="FFFFFF"/>
                <w:sz w:val="16"/>
              </w:rPr>
              <w:t>FTE Dmumu</w:t>
            </w:r>
          </w:p>
        </w:tc>
        <w:tc>
          <w:tcPr>
            <w:tcW w:type="dxa" w:w="2664"/>
            <w:shd w:fill="17365D"/>
            <w:tcMar>
              <w:top w:w="90" w:type="dxa"/>
              <w:start w:w="110" w:type="dxa"/>
              <w:bottom w:w="90" w:type="dxa"/>
              <w:end w:w="110" w:type="dxa"/>
            </w:tcMar>
            <w:vAlign w:val="center"/>
          </w:tcPr>
          <w:p>
            <w:pPr>
              <w:spacing w:after="0"/>
              <w:jc w:val="center"/>
            </w:pPr>
            <w:r>
              <w:rPr>
                <w:b/>
                <w:color w:val="FFFFFF"/>
                <w:sz w:val="16"/>
              </w:rPr>
              <w:t>FTE MFP</w:t>
            </w:r>
          </w:p>
        </w:tc>
      </w:tr>
      <w:tr>
        <w:trPr>
          <w:cantSplit/>
        </w:trPr>
        <w:tc>
          <w:tcPr>
            <w:tcW w:type="dxa" w:w="1944"/>
            <w:tcMar>
              <w:top w:w="90" w:type="dxa"/>
              <w:start w:w="110" w:type="dxa"/>
              <w:bottom w:w="90" w:type="dxa"/>
              <w:end w:w="110" w:type="dxa"/>
            </w:tcMar>
            <w:vAlign w:val="center"/>
          </w:tcPr>
          <w:p>
            <w:pPr>
              <w:spacing w:after="0"/>
              <w:jc w:val="center"/>
            </w:pPr>
            <w:r>
              <w:rPr>
                <w:sz w:val="16"/>
              </w:rPr>
              <w:t>State variables</w:t>
            </w:r>
          </w:p>
        </w:tc>
        <w:tc>
          <w:tcPr>
            <w:tcW w:type="dxa" w:w="2520"/>
            <w:tcMar>
              <w:top w:w="90" w:type="dxa"/>
              <w:start w:w="110" w:type="dxa"/>
              <w:bottom w:w="90" w:type="dxa"/>
              <w:end w:w="110" w:type="dxa"/>
            </w:tcMar>
            <w:vAlign w:val="center"/>
          </w:tcPr>
          <w:p>
            <w:pPr>
              <w:spacing w:after="0"/>
            </w:pPr>
            <w:r>
              <w:rPr>
                <w:sz w:val="16"/>
              </w:rPr>
              <w:t>s and p</w:t>
            </w:r>
          </w:p>
        </w:tc>
        <w:tc>
          <w:tcPr>
            <w:tcW w:type="dxa" w:w="2664"/>
            <w:tcMar>
              <w:top w:w="90" w:type="dxa"/>
              <w:start w:w="110" w:type="dxa"/>
              <w:bottom w:w="90" w:type="dxa"/>
              <w:end w:w="110" w:type="dxa"/>
            </w:tcMar>
            <w:vAlign w:val="center"/>
          </w:tcPr>
          <w:p>
            <w:pPr>
              <w:spacing w:after="0"/>
            </w:pPr>
            <w:r>
              <w:rPr>
                <w:sz w:val="16"/>
              </w:rPr>
              <w:t>s p and mu</w:t>
            </w:r>
          </w:p>
        </w:tc>
        <w:tc>
          <w:tcPr>
            <w:tcW w:type="dxa" w:w="2664"/>
            <w:tcMar>
              <w:top w:w="90" w:type="dxa"/>
              <w:start w:w="110" w:type="dxa"/>
              <w:bottom w:w="90" w:type="dxa"/>
              <w:end w:w="110" w:type="dxa"/>
            </w:tcMar>
            <w:vAlign w:val="center"/>
          </w:tcPr>
          <w:p>
            <w:pPr>
              <w:spacing w:after="0"/>
            </w:pPr>
            <w:r>
              <w:rPr>
                <w:sz w:val="16"/>
              </w:rPr>
              <w:t>s p and mu</w:t>
            </w:r>
          </w:p>
        </w:tc>
      </w:tr>
      <w:tr>
        <w:trPr>
          <w:cantSplit/>
        </w:trPr>
        <w:tc>
          <w:tcPr>
            <w:tcW w:type="dxa" w:w="1944"/>
            <w:shd w:fill="EAF1F8"/>
            <w:tcMar>
              <w:top w:w="90" w:type="dxa"/>
              <w:start w:w="110" w:type="dxa"/>
              <w:bottom w:w="90" w:type="dxa"/>
              <w:end w:w="110" w:type="dxa"/>
            </w:tcMar>
            <w:vAlign w:val="center"/>
          </w:tcPr>
          <w:p>
            <w:pPr>
              <w:spacing w:after="0"/>
              <w:jc w:val="center"/>
            </w:pPr>
            <w:r>
              <w:rPr>
                <w:sz w:val="16"/>
              </w:rPr>
              <w:t>Scattering input</w:t>
            </w:r>
          </w:p>
        </w:tc>
        <w:tc>
          <w:tcPr>
            <w:tcW w:type="dxa" w:w="2520"/>
            <w:shd w:fill="EAF1F8"/>
            <w:tcMar>
              <w:top w:w="90" w:type="dxa"/>
              <w:start w:w="110" w:type="dxa"/>
              <w:bottom w:w="90" w:type="dxa"/>
              <w:end w:w="110" w:type="dxa"/>
            </w:tcMar>
            <w:vAlign w:val="center"/>
          </w:tcPr>
          <w:p>
            <w:pPr>
              <w:spacing w:after="0"/>
            </w:pPr>
            <w:r>
              <w:rPr>
                <w:sz w:val="16"/>
              </w:rPr>
              <w:t>kappa parallel</w:t>
            </w:r>
          </w:p>
        </w:tc>
        <w:tc>
          <w:tcPr>
            <w:tcW w:type="dxa" w:w="2664"/>
            <w:shd w:fill="EAF1F8"/>
            <w:tcMar>
              <w:top w:w="90" w:type="dxa"/>
              <w:start w:w="110" w:type="dxa"/>
              <w:bottom w:w="90" w:type="dxa"/>
              <w:end w:w="110" w:type="dxa"/>
            </w:tcMar>
            <w:vAlign w:val="center"/>
          </w:tcPr>
          <w:p>
            <w:pPr>
              <w:spacing w:after="0"/>
            </w:pPr>
            <w:r>
              <w:rPr>
                <w:sz w:val="16"/>
              </w:rPr>
              <w:t>Dmumu and derivative</w:t>
            </w:r>
          </w:p>
        </w:tc>
        <w:tc>
          <w:tcPr>
            <w:tcW w:type="dxa" w:w="2664"/>
            <w:shd w:fill="EAF1F8"/>
            <w:tcMar>
              <w:top w:w="90" w:type="dxa"/>
              <w:start w:w="110" w:type="dxa"/>
              <w:bottom w:w="90" w:type="dxa"/>
              <w:end w:w="110" w:type="dxa"/>
            </w:tcMar>
            <w:vAlign w:val="center"/>
          </w:tcPr>
          <w:p>
            <w:pPr>
              <w:spacing w:after="0"/>
            </w:pPr>
            <w:r>
              <w:rPr>
                <w:sz w:val="16"/>
              </w:rPr>
              <w:t>lambda parallel and event law</w:t>
            </w:r>
          </w:p>
        </w:tc>
      </w:tr>
      <w:tr>
        <w:trPr>
          <w:cantSplit/>
        </w:trPr>
        <w:tc>
          <w:tcPr>
            <w:tcW w:type="dxa" w:w="1944"/>
            <w:tcMar>
              <w:top w:w="90" w:type="dxa"/>
              <w:start w:w="110" w:type="dxa"/>
              <w:bottom w:w="90" w:type="dxa"/>
              <w:end w:w="110" w:type="dxa"/>
            </w:tcMar>
            <w:vAlign w:val="center"/>
          </w:tcPr>
          <w:p>
            <w:pPr>
              <w:spacing w:after="0"/>
              <w:jc w:val="center"/>
            </w:pPr>
            <w:r>
              <w:rPr>
                <w:sz w:val="16"/>
              </w:rPr>
              <w:t>Scattering algorithm</w:t>
            </w:r>
          </w:p>
        </w:tc>
        <w:tc>
          <w:tcPr>
            <w:tcW w:type="dxa" w:w="2520"/>
            <w:tcMar>
              <w:top w:w="90" w:type="dxa"/>
              <w:start w:w="110" w:type="dxa"/>
              <w:bottom w:w="90" w:type="dxa"/>
              <w:end w:w="110" w:type="dxa"/>
            </w:tcMar>
            <w:vAlign w:val="center"/>
          </w:tcPr>
          <w:p>
            <w:pPr>
              <w:spacing w:after="0"/>
            </w:pPr>
            <w:r>
              <w:rPr>
                <w:sz w:val="16"/>
              </w:rPr>
              <w:t>Spatial diffusion SDE</w:t>
            </w:r>
          </w:p>
        </w:tc>
        <w:tc>
          <w:tcPr>
            <w:tcW w:type="dxa" w:w="2664"/>
            <w:tcMar>
              <w:top w:w="90" w:type="dxa"/>
              <w:start w:w="110" w:type="dxa"/>
              <w:bottom w:w="90" w:type="dxa"/>
              <w:end w:w="110" w:type="dxa"/>
            </w:tcMar>
            <w:vAlign w:val="center"/>
          </w:tcPr>
          <w:p>
            <w:pPr>
              <w:spacing w:after="0"/>
            </w:pPr>
            <w:r>
              <w:rPr>
                <w:sz w:val="16"/>
              </w:rPr>
              <w:t>Continuous pitch-angle SDE</w:t>
            </w:r>
          </w:p>
        </w:tc>
        <w:tc>
          <w:tcPr>
            <w:tcW w:type="dxa" w:w="2664"/>
            <w:tcMar>
              <w:top w:w="90" w:type="dxa"/>
              <w:start w:w="110" w:type="dxa"/>
              <w:bottom w:w="90" w:type="dxa"/>
              <w:end w:w="110" w:type="dxa"/>
            </w:tcMar>
            <w:vAlign w:val="center"/>
          </w:tcPr>
          <w:p>
            <w:pPr>
              <w:spacing w:after="0"/>
            </w:pPr>
            <w:r>
              <w:rPr>
                <w:sz w:val="16"/>
              </w:rPr>
              <w:t>Event-driven wave-frame scattering</w:t>
            </w:r>
          </w:p>
        </w:tc>
      </w:tr>
      <w:tr>
        <w:trPr>
          <w:cantSplit/>
        </w:trPr>
        <w:tc>
          <w:tcPr>
            <w:tcW w:type="dxa" w:w="1944"/>
            <w:shd w:fill="EAF1F8"/>
            <w:tcMar>
              <w:top w:w="90" w:type="dxa"/>
              <w:start w:w="110" w:type="dxa"/>
              <w:bottom w:w="90" w:type="dxa"/>
              <w:end w:w="110" w:type="dxa"/>
            </w:tcMar>
            <w:vAlign w:val="center"/>
          </w:tcPr>
          <w:p>
            <w:pPr>
              <w:spacing w:after="0"/>
              <w:jc w:val="center"/>
            </w:pPr>
            <w:r>
              <w:rPr>
                <w:sz w:val="16"/>
              </w:rPr>
              <w:t>Magnetic focusing</w:t>
            </w:r>
          </w:p>
        </w:tc>
        <w:tc>
          <w:tcPr>
            <w:tcW w:type="dxa" w:w="2520"/>
            <w:shd w:fill="EAF1F8"/>
            <w:tcMar>
              <w:top w:w="90" w:type="dxa"/>
              <w:start w:w="110" w:type="dxa"/>
              <w:bottom w:w="90" w:type="dxa"/>
              <w:end w:w="110" w:type="dxa"/>
            </w:tcMar>
            <w:vAlign w:val="center"/>
          </w:tcPr>
          <w:p>
            <w:pPr>
              <w:spacing w:after="0"/>
            </w:pPr>
            <w:r>
              <w:rPr>
                <w:sz w:val="16"/>
              </w:rPr>
              <w:t>Contained in reduced kappa model</w:t>
            </w:r>
          </w:p>
        </w:tc>
        <w:tc>
          <w:tcPr>
            <w:tcW w:type="dxa" w:w="2664"/>
            <w:shd w:fill="EAF1F8"/>
            <w:tcMar>
              <w:top w:w="90" w:type="dxa"/>
              <w:start w:w="110" w:type="dxa"/>
              <w:bottom w:w="90" w:type="dxa"/>
              <w:end w:w="110" w:type="dxa"/>
            </w:tcMar>
            <w:vAlign w:val="center"/>
          </w:tcPr>
          <w:p>
            <w:pPr>
              <w:spacing w:after="0"/>
            </w:pPr>
            <w:r>
              <w:rPr>
                <w:sz w:val="16"/>
              </w:rPr>
              <w:t>Explicit</w:t>
            </w:r>
          </w:p>
        </w:tc>
        <w:tc>
          <w:tcPr>
            <w:tcW w:type="dxa" w:w="2664"/>
            <w:shd w:fill="EAF1F8"/>
            <w:tcMar>
              <w:top w:w="90" w:type="dxa"/>
              <w:start w:w="110" w:type="dxa"/>
              <w:bottom w:w="90" w:type="dxa"/>
              <w:end w:w="110" w:type="dxa"/>
            </w:tcMar>
            <w:vAlign w:val="center"/>
          </w:tcPr>
          <w:p>
            <w:pPr>
              <w:spacing w:after="0"/>
            </w:pPr>
            <w:r>
              <w:rPr>
                <w:sz w:val="16"/>
              </w:rPr>
              <w:t>Explicit between events</w:t>
            </w:r>
          </w:p>
        </w:tc>
      </w:tr>
      <w:tr>
        <w:trPr>
          <w:cantSplit/>
        </w:trPr>
        <w:tc>
          <w:tcPr>
            <w:tcW w:type="dxa" w:w="1944"/>
            <w:tcMar>
              <w:top w:w="90" w:type="dxa"/>
              <w:start w:w="110" w:type="dxa"/>
              <w:bottom w:w="90" w:type="dxa"/>
              <w:end w:w="110" w:type="dxa"/>
            </w:tcMar>
            <w:vAlign w:val="center"/>
          </w:tcPr>
          <w:p>
            <w:pPr>
              <w:spacing w:after="0"/>
              <w:jc w:val="center"/>
            </w:pPr>
            <w:r>
              <w:rPr>
                <w:sz w:val="16"/>
              </w:rPr>
              <w:t>Adiabatic cooling</w:t>
            </w:r>
          </w:p>
        </w:tc>
        <w:tc>
          <w:tcPr>
            <w:tcW w:type="dxa" w:w="2520"/>
            <w:tcMar>
              <w:top w:w="90" w:type="dxa"/>
              <w:start w:w="110" w:type="dxa"/>
              <w:bottom w:w="90" w:type="dxa"/>
              <w:end w:w="110" w:type="dxa"/>
            </w:tcMar>
            <w:vAlign w:val="center"/>
          </w:tcPr>
          <w:p>
            <w:pPr>
              <w:spacing w:after="0"/>
            </w:pPr>
            <w:r>
              <w:rPr>
                <w:sz w:val="16"/>
              </w:rPr>
              <w:t>Required</w:t>
            </w:r>
          </w:p>
        </w:tc>
        <w:tc>
          <w:tcPr>
            <w:tcW w:type="dxa" w:w="2664"/>
            <w:tcMar>
              <w:top w:w="90" w:type="dxa"/>
              <w:start w:w="110" w:type="dxa"/>
              <w:bottom w:w="90" w:type="dxa"/>
              <w:end w:w="110" w:type="dxa"/>
            </w:tcMar>
            <w:vAlign w:val="center"/>
          </w:tcPr>
          <w:p>
            <w:pPr>
              <w:spacing w:after="0"/>
            </w:pPr>
            <w:r>
              <w:rPr>
                <w:sz w:val="16"/>
              </w:rPr>
              <w:t>Required</w:t>
            </w:r>
          </w:p>
        </w:tc>
        <w:tc>
          <w:tcPr>
            <w:tcW w:type="dxa" w:w="2664"/>
            <w:tcMar>
              <w:top w:w="90" w:type="dxa"/>
              <w:start w:w="110" w:type="dxa"/>
              <w:bottom w:w="90" w:type="dxa"/>
              <w:end w:w="110" w:type="dxa"/>
            </w:tcMar>
            <w:vAlign w:val="center"/>
          </w:tcPr>
          <w:p>
            <w:pPr>
              <w:spacing w:after="0"/>
            </w:pPr>
            <w:r>
              <w:rPr>
                <w:sz w:val="16"/>
              </w:rPr>
              <w:t>Required</w:t>
            </w:r>
          </w:p>
        </w:tc>
      </w:tr>
      <w:tr>
        <w:trPr>
          <w:cantSplit/>
        </w:trPr>
        <w:tc>
          <w:tcPr>
            <w:tcW w:type="dxa" w:w="1944"/>
            <w:shd w:fill="EAF1F8"/>
            <w:tcMar>
              <w:top w:w="90" w:type="dxa"/>
              <w:start w:w="110" w:type="dxa"/>
              <w:bottom w:w="90" w:type="dxa"/>
              <w:end w:w="110" w:type="dxa"/>
            </w:tcMar>
            <w:vAlign w:val="center"/>
          </w:tcPr>
          <w:p>
            <w:pPr>
              <w:spacing w:after="0"/>
              <w:jc w:val="center"/>
            </w:pPr>
            <w:r>
              <w:rPr>
                <w:sz w:val="16"/>
              </w:rPr>
              <w:t>Background interface</w:t>
            </w:r>
          </w:p>
        </w:tc>
        <w:tc>
          <w:tcPr>
            <w:tcW w:type="dxa" w:w="2520"/>
            <w:shd w:fill="EAF1F8"/>
            <w:tcMar>
              <w:top w:w="90" w:type="dxa"/>
              <w:start w:w="110" w:type="dxa"/>
              <w:bottom w:w="90" w:type="dxa"/>
              <w:end w:w="110" w:type="dxa"/>
            </w:tcMar>
            <w:vAlign w:val="center"/>
          </w:tcPr>
          <w:p>
            <w:pPr>
              <w:spacing w:after="0"/>
            </w:pPr>
            <w:r>
              <w:rPr>
                <w:sz w:val="16"/>
              </w:rPr>
              <w:t>Same snapshot</w:t>
            </w:r>
          </w:p>
        </w:tc>
        <w:tc>
          <w:tcPr>
            <w:tcW w:type="dxa" w:w="2664"/>
            <w:shd w:fill="EAF1F8"/>
            <w:tcMar>
              <w:top w:w="90" w:type="dxa"/>
              <w:start w:w="110" w:type="dxa"/>
              <w:bottom w:w="90" w:type="dxa"/>
              <w:end w:w="110" w:type="dxa"/>
            </w:tcMar>
            <w:vAlign w:val="center"/>
          </w:tcPr>
          <w:p>
            <w:pPr>
              <w:spacing w:after="0"/>
            </w:pPr>
            <w:r>
              <w:rPr>
                <w:sz w:val="16"/>
              </w:rPr>
              <w:t>Same snapshot</w:t>
            </w:r>
          </w:p>
        </w:tc>
        <w:tc>
          <w:tcPr>
            <w:tcW w:type="dxa" w:w="2664"/>
            <w:shd w:fill="EAF1F8"/>
            <w:tcMar>
              <w:top w:w="90" w:type="dxa"/>
              <w:start w:w="110" w:type="dxa"/>
              <w:bottom w:w="90" w:type="dxa"/>
              <w:end w:w="110" w:type="dxa"/>
            </w:tcMar>
            <w:vAlign w:val="center"/>
          </w:tcPr>
          <w:p>
            <w:pPr>
              <w:spacing w:after="0"/>
            </w:pPr>
            <w:r>
              <w:rPr>
                <w:sz w:val="16"/>
              </w:rPr>
              <w:t>Same snapshot</w:t>
            </w:r>
          </w:p>
        </w:tc>
      </w:tr>
      <w:tr>
        <w:trPr>
          <w:cantSplit/>
        </w:trPr>
        <w:tc>
          <w:tcPr>
            <w:tcW w:type="dxa" w:w="1944"/>
            <w:tcMar>
              <w:top w:w="90" w:type="dxa"/>
              <w:start w:w="110" w:type="dxa"/>
              <w:bottom w:w="90" w:type="dxa"/>
              <w:end w:w="110" w:type="dxa"/>
            </w:tcMar>
            <w:vAlign w:val="center"/>
          </w:tcPr>
          <w:p>
            <w:pPr>
              <w:spacing w:after="0"/>
              <w:jc w:val="center"/>
            </w:pPr>
            <w:r>
              <w:rPr>
                <w:sz w:val="16"/>
              </w:rPr>
              <w:t>Wave feedback</w:t>
            </w:r>
          </w:p>
        </w:tc>
        <w:tc>
          <w:tcPr>
            <w:tcW w:type="dxa" w:w="2520"/>
            <w:tcMar>
              <w:top w:w="90" w:type="dxa"/>
              <w:start w:w="110" w:type="dxa"/>
              <w:bottom w:w="90" w:type="dxa"/>
              <w:end w:w="110" w:type="dxa"/>
            </w:tcMar>
            <w:vAlign w:val="center"/>
          </w:tcPr>
          <w:p>
            <w:pPr>
              <w:spacing w:after="0"/>
            </w:pPr>
            <w:r>
              <w:rPr>
                <w:sz w:val="16"/>
              </w:rPr>
              <w:t>Optional reduced closure</w:t>
            </w:r>
          </w:p>
        </w:tc>
        <w:tc>
          <w:tcPr>
            <w:tcW w:type="dxa" w:w="2664"/>
            <w:tcMar>
              <w:top w:w="90" w:type="dxa"/>
              <w:start w:w="110" w:type="dxa"/>
              <w:bottom w:w="90" w:type="dxa"/>
              <w:end w:w="110" w:type="dxa"/>
            </w:tcMar>
            <w:vAlign w:val="center"/>
          </w:tcPr>
          <w:p>
            <w:pPr>
              <w:spacing w:after="0"/>
            </w:pPr>
            <w:r>
              <w:rPr>
                <w:sz w:val="16"/>
              </w:rPr>
              <w:t>Accumulated by resonance</w:t>
            </w:r>
          </w:p>
        </w:tc>
        <w:tc>
          <w:tcPr>
            <w:tcW w:type="dxa" w:w="2664"/>
            <w:tcMar>
              <w:top w:w="90" w:type="dxa"/>
              <w:start w:w="110" w:type="dxa"/>
              <w:bottom w:w="90" w:type="dxa"/>
              <w:end w:w="110" w:type="dxa"/>
            </w:tcMar>
            <w:vAlign w:val="center"/>
          </w:tcPr>
          <w:p>
            <w:pPr>
              <w:spacing w:after="0"/>
            </w:pPr>
            <w:r>
              <w:rPr>
                <w:sz w:val="16"/>
              </w:rPr>
              <w:t>Accumulated by scattering event and path</w:t>
            </w:r>
          </w:p>
        </w:tc>
      </w:tr>
      <w:tr>
        <w:trPr>
          <w:cantSplit/>
        </w:trPr>
        <w:tc>
          <w:tcPr>
            <w:tcW w:type="dxa" w:w="1944"/>
            <w:shd w:fill="EAF1F8"/>
            <w:tcMar>
              <w:top w:w="90" w:type="dxa"/>
              <w:start w:w="110" w:type="dxa"/>
              <w:bottom w:w="90" w:type="dxa"/>
              <w:end w:w="110" w:type="dxa"/>
            </w:tcMar>
            <w:vAlign w:val="center"/>
          </w:tcPr>
          <w:p>
            <w:pPr>
              <w:spacing w:after="0"/>
              <w:jc w:val="center"/>
            </w:pPr>
            <w:r>
              <w:rPr>
                <w:sz w:val="16"/>
              </w:rPr>
              <w:t>Cross-field motion</w:t>
            </w:r>
          </w:p>
        </w:tc>
        <w:tc>
          <w:tcPr>
            <w:tcW w:type="dxa" w:w="2520"/>
            <w:shd w:fill="EAF1F8"/>
            <w:tcMar>
              <w:top w:w="90" w:type="dxa"/>
              <w:start w:w="110" w:type="dxa"/>
              <w:bottom w:w="90" w:type="dxa"/>
              <w:end w:w="110" w:type="dxa"/>
            </w:tcMar>
            <w:vAlign w:val="center"/>
          </w:tcPr>
          <w:p>
            <w:pPr>
              <w:spacing w:after="0"/>
            </w:pPr>
            <w:r>
              <w:rPr>
                <w:sz w:val="16"/>
              </w:rPr>
              <w:t>Forbidden</w:t>
            </w:r>
          </w:p>
        </w:tc>
        <w:tc>
          <w:tcPr>
            <w:tcW w:type="dxa" w:w="2664"/>
            <w:shd w:fill="EAF1F8"/>
            <w:tcMar>
              <w:top w:w="90" w:type="dxa"/>
              <w:start w:w="110" w:type="dxa"/>
              <w:bottom w:w="90" w:type="dxa"/>
              <w:end w:w="110" w:type="dxa"/>
            </w:tcMar>
            <w:vAlign w:val="center"/>
          </w:tcPr>
          <w:p>
            <w:pPr>
              <w:spacing w:after="0"/>
            </w:pPr>
            <w:r>
              <w:rPr>
                <w:sz w:val="16"/>
              </w:rPr>
              <w:t>Forbidden</w:t>
            </w:r>
          </w:p>
        </w:tc>
        <w:tc>
          <w:tcPr>
            <w:tcW w:type="dxa" w:w="2664"/>
            <w:shd w:fill="EAF1F8"/>
            <w:tcMar>
              <w:top w:w="90" w:type="dxa"/>
              <w:start w:w="110" w:type="dxa"/>
              <w:bottom w:w="90" w:type="dxa"/>
              <w:end w:w="110" w:type="dxa"/>
            </w:tcMar>
            <w:vAlign w:val="center"/>
          </w:tcPr>
          <w:p>
            <w:pPr>
              <w:spacing w:after="0"/>
            </w:pPr>
            <w:r>
              <w:rPr>
                <w:sz w:val="16"/>
              </w:rPr>
              <w:t>Forbidden</w:t>
            </w:r>
          </w:p>
        </w:tc>
      </w:tr>
    </w:tbl>
    <w:p>
      <w:pPr>
        <w:spacing w:after="20"/>
      </w:pPr>
    </w:p>
    <w:p>
      <w:pPr>
        <w:keepLines w:val="0"/>
      </w:pPr>
      <w:r>
        <w:t>Where a common scattering model permits it, lambda parallel, Dmumu, and kappa parallel must be connected by one conversion library. The conversion is a coefficient operation, not a fourth mover. This enables cross-mover diffusion-limit tests without forcing all three movers to use the same stochastic algorithm.</w:t>
      </w:r>
    </w:p>
    <w:p>
      <w:pPr>
        <w:pStyle w:val="Heading2"/>
      </w:pPr>
      <w:r>
        <w:t>3.6 Production turbulence subsystem</w:t>
      </w:r>
    </w:p>
    <w:p>
      <w:pPr/>
      <w:r>
        <w:t>The self-consistent model evolves counter-propagating Alfven-wave energy along each magnetic field line. It is not a fourth particle mover. It is a turbulence provider and evolution subsystem that supplies scattering information to parker, fte-dmumu, and fte-mfp, and can receive particle-streaming feedback when the selected mover exposes the required coupling accumulator.</w:t>
      </w:r>
    </w:p>
    <w:p>
      <w:pPr/>
      <w:r>
        <w:t>The current source contains branch-integrated wave energy, an optional wave-number-resolved spectrum, initialization, advection, reflection, nonlinear cascade, shock turbulence injection, and resonant wave-particle exchange. These capabilities remain in srcSEP because they are intrinsically field-line physics. Their ownership, units, operator order, conservation budgets, restart state, and parallel reductions must be standardized before they are treated as production validated.</w:t>
      </w:r>
    </w:p>
    <w:p>
      <w:pPr/>
      <w:r>
        <w:t>Every supported turbulence mode must use one declared authoritative state. In integrated mode, cell-integrated E+ and E- are authoritative. In wave-number-resolved mode, the spectral bins are authoritative and branch-integrated values are derived diagnostics. No mover or output routine may mutate or independently reconstruct a second wave state.</w:t>
      </w:r>
    </w:p>
    <w:p>
      <w:pPr>
        <w:pStyle w:val="Heading1"/>
        <w:keepNext/>
      </w:pPr>
      <w:r>
        <w:t>4 Target software architecture</w:t>
      </w:r>
    </w:p>
    <w:p>
      <w:pPr>
        <w:pStyle w:val="Heading2"/>
        <w:keepNext/>
      </w:pPr>
      <w:r>
        <w:t>4.1 Proposed source layout</w:t>
      </w:r>
    </w:p>
    <w:p>
      <w:pPr>
        <w:pStyle w:val="Code"/>
        <w:keepLines/>
        <w:spacing w:after="0"/>
      </w:pPr>
      <w:r>
        <w:t>srcSEP/</w:t>
      </w:r>
    </w:p>
    <w:p>
      <w:pPr>
        <w:pStyle w:val="Code"/>
        <w:keepLines/>
        <w:spacing w:after="0"/>
      </w:pPr>
      <w:r>
        <w:t xml:space="preserve">  app/</w:t>
      </w:r>
    </w:p>
    <w:p>
      <w:pPr>
        <w:pStyle w:val="Code"/>
        <w:keepLines/>
        <w:spacing w:after="0"/>
      </w:pPr>
      <w:r>
        <w:t xml:space="preserve">    standalone_main.cpp</w:t>
      </w:r>
    </w:p>
    <w:p>
      <w:pPr>
        <w:pStyle w:val="Code"/>
        <w:keepLines/>
        <w:spacing w:after="0"/>
      </w:pPr>
      <w:r>
        <w:t xml:space="preserve">  interface/</w:t>
      </w:r>
    </w:p>
    <w:p>
      <w:pPr>
        <w:pStyle w:val="Code"/>
        <w:keepLines/>
        <w:spacing w:after="0"/>
      </w:pPr>
      <w:r>
        <w:t xml:space="preserve">    swmf_driver.cpp</w:t>
      </w:r>
    </w:p>
    <w:p>
      <w:pPr>
        <w:pStyle w:val="Code"/>
        <w:keepLines/>
        <w:spacing w:after="0"/>
      </w:pPr>
      <w:r>
        <w:t xml:space="preserve">  transport/</w:t>
      </w:r>
    </w:p>
    <w:p>
      <w:pPr>
        <w:pStyle w:val="Code"/>
        <w:keepLines/>
        <w:spacing w:after="0"/>
      </w:pPr>
      <w:r>
        <w:t xml:space="preserve">    production_mover.h</w:t>
      </w:r>
    </w:p>
    <w:p>
      <w:pPr>
        <w:pStyle w:val="Code"/>
        <w:keepLines/>
        <w:spacing w:after="0"/>
      </w:pPr>
      <w:r>
        <w:t xml:space="preserve">    production_mover_registry.cpp</w:t>
      </w:r>
    </w:p>
    <w:p>
      <w:pPr>
        <w:pStyle w:val="Code"/>
        <w:keepLines/>
        <w:spacing w:after="0"/>
      </w:pPr>
      <w:r>
        <w:t xml:space="preserve">    field_line_state.h</w:t>
      </w:r>
    </w:p>
    <w:p>
      <w:pPr>
        <w:pStyle w:val="Code"/>
        <w:keepLines/>
        <w:spacing w:after="0"/>
      </w:pPr>
      <w:r>
        <w:t xml:space="preserve">    field_line_advance_common.cpp</w:t>
      </w:r>
    </w:p>
    <w:p>
      <w:pPr>
        <w:pStyle w:val="Code"/>
        <w:keepLines/>
        <w:spacing w:after="0"/>
      </w:pPr>
      <w:r>
        <w:t xml:space="preserve">    parker_mover.cpp</w:t>
      </w:r>
    </w:p>
    <w:p>
      <w:pPr>
        <w:pStyle w:val="Code"/>
        <w:keepLines/>
        <w:spacing w:after="0"/>
      </w:pPr>
      <w:r>
        <w:t xml:space="preserve">    focused_transport_dmumu.cpp</w:t>
      </w:r>
    </w:p>
    <w:p>
      <w:pPr>
        <w:pStyle w:val="Code"/>
        <w:keepLines/>
        <w:spacing w:after="0"/>
      </w:pPr>
      <w:r>
        <w:t xml:space="preserve">    focused_transport_mfp.cpp</w:t>
      </w:r>
    </w:p>
    <w:p>
      <w:pPr>
        <w:pStyle w:val="Code"/>
        <w:keepLines/>
        <w:spacing w:after="0"/>
      </w:pPr>
      <w:r>
        <w:t xml:space="preserve">    coefficient_providers/</w:t>
      </w:r>
    </w:p>
    <w:p>
      <w:pPr>
        <w:pStyle w:val="Code"/>
        <w:keepLines/>
        <w:spacing w:after="0"/>
      </w:pPr>
      <w:r>
        <w:t xml:space="preserve">    boundary_policy.cpp</w:t>
      </w:r>
    </w:p>
    <w:p>
      <w:pPr>
        <w:pStyle w:val="Code"/>
        <w:keepLines/>
        <w:spacing w:after="0"/>
      </w:pPr>
      <w:r>
        <w:t xml:space="preserve">  background/</w:t>
      </w:r>
    </w:p>
    <w:p>
      <w:pPr>
        <w:pStyle w:val="Code"/>
        <w:keepLines/>
        <w:spacing w:after="0"/>
      </w:pPr>
      <w:r>
        <w:t xml:space="preserve">    background_provider.h</w:t>
      </w:r>
    </w:p>
    <w:p>
      <w:pPr>
        <w:pStyle w:val="Code"/>
        <w:keepLines/>
        <w:spacing w:after="0"/>
      </w:pPr>
      <w:r>
        <w:t xml:space="preserve">    analytic_provider.cpp</w:t>
      </w:r>
    </w:p>
    <w:p>
      <w:pPr>
        <w:pStyle w:val="Code"/>
        <w:keepLines/>
        <w:spacing w:after="0"/>
      </w:pPr>
      <w:r>
        <w:t xml:space="preserve">    swcme_provider.cpp</w:t>
      </w:r>
    </w:p>
    <w:p>
      <w:pPr>
        <w:pStyle w:val="Code"/>
        <w:keepLines/>
        <w:spacing w:after="0"/>
      </w:pPr>
      <w:r>
        <w:t xml:space="preserve">    swmf_provider.cpp</w:t>
      </w:r>
    </w:p>
    <w:p>
      <w:pPr>
        <w:pStyle w:val="Code"/>
        <w:keepLines/>
        <w:spacing w:after="0"/>
      </w:pPr>
      <w:r>
        <w:t xml:space="preserve">  turbulence/</w:t>
      </w:r>
    </w:p>
    <w:p>
      <w:pPr>
        <w:pStyle w:val="Code"/>
        <w:keepLines/>
        <w:spacing w:after="0"/>
      </w:pPr>
      <w:r>
        <w:t xml:space="preserve">    turbulence_provider.h</w:t>
      </w:r>
    </w:p>
    <w:p>
      <w:pPr>
        <w:pStyle w:val="Code"/>
        <w:keepLines/>
        <w:spacing w:after="0"/>
      </w:pPr>
      <w:r>
        <w:t xml:space="preserve">    prescribed_turbulence.cpp</w:t>
      </w:r>
    </w:p>
    <w:p>
      <w:pPr>
        <w:pStyle w:val="Code"/>
        <w:keepLines/>
        <w:spacing w:after="0"/>
      </w:pPr>
      <w:r>
        <w:t xml:space="preserve">    self_consistent_turbulence.cpp</w:t>
      </w:r>
    </w:p>
    <w:p>
      <w:pPr>
        <w:pStyle w:val="Code"/>
        <w:keepLines/>
        <w:spacing w:after="0"/>
      </w:pPr>
      <w:r>
        <w:t xml:space="preserve">    swmf_turbulence.cpp</w:t>
      </w:r>
    </w:p>
    <w:p>
      <w:pPr>
        <w:pStyle w:val="Code"/>
        <w:keepLines/>
        <w:spacing w:after="0"/>
      </w:pPr>
      <w:r>
        <w:t xml:space="preserve">  test/</w:t>
      </w:r>
    </w:p>
    <w:p>
      <w:pPr>
        <w:pStyle w:val="Code"/>
        <w:keepLines/>
        <w:spacing w:after="0"/>
      </w:pPr>
      <w:r>
        <w:t xml:space="preserve">    test_registry.h</w:t>
      </w:r>
    </w:p>
    <w:p>
      <w:pPr>
        <w:pStyle w:val="Code"/>
        <w:keepLines/>
        <w:spacing w:after="0"/>
      </w:pPr>
      <w:r>
        <w:t xml:space="preserve">    test_registry.cpp</w:t>
      </w:r>
    </w:p>
    <w:p>
      <w:pPr>
        <w:pStyle w:val="Code"/>
        <w:keepLines/>
        <w:spacing w:after="0"/>
      </w:pPr>
      <w:r>
        <w:t xml:space="preserve">    component/</w:t>
      </w:r>
    </w:p>
    <w:p>
      <w:pPr>
        <w:pStyle w:val="Code"/>
        <w:keepLines/>
        <w:spacing w:after="0"/>
      </w:pPr>
      <w:r>
        <w:t xml:space="preserve">    integration/</w:t>
      </w:r>
    </w:p>
    <w:p>
      <w:pPr>
        <w:spacing w:after="20"/>
      </w:pPr>
    </w:p>
    <w:p>
      <w:pPr>
        <w:keepLines w:val="0"/>
      </w:pPr>
      <w:r>
        <w:t>The exact directory names can follow the AMPS convention, but the dependency direction must be preserved. Physics kernels must not include the standalone CLI. The SWMF adapter may populate a background snapshot, while no transport kernel should call SWMF globals directly.</w:t>
      </w:r>
    </w:p>
    <w:p>
      <w:pPr>
        <w:pStyle w:val="Heading2"/>
        <w:keepNext/>
      </w:pPr>
      <w:r>
        <w:t>4.2 Mover capability descriptor</w:t>
      </w:r>
    </w:p>
    <w:p>
      <w:pPr>
        <w:keepLines w:val="0"/>
      </w:pPr>
      <w:r>
        <w:t>Replace function-pointer comparisons, such as checking whether ParticleMoverPtr equals a specific implementation before running wave coupling, with an explicit descriptor. The main time loop then asks what the selected mover produces rather than recognizing one function address.</w:t>
      </w:r>
    </w:p>
    <w:p>
      <w:pPr>
        <w:pStyle w:val="Code"/>
        <w:keepLines/>
        <w:spacing w:after="0"/>
      </w:pPr>
      <w:r>
        <w:t>struct MoverCapabilities {</w:t>
      </w:r>
    </w:p>
    <w:p>
      <w:pPr>
        <w:pStyle w:val="Code"/>
        <w:keepLines/>
        <w:spacing w:after="0"/>
      </w:pPr>
      <w:r>
        <w:t xml:space="preserve">  bool pitch_angle_resolved;</w:t>
      </w:r>
    </w:p>
    <w:p>
      <w:pPr>
        <w:pStyle w:val="Code"/>
        <w:keepLines/>
        <w:spacing w:after="0"/>
      </w:pPr>
      <w:r>
        <w:t xml:space="preserve">  bool requires_dmumu;</w:t>
      </w:r>
    </w:p>
    <w:p>
      <w:pPr>
        <w:pStyle w:val="Code"/>
        <w:keepLines/>
        <w:spacing w:after="0"/>
      </w:pPr>
      <w:r>
        <w:t xml:space="preserve">  bool requires_mean_free_path;</w:t>
      </w:r>
    </w:p>
    <w:p>
      <w:pPr>
        <w:pStyle w:val="Code"/>
        <w:keepLines/>
        <w:spacing w:after="0"/>
      </w:pPr>
      <w:r>
        <w:t xml:space="preserve">  bool produces_wave_streaming_source;</w:t>
      </w:r>
    </w:p>
    <w:p>
      <w:pPr>
        <w:pStyle w:val="Code"/>
        <w:keepLines/>
        <w:spacing w:after="0"/>
      </w:pPr>
      <w:r>
        <w:t xml:space="preserve">  bool produces_discrete_wave_exchange;</w:t>
      </w:r>
    </w:p>
    <w:p>
      <w:pPr>
        <w:pStyle w:val="Code"/>
        <w:keepLines/>
        <w:spacing w:after="0"/>
      </w:pPr>
      <w:r>
        <w:t>};</w:t>
      </w:r>
    </w:p>
    <w:p>
      <w:pPr>
        <w:pStyle w:val="Code"/>
        <w:keepLines/>
        <w:spacing w:after="0"/>
      </w:pPr>
      <w:r/>
    </w:p>
    <w:p>
      <w:pPr>
        <w:pStyle w:val="Code"/>
        <w:keepLines/>
        <w:spacing w:after="0"/>
      </w:pPr>
      <w:r>
        <w:t>const ProductionMoverInterface&amp; GetProductionMover(ProductionMover id);</w:t>
      </w:r>
    </w:p>
    <w:p>
      <w:pPr>
        <w:spacing w:after="20"/>
      </w:pPr>
    </w:p>
    <w:p>
      <w:pPr>
        <w:pStyle w:val="Heading2"/>
        <w:keepNext/>
      </w:pPr>
      <w:r>
        <w:t>4.3 Provider ownership</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656"/>
            <w:shd w:fill="17365D"/>
            <w:tcMar>
              <w:top w:w="90" w:type="dxa"/>
              <w:start w:w="110" w:type="dxa"/>
              <w:bottom w:w="90" w:type="dxa"/>
              <w:end w:w="110" w:type="dxa"/>
            </w:tcMar>
            <w:vAlign w:val="center"/>
          </w:tcPr>
          <w:p>
            <w:pPr>
              <w:spacing w:after="0"/>
              <w:jc w:val="center"/>
            </w:pPr>
            <w:r>
              <w:rPr>
                <w:b/>
                <w:color w:val="FFFFFF"/>
                <w:sz w:val="16"/>
              </w:rPr>
              <w:t>Provider choice</w:t>
            </w:r>
          </w:p>
        </w:tc>
        <w:tc>
          <w:tcPr>
            <w:tcW w:type="dxa" w:w="4032"/>
            <w:shd w:fill="17365D"/>
            <w:tcMar>
              <w:top w:w="90" w:type="dxa"/>
              <w:start w:w="110" w:type="dxa"/>
              <w:bottom w:w="90" w:type="dxa"/>
              <w:end w:w="110" w:type="dxa"/>
            </w:tcMar>
            <w:vAlign w:val="center"/>
          </w:tcPr>
          <w:p>
            <w:pPr>
              <w:spacing w:after="0"/>
              <w:jc w:val="center"/>
            </w:pPr>
            <w:r>
              <w:rPr>
                <w:b/>
                <w:color w:val="FFFFFF"/>
                <w:sz w:val="16"/>
              </w:rPr>
              <w:t>Allowed behavior</w:t>
            </w:r>
          </w:p>
        </w:tc>
        <w:tc>
          <w:tcPr>
            <w:tcW w:type="dxa" w:w="4104"/>
            <w:shd w:fill="17365D"/>
            <w:tcMar>
              <w:top w:w="90" w:type="dxa"/>
              <w:start w:w="110" w:type="dxa"/>
              <w:bottom w:w="90" w:type="dxa"/>
              <w:end w:w="110" w:type="dxa"/>
            </w:tcMar>
            <w:vAlign w:val="center"/>
          </w:tcPr>
          <w:p>
            <w:pPr>
              <w:spacing w:after="0"/>
              <w:jc w:val="center"/>
            </w:pPr>
            <w:r>
              <w:rPr>
                <w:b/>
                <w:color w:val="FFFFFF"/>
                <w:sz w:val="16"/>
              </w:rPr>
              <w:t>Forbidden behavior</w:t>
            </w:r>
          </w:p>
        </w:tc>
      </w:tr>
      <w:tr>
        <w:trPr>
          <w:cantSplit/>
        </w:trPr>
        <w:tc>
          <w:tcPr>
            <w:tcW w:type="dxa" w:w="1656"/>
            <w:tcMar>
              <w:top w:w="90" w:type="dxa"/>
              <w:start w:w="110" w:type="dxa"/>
              <w:bottom w:w="90" w:type="dxa"/>
              <w:end w:w="110" w:type="dxa"/>
            </w:tcMar>
            <w:vAlign w:val="center"/>
          </w:tcPr>
          <w:p>
            <w:pPr>
              <w:spacing w:after="0"/>
              <w:jc w:val="center"/>
            </w:pPr>
            <w:r>
              <w:rPr>
                <w:sz w:val="16"/>
              </w:rPr>
              <w:t>Analytic</w:t>
            </w:r>
          </w:p>
        </w:tc>
        <w:tc>
          <w:tcPr>
            <w:tcW w:type="dxa" w:w="4032"/>
            <w:tcMar>
              <w:top w:w="90" w:type="dxa"/>
              <w:start w:w="110" w:type="dxa"/>
              <w:bottom w:w="90" w:type="dxa"/>
              <w:end w:w="110" w:type="dxa"/>
            </w:tcMar>
            <w:vAlign w:val="center"/>
          </w:tcPr>
          <w:p>
            <w:pPr>
              <w:spacing w:after="0"/>
            </w:pPr>
            <w:r>
              <w:rPr>
                <w:sz w:val="16"/>
              </w:rPr>
              <w:t>Build Parker geometry and configured solar-wind IMF and turbulence fields</w:t>
            </w:r>
          </w:p>
        </w:tc>
        <w:tc>
          <w:tcPr>
            <w:tcW w:type="dxa" w:w="4104"/>
            <w:tcMar>
              <w:top w:w="90" w:type="dxa"/>
              <w:start w:w="110" w:type="dxa"/>
              <w:bottom w:w="90" w:type="dxa"/>
              <w:end w:w="110" w:type="dxa"/>
            </w:tcMar>
            <w:vAlign w:val="center"/>
          </w:tcPr>
          <w:p>
            <w:pPr>
              <w:spacing w:after="0"/>
            </w:pPr>
            <w:r>
              <w:rPr>
                <w:sz w:val="16"/>
              </w:rPr>
              <w:t>Read SWMF globals or overwrite configured values with fixed constants</w:t>
            </w:r>
          </w:p>
        </w:tc>
      </w:tr>
      <w:tr>
        <w:trPr>
          <w:cantSplit/>
        </w:trPr>
        <w:tc>
          <w:tcPr>
            <w:tcW w:type="dxa" w:w="1656"/>
            <w:shd w:fill="EAF1F8"/>
            <w:tcMar>
              <w:top w:w="90" w:type="dxa"/>
              <w:start w:w="110" w:type="dxa"/>
              <w:bottom w:w="90" w:type="dxa"/>
              <w:end w:w="110" w:type="dxa"/>
            </w:tcMar>
            <w:vAlign w:val="center"/>
          </w:tcPr>
          <w:p>
            <w:pPr>
              <w:spacing w:after="0"/>
              <w:jc w:val="center"/>
            </w:pPr>
            <w:r>
              <w:rPr>
                <w:sz w:val="16"/>
              </w:rPr>
              <w:t>SWCME</w:t>
            </w:r>
          </w:p>
        </w:tc>
        <w:tc>
          <w:tcPr>
            <w:tcW w:type="dxa" w:w="4032"/>
            <w:shd w:fill="EAF1F8"/>
            <w:tcMar>
              <w:top w:w="90" w:type="dxa"/>
              <w:start w:w="110" w:type="dxa"/>
              <w:bottom w:w="90" w:type="dxa"/>
              <w:end w:w="110" w:type="dxa"/>
            </w:tcMar>
            <w:vAlign w:val="center"/>
          </w:tcPr>
          <w:p>
            <w:pPr>
              <w:spacing w:after="0"/>
            </w:pPr>
            <w:r>
              <w:rPr>
                <w:sz w:val="16"/>
              </w:rPr>
              <w:t>Prepare one immutable state for the requested epoch and map it onto field-line background and shock records</w:t>
            </w:r>
          </w:p>
        </w:tc>
        <w:tc>
          <w:tcPr>
            <w:tcW w:type="dxa" w:w="4104"/>
            <w:shd w:fill="EAF1F8"/>
            <w:tcMar>
              <w:top w:w="90" w:type="dxa"/>
              <w:start w:w="110" w:type="dxa"/>
              <w:bottom w:w="90" w:type="dxa"/>
              <w:end w:w="110" w:type="dxa"/>
            </w:tcMar>
            <w:vAlign w:val="center"/>
          </w:tcPr>
          <w:p>
            <w:pPr>
              <w:spacing w:after="0"/>
            </w:pPr>
            <w:r>
              <w:rPr>
                <w:sz w:val="16"/>
              </w:rPr>
              <w:t>Publish after the particle step or mix with unrelated analytic density</w:t>
            </w:r>
          </w:p>
        </w:tc>
      </w:tr>
      <w:tr>
        <w:trPr>
          <w:cantSplit/>
        </w:trPr>
        <w:tc>
          <w:tcPr>
            <w:tcW w:type="dxa" w:w="1656"/>
            <w:tcMar>
              <w:top w:w="90" w:type="dxa"/>
              <w:start w:w="110" w:type="dxa"/>
              <w:bottom w:w="90" w:type="dxa"/>
              <w:end w:w="110" w:type="dxa"/>
            </w:tcMar>
            <w:vAlign w:val="center"/>
          </w:tcPr>
          <w:p>
            <w:pPr>
              <w:spacing w:after="0"/>
              <w:jc w:val="center"/>
            </w:pPr>
            <w:r>
              <w:rPr>
                <w:sz w:val="16"/>
              </w:rPr>
              <w:t>SWMF</w:t>
            </w:r>
          </w:p>
        </w:tc>
        <w:tc>
          <w:tcPr>
            <w:tcW w:type="dxa" w:w="4032"/>
            <w:tcMar>
              <w:top w:w="90" w:type="dxa"/>
              <w:start w:w="110" w:type="dxa"/>
              <w:bottom w:w="90" w:type="dxa"/>
              <w:end w:w="110" w:type="dxa"/>
            </w:tcMar>
            <w:vAlign w:val="center"/>
          </w:tcPr>
          <w:p>
            <w:pPr>
              <w:spacing w:after="0"/>
            </w:pPr>
            <w:r>
              <w:rPr>
                <w:sz w:val="16"/>
              </w:rPr>
              <w:t>Copy the coupled field-line geometry plasma IMF and optional turbulence into a timestamped snapshot</w:t>
            </w:r>
          </w:p>
        </w:tc>
        <w:tc>
          <w:tcPr>
            <w:tcW w:type="dxa" w:w="4104"/>
            <w:tcMar>
              <w:top w:w="90" w:type="dxa"/>
              <w:start w:w="110" w:type="dxa"/>
              <w:bottom w:w="90" w:type="dxa"/>
              <w:end w:w="110" w:type="dxa"/>
            </w:tcMar>
            <w:vAlign w:val="center"/>
          </w:tcPr>
          <w:p>
            <w:pPr>
              <w:spacing w:after="0"/>
            </w:pPr>
            <w:r>
              <w:rPr>
                <w:sz w:val="16"/>
              </w:rPr>
              <w:t>Overwrite imported velocity density or waves with 400 km per second or radial defaults</w:t>
            </w:r>
          </w:p>
        </w:tc>
      </w:tr>
      <w:tr>
        <w:trPr>
          <w:cantSplit/>
        </w:trPr>
        <w:tc>
          <w:tcPr>
            <w:tcW w:type="dxa" w:w="1656"/>
            <w:shd w:fill="EAF1F8"/>
            <w:tcMar>
              <w:top w:w="90" w:type="dxa"/>
              <w:start w:w="110" w:type="dxa"/>
              <w:bottom w:w="90" w:type="dxa"/>
              <w:end w:w="110" w:type="dxa"/>
            </w:tcMar>
            <w:vAlign w:val="center"/>
          </w:tcPr>
          <w:p>
            <w:pPr>
              <w:spacing w:after="0"/>
              <w:jc w:val="center"/>
            </w:pPr>
            <w:r>
              <w:rPr>
                <w:sz w:val="16"/>
              </w:rPr>
              <w:t>Self consistent turbulence</w:t>
            </w:r>
          </w:p>
        </w:tc>
        <w:tc>
          <w:tcPr>
            <w:tcW w:type="dxa" w:w="4032"/>
            <w:shd w:fill="EAF1F8"/>
            <w:tcMar>
              <w:top w:w="90" w:type="dxa"/>
              <w:start w:w="110" w:type="dxa"/>
              <w:bottom w:w="90" w:type="dxa"/>
              <w:end w:w="110" w:type="dxa"/>
            </w:tcMar>
            <w:vAlign w:val="center"/>
          </w:tcPr>
          <w:p>
            <w:pPr>
              <w:spacing w:after="0"/>
            </w:pPr>
            <w:r>
              <w:rPr>
                <w:sz w:val="16"/>
              </w:rPr>
              <w:t>Own and evolve segment turbulence using particle coupling and boundary fluxes</w:t>
            </w:r>
          </w:p>
        </w:tc>
        <w:tc>
          <w:tcPr>
            <w:tcW w:type="dxa" w:w="4104"/>
            <w:shd w:fill="EAF1F8"/>
            <w:tcMar>
              <w:top w:w="90" w:type="dxa"/>
              <w:start w:w="110" w:type="dxa"/>
              <w:bottom w:w="90" w:type="dxa"/>
              <w:end w:w="110" w:type="dxa"/>
            </w:tcMar>
            <w:vAlign w:val="center"/>
          </w:tcPr>
          <w:p>
            <w:pPr>
              <w:spacing w:after="0"/>
            </w:pPr>
            <w:r>
              <w:rPr>
                <w:sz w:val="16"/>
              </w:rPr>
              <w:t>Write into SWMF read-only turbulence or coexist with a second untracked wave state</w:t>
            </w:r>
          </w:p>
        </w:tc>
      </w:tr>
    </w:tbl>
    <w:p>
      <w:pPr>
        <w:spacing w:after="20"/>
      </w:pPr>
    </w:p>
    <w:p>
      <w:pPr>
        <w:pStyle w:val="Heading2"/>
        <w:keepNext/>
      </w:pPr>
      <w:r>
        <w:t>4.4 Standalone and coupled time loops</w:t>
      </w:r>
    </w:p>
    <w:p>
      <w:pPr>
        <w:spacing w:after="60"/>
        <w:ind w:left="360" w:hanging="360"/>
      </w:pPr>
      <w:r>
        <w:t>1.  Select the target time interval and request the background snapshot for that interval.</w:t>
      </w:r>
    </w:p>
    <w:p>
      <w:pPr>
        <w:spacing w:after="60"/>
        <w:ind w:left="360" w:hanging="360"/>
      </w:pPr>
      <w:r>
        <w:t>2.  Validate the snapshot epoch, provider identity, units, domain, and field-line generation number.</w:t>
      </w:r>
    </w:p>
    <w:p>
      <w:pPr>
        <w:spacing w:after="60"/>
        <w:ind w:left="360" w:hanging="360"/>
      </w:pPr>
      <w:r>
        <w:t>3.  Reset thread-local particle-wave accumulators.</w:t>
      </w:r>
    </w:p>
    <w:p>
      <w:pPr>
        <w:spacing w:after="60"/>
        <w:ind w:left="360" w:hanging="360"/>
      </w:pPr>
      <w:r>
        <w:t>4.  Inject particles using the same snapshot and the corrected flux-tube area.</w:t>
      </w:r>
    </w:p>
    <w:p>
      <w:pPr>
        <w:spacing w:after="60"/>
        <w:ind w:left="360" w:hanging="360"/>
      </w:pPr>
      <w:r>
        <w:t>5.  Advance particles with the selected production mover.</w:t>
      </w:r>
    </w:p>
    <w:p>
      <w:pPr>
        <w:spacing w:after="60"/>
        <w:ind w:left="360" w:hanging="360"/>
      </w:pPr>
      <w:r>
        <w:t>6.  Reduce particle-wave exchange deterministically across worker threads and MPI ranks.</w:t>
      </w:r>
    </w:p>
    <w:p>
      <w:pPr>
        <w:spacing w:after="60"/>
        <w:ind w:left="360" w:hanging="360"/>
      </w:pPr>
      <w:r>
        <w:t>7.  Advance self-consistent turbulence only when that provider owns the wave state.</w:t>
      </w:r>
    </w:p>
    <w:p>
      <w:pPr>
        <w:spacing w:after="60"/>
        <w:ind w:left="360" w:hanging="360"/>
      </w:pPr>
      <w:r>
        <w:t>8.  Sample particle and background observables with a timestamp that identifies the snapshot used.</w:t>
      </w:r>
    </w:p>
    <w:p>
      <w:pPr>
        <w:spacing w:after="60"/>
        <w:ind w:left="360" w:hanging="360"/>
      </w:pPr>
      <w:r>
        <w:t>9.  Commit the new simulation time and proceed to the next interval.</w:t>
      </w:r>
    </w:p>
    <w:p>
      <w:pPr>
        <w:pStyle w:val="Heading1"/>
        <w:keepNext/>
      </w:pPr>
      <w:r>
        <w:t>5 Standalone test command line interface</w:t>
      </w:r>
    </w:p>
    <w:p>
      <w:pPr>
        <w:pStyle w:val="Heading2"/>
      </w:pPr>
      <w:r>
        <w:t>5.1 Existing production CLI compatibility contract</w:t>
      </w:r>
    </w:p>
    <w:p>
      <w:r>
        <w:t>srcSEP already parses command-line options in util/sep_cli.cpp before AMPS initialization, applies them to the actual mover, injection, and turbulence globals after the optional post-compile input file is read, prints the effective configuration, and exits before initialization for --help. This behavior is an existing public contract. Capture it in executable tests before refactoring. The cleanup may extend Options with an explicit run mode and test selections, but it must not silently change production defaults, spelling, aliases, precedence, exit behavior, or effective model state.</w:t>
      </w:r>
    </w:p>
    <w:p>
      <w:r>
        <w:t>Compatibility policy: preserve the current canonical options and accepted value forms through the migration. Retain historical aliases, including --cascase and --no-cascase, until a documented deprecation release; an alias may emit a warning but must continue to select the same state. Repeated options use the current last-occurrence-wins rule. Because ApplyTurbulenceOptions executes after the post-compile input parser, an explicit CLI value remains the final runtime override. Any future change to those rules requires a separately reviewed migration note and versioned test update.</w:t>
      </w:r>
    </w:p>
    <w:p>
      <w:r>
        <w:t>The following table records the behavior observed in the supplied source snapshot. Tests compare parser state, applied production globals/function pointers, console output, and application flow—not only whether parsing returned success.</w:t>
      </w:r>
    </w:p>
    <w:tbl>
      <w:tblPr>
        <w:tblStyle w:val="TableGrid"/>
        <w:tblW w:type="auto" w:w="0"/>
        <w:tblLook w:firstColumn="1" w:firstRow="1" w:lastColumn="0" w:lastRow="0" w:noHBand="0" w:noVBand="1" w:val="04A0"/>
      </w:tblPr>
      <w:tblGrid>
        <w:gridCol w:w="3331"/>
        <w:gridCol w:w="3331"/>
        <w:gridCol w:w="3331"/>
      </w:tblGrid>
      <w:tr>
        <w:tc>
          <w:tcPr>
            <w:tcW w:type="dxa" w:w="3331"/>
            <w:shd w:fill="D9EAF7"/>
          </w:tcPr>
          <w:p>
            <w:r>
              <w:t>Existing option</w:t>
            </w:r>
          </w:p>
        </w:tc>
        <w:tc>
          <w:tcPr>
            <w:tcW w:type="dxa" w:w="3331"/>
            <w:shd w:fill="D9EAF7"/>
          </w:tcPr>
          <w:p>
            <w:r>
              <w:t>Current behavior</w:t>
            </w:r>
          </w:p>
        </w:tc>
        <w:tc>
          <w:tcPr>
            <w:tcW w:type="dxa" w:w="3331"/>
            <w:shd w:fill="D9EAF7"/>
          </w:tcPr>
          <w:p>
            <w:r>
              <w:t>Current default</w:t>
            </w:r>
          </w:p>
        </w:tc>
      </w:tr>
      <w:tr>
        <w:tc>
          <w:tcPr>
            <w:tcW w:type="dxa" w:w="3331"/>
          </w:tcPr>
          <w:p>
            <w:r>
              <w:t>-h, --help</w:t>
            </w:r>
          </w:p>
        </w:tc>
        <w:tc>
          <w:tcPr>
            <w:tcW w:type="dxa" w:w="3331"/>
          </w:tcPr>
          <w:p>
            <w:r>
              <w:t>Print help and return success before input, AMPS, field-line, particle, or turbulence initialization</w:t>
            </w:r>
          </w:p>
        </w:tc>
        <w:tc>
          <w:tcPr>
            <w:tcW w:type="dxa" w:w="3331"/>
          </w:tcPr>
          <w:p>
            <w:r>
              <w:t>Help not requested</w:t>
            </w:r>
          </w:p>
        </w:tc>
      </w:tr>
      <w:tr>
        <w:tc>
          <w:tcPr>
            <w:tcW w:type="dxa" w:w="3331"/>
          </w:tcPr>
          <w:p>
            <w:r>
              <w:t>--coupling; --coupling-mode; --particle-coupling; --no-coupling</w:t>
            </w:r>
          </w:p>
        </w:tc>
        <w:tc>
          <w:tcPr>
            <w:tcW w:type="dxa" w:w="3331"/>
          </w:tcPr>
          <w:p>
            <w:r>
              <w:t>Enable or disable particle/turbulence coupling</w:t>
            </w:r>
          </w:p>
        </w:tc>
        <w:tc>
          <w:tcPr>
            <w:tcW w:type="dxa" w:w="3331"/>
          </w:tcPr>
          <w:p>
            <w:r>
              <w:t>on</w:t>
            </w:r>
          </w:p>
        </w:tc>
      </w:tr>
      <w:tr>
        <w:tc>
          <w:tcPr>
            <w:tcW w:type="dxa" w:w="3331"/>
          </w:tcPr>
          <w:p>
            <w:r>
              <w:t>--cascade; --cascase; --no-cascade; --no-cascase</w:t>
            </w:r>
          </w:p>
        </w:tc>
        <w:tc>
          <w:tcPr>
            <w:tcW w:type="dxa" w:w="3331"/>
          </w:tcPr>
          <w:p>
            <w:r>
              <w:t>Enable or disable nonlinear turbulence cascade; misspelled forms are current compatibility aliases</w:t>
            </w:r>
          </w:p>
        </w:tc>
        <w:tc>
          <w:tcPr>
            <w:tcW w:type="dxa" w:w="3331"/>
          </w:tcPr>
          <w:p>
            <w:r>
              <w:t>on</w:t>
            </w:r>
          </w:p>
        </w:tc>
      </w:tr>
      <w:tr>
        <w:tc>
          <w:tcPr>
            <w:tcW w:type="dxa" w:w="3331"/>
          </w:tcPr>
          <w:p>
            <w:r>
              <w:t>--reflection; --no-reflection</w:t>
            </w:r>
          </w:p>
        </w:tc>
        <w:tc>
          <w:tcPr>
            <w:tcW w:type="dxa" w:w="3331"/>
          </w:tcPr>
          <w:p>
            <w:r>
              <w:t>Enable or disable turbulence reflection</w:t>
            </w:r>
          </w:p>
        </w:tc>
        <w:tc>
          <w:tcPr>
            <w:tcW w:type="dxa" w:w="3331"/>
          </w:tcPr>
          <w:p>
            <w:r>
              <w:t>on</w:t>
            </w:r>
          </w:p>
        </w:tc>
      </w:tr>
      <w:tr>
        <w:tc>
          <w:tcPr>
            <w:tcW w:type="dxa" w:w="3331"/>
          </w:tcPr>
          <w:p>
            <w:r>
              <w:t>--turbulence-model; --wave-number-resolved; --k-resolved; --spectral-turbulence; --integrated-turbulence; --legacy-turbulence</w:t>
            </w:r>
          </w:p>
        </w:tc>
        <w:tc>
          <w:tcPr>
            <w:tcW w:type="dxa" w:w="3331"/>
          </w:tcPr>
          <w:p>
            <w:r>
              <w:t>Select integrated or wave-number-resolved turbulence representation</w:t>
            </w:r>
          </w:p>
        </w:tc>
        <w:tc>
          <w:tcPr>
            <w:tcW w:type="dxa" w:w="3331"/>
          </w:tcPr>
          <w:p>
            <w:r>
              <w:t>integrated</w:t>
            </w:r>
          </w:p>
        </w:tc>
      </w:tr>
      <w:tr>
        <w:tc>
          <w:tcPr>
            <w:tcW w:type="dxa" w:w="3331"/>
          </w:tcPr>
          <w:p>
            <w:r>
              <w:t>--particle-mover; --mover; --sep-mover</w:t>
            </w:r>
          </w:p>
        </w:tc>
        <w:tc>
          <w:tcPr>
            <w:tcW w:type="dxa" w:w="3331"/>
          </w:tcPr>
          <w:p>
            <w:r>
              <w:t>Select the current mover symbol. Legacy movers remain accepted until Step 4 maps the interface to exactly parker, fte-dmumu, and fte-mfp</w:t>
            </w:r>
          </w:p>
        </w:tc>
        <w:tc>
          <w:tcPr>
            <w:tcW w:type="dxa" w:w="3331"/>
          </w:tcPr>
          <w:p>
            <w:r>
              <w:t>fte</w:t>
            </w:r>
          </w:p>
        </w:tc>
      </w:tr>
      <w:tr>
        <w:tc>
          <w:tcPr>
            <w:tcW w:type="dxa" w:w="3331"/>
          </w:tcPr>
          <w:p>
            <w:r>
              <w:t>--particles-per-iteration and current aliases</w:t>
            </w:r>
          </w:p>
        </w:tc>
        <w:tc>
          <w:tcPr>
            <w:tcW w:type="dxa" w:w="3331"/>
          </w:tcPr>
          <w:p>
            <w:r>
              <w:t>Set positive field-line injection macroparticles per iteration</w:t>
            </w:r>
          </w:p>
        </w:tc>
        <w:tc>
          <w:tcPr>
            <w:tcW w:type="dxa" w:w="3331"/>
          </w:tcPr>
          <w:p>
            <w:r>
              <w:t>300</w:t>
            </w:r>
          </w:p>
        </w:tc>
      </w:tr>
      <w:tr>
        <w:tc>
          <w:tcPr>
            <w:tcW w:type="dxa" w:w="3331"/>
          </w:tcPr>
          <w:p>
            <w:r>
              <w:t>--spectrum-output-interval and current aliases</w:t>
            </w:r>
          </w:p>
        </w:tc>
        <w:tc>
          <w:tcPr>
            <w:tcW w:type="dxa" w:w="3331"/>
          </w:tcPr>
          <w:p>
            <w:r>
              <w:t>Set nonnegative spectral-output cadence; zero disables it</w:t>
            </w:r>
          </w:p>
        </w:tc>
        <w:tc>
          <w:tcPr>
            <w:tcW w:type="dxa" w:w="3331"/>
          </w:tcPr>
          <w:p>
            <w:r>
              <w:t>100</w:t>
            </w:r>
          </w:p>
        </w:tc>
      </w:tr>
      <w:tr>
        <w:tc>
          <w:tcPr>
            <w:tcW w:type="dxa" w:w="3331"/>
          </w:tcPr>
          <w:p>
            <w:r>
              <w:t>--test-manager; --testmanager; --run-test-manager; --no-test-manager</w:t>
            </w:r>
          </w:p>
        </w:tc>
        <w:tc>
          <w:tcPr>
            <w:tcW w:type="dxa" w:w="3331"/>
          </w:tcPr>
          <w:p>
            <w:r>
              <w:t>Control the existing aggregate standalone TestManager diagnostic after initialization</w:t>
            </w:r>
          </w:p>
        </w:tc>
        <w:tc>
          <w:tcPr>
            <w:tcW w:type="dxa" w:w="3331"/>
          </w:tcPr>
          <w:p>
            <w:r>
              <w:t>off</w:t>
            </w:r>
          </w:p>
        </w:tc>
      </w:tr>
      <w:tr>
        <w:tc>
          <w:tcPr>
            <w:tcW w:type="dxa" w:w="3331"/>
          </w:tcPr>
          <w:p>
            <w:r>
              <w:t>Boolean values</w:t>
            </w:r>
          </w:p>
        </w:tc>
        <w:tc>
          <w:tcPr>
            <w:tcW w:type="dxa" w:w="3331"/>
          </w:tcPr>
          <w:p>
            <w:r>
              <w:t>Accept on/off, true/false, yes/no, 1/0, enable/disable, and enabled/disabled, case-insensitively</w:t>
            </w:r>
          </w:p>
        </w:tc>
        <w:tc>
          <w:tcPr>
            <w:tcW w:type="dxa" w:w="3331"/>
          </w:tcPr>
          <w:p>
            <w:r>
              <w:t>Not applicable</w:t>
            </w:r>
          </w:p>
        </w:tc>
      </w:tr>
      <w:tr>
        <w:tc>
          <w:tcPr>
            <w:tcW w:type="dxa" w:w="3331"/>
          </w:tcPr>
          <w:p>
            <w:r>
              <w:t>Value syntax</w:t>
            </w:r>
          </w:p>
        </w:tc>
        <w:tc>
          <w:tcPr>
            <w:tcW w:type="dxa" w:w="3331"/>
          </w:tcPr>
          <w:p>
            <w:r>
              <w:t>Accept both --option value and --option=value where the option takes a value</w:t>
            </w:r>
          </w:p>
        </w:tc>
        <w:tc>
          <w:tcPr>
            <w:tcW w:type="dxa" w:w="3331"/>
          </w:tcPr>
          <w:p>
            <w:r>
              <w:t>Not applicable</w:t>
            </w:r>
          </w:p>
        </w:tc>
      </w:tr>
    </w:tbl>
    <w:p>
      <w:pPr>
        <w:pStyle w:val="Heading2"/>
        <w:keepNext/>
      </w:pPr>
      <w:r>
        <w:t>5.2 Additive component-test commands</w:t>
      </w:r>
    </w:p>
    <w:p>
      <w:pPr>
        <w:keepLines w:val="0"/>
      </w:pPr>
      <w:r>
        <w:t>Extend the existing util/sep_cli.h and util/sep_cli.cpp parser with the commands below. Do not introduce an unrelated parser or move production ownership to a second CLI. The standalone main function dispatches the selected run mode before expensive initialization. Test selection is mutually exclusive with a production run unless a future, explicitly named diagnostic-after-run mode is designed and tested.</w:t>
      </w:r>
    </w:p>
    <w:p>
      <w:pPr>
        <w:pStyle w:val="Code"/>
        <w:keepLines/>
        <w:spacing w:after="0"/>
      </w:pPr>
      <w:r>
        <w:t>./amps --list-tests</w:t>
      </w:r>
    </w:p>
    <w:p>
      <w:pPr>
        <w:pStyle w:val="Code"/>
        <w:keepLines/>
        <w:spacing w:after="0"/>
      </w:pPr>
      <w:r>
        <w:t>./amps --test CLI01</w:t>
      </w:r>
    </w:p>
    <w:p>
      <w:pPr>
        <w:pStyle w:val="Code"/>
        <w:keepLines/>
        <w:spacing w:after="0"/>
      </w:pPr>
      <w:r>
        <w:t>./amps --test FTE-DM-04 --mover fte-dmumu</w:t>
      </w:r>
    </w:p>
    <w:p>
      <w:pPr>
        <w:pStyle w:val="Code"/>
        <w:keepLines/>
        <w:spacing w:after="0"/>
      </w:pPr>
      <w:r>
        <w:t>./amps --tests geometry</w:t>
      </w:r>
    </w:p>
    <w:p>
      <w:pPr>
        <w:pStyle w:val="Code"/>
        <w:keepLines/>
        <w:spacing w:after="0"/>
      </w:pPr>
      <w:r>
        <w:t>./amps --tests mover:parker</w:t>
      </w:r>
    </w:p>
    <w:p>
      <w:pPr>
        <w:pStyle w:val="Code"/>
        <w:keepLines/>
        <w:spacing w:after="0"/>
      </w:pPr>
      <w:r>
        <w:t>./amps --all-tests</w:t>
      </w:r>
    </w:p>
    <w:p>
      <w:pPr>
        <w:pStyle w:val="Code"/>
        <w:keepLines/>
        <w:spacing w:after="0"/>
      </w:pPr>
      <w:r>
        <w:t>./amps --all-tests --test-seed 12345 --test-repeat 4</w:t>
      </w:r>
    </w:p>
    <w:p>
      <w:pPr>
        <w:pStyle w:val="Code"/>
        <w:keepLines/>
        <w:spacing w:after="0"/>
      </w:pPr>
      <w:r>
        <w:t>./amps --test TURB-07 --test-output test_output/TURB-07</w:t>
      </w:r>
    </w:p>
    <w:p>
      <w:pPr>
        <w:pStyle w:val="Code"/>
        <w:keepLines/>
        <w:spacing w:after="0"/>
      </w:pPr>
      <w:r>
        <w:t>./amps --all-tests --test-format junit --test-output test_output/all</w:t>
      </w:r>
    </w:p>
    <w:p>
      <w:pPr>
        <w:spacing w:after="2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520"/>
            <w:shd w:fill="17365D"/>
            <w:tcMar>
              <w:top w:w="90" w:type="dxa"/>
              <w:start w:w="110" w:type="dxa"/>
              <w:bottom w:w="90" w:type="dxa"/>
              <w:end w:w="110" w:type="dxa"/>
            </w:tcMar>
            <w:vAlign w:val="center"/>
          </w:tcPr>
          <w:p>
            <w:pPr>
              <w:spacing w:after="0"/>
              <w:jc w:val="center"/>
            </w:pPr>
            <w:r>
              <w:rPr>
                <w:b/>
                <w:color w:val="FFFFFF"/>
                <w:sz w:val="16"/>
              </w:rPr>
              <w:t>Option</w:t>
            </w:r>
          </w:p>
        </w:tc>
        <w:tc>
          <w:tcPr>
            <w:tcW w:type="dxa" w:w="5976"/>
            <w:shd w:fill="17365D"/>
            <w:tcMar>
              <w:top w:w="90" w:type="dxa"/>
              <w:start w:w="110" w:type="dxa"/>
              <w:bottom w:w="90" w:type="dxa"/>
              <w:end w:w="110" w:type="dxa"/>
            </w:tcMar>
            <w:vAlign w:val="center"/>
          </w:tcPr>
          <w:p>
            <w:pPr>
              <w:spacing w:after="0"/>
              <w:jc w:val="center"/>
            </w:pPr>
            <w:r>
              <w:rPr>
                <w:b/>
                <w:color w:val="FFFFFF"/>
                <w:sz w:val="16"/>
              </w:rPr>
              <w:t>Meaning</w:t>
            </w:r>
          </w:p>
        </w:tc>
        <w:tc>
          <w:tcPr>
            <w:tcW w:type="dxa" w:w="1296"/>
            <w:shd w:fill="17365D"/>
            <w:tcMar>
              <w:top w:w="90" w:type="dxa"/>
              <w:start w:w="110" w:type="dxa"/>
              <w:bottom w:w="90" w:type="dxa"/>
              <w:end w:w="110" w:type="dxa"/>
            </w:tcMar>
            <w:vAlign w:val="center"/>
          </w:tcPr>
          <w:p>
            <w:pPr>
              <w:spacing w:after="0"/>
              <w:jc w:val="center"/>
            </w:pPr>
            <w:r>
              <w:rPr>
                <w:b/>
                <w:color w:val="FFFFFF"/>
                <w:sz w:val="16"/>
              </w:rPr>
              <w:t>Default</w:t>
            </w:r>
          </w:p>
        </w:tc>
      </w:tr>
      <w:tr>
        <w:trPr>
          <w:cantSplit/>
        </w:trPr>
        <w:tc>
          <w:tcPr>
            <w:tcW w:type="dxa" w:w="2520"/>
            <w:tcMar>
              <w:top w:w="90" w:type="dxa"/>
              <w:start w:w="110" w:type="dxa"/>
              <w:bottom w:w="90" w:type="dxa"/>
              <w:end w:w="110" w:type="dxa"/>
            </w:tcMar>
            <w:vAlign w:val="center"/>
          </w:tcPr>
          <w:p>
            <w:pPr>
              <w:spacing w:after="0"/>
              <w:jc w:val="center"/>
            </w:pPr>
            <w:r>
              <w:rPr>
                <w:sz w:val="16"/>
              </w:rPr>
              <w:t>--list-tests</w:t>
            </w:r>
          </w:p>
        </w:tc>
        <w:tc>
          <w:tcPr>
            <w:tcW w:type="dxa" w:w="5976"/>
            <w:tcMar>
              <w:top w:w="90" w:type="dxa"/>
              <w:start w:w="110" w:type="dxa"/>
              <w:bottom w:w="90" w:type="dxa"/>
              <w:end w:w="110" w:type="dxa"/>
            </w:tcMar>
            <w:vAlign w:val="center"/>
          </w:tcPr>
          <w:p>
            <w:pPr>
              <w:spacing w:after="0"/>
            </w:pPr>
            <w:r>
              <w:rPr>
                <w:sz w:val="16"/>
              </w:rPr>
              <w:t>Print ID group required initialization level and one-line description then exit</w:t>
            </w:r>
          </w:p>
        </w:tc>
        <w:tc>
          <w:tcPr>
            <w:tcW w:type="dxa" w:w="1296"/>
            <w:tcMar>
              <w:top w:w="90" w:type="dxa"/>
              <w:start w:w="110" w:type="dxa"/>
              <w:bottom w:w="90" w:type="dxa"/>
              <w:end w:w="110" w:type="dxa"/>
            </w:tcMar>
            <w:vAlign w:val="center"/>
          </w:tcPr>
          <w:p>
            <w:pPr>
              <w:spacing w:after="0"/>
            </w:pPr>
            <w:r>
              <w:rPr>
                <w:sz w:val="16"/>
              </w:rPr>
              <w:t>Off</w:t>
            </w:r>
          </w:p>
        </w:tc>
      </w:tr>
      <w:tr>
        <w:trPr>
          <w:cantSplit/>
        </w:trPr>
        <w:tc>
          <w:tcPr>
            <w:tcW w:type="dxa" w:w="2520"/>
            <w:shd w:fill="EAF1F8"/>
            <w:tcMar>
              <w:top w:w="90" w:type="dxa"/>
              <w:start w:w="110" w:type="dxa"/>
              <w:bottom w:w="90" w:type="dxa"/>
              <w:end w:w="110" w:type="dxa"/>
            </w:tcMar>
            <w:vAlign w:val="center"/>
          </w:tcPr>
          <w:p>
            <w:pPr>
              <w:spacing w:after="0"/>
              <w:jc w:val="center"/>
            </w:pPr>
            <w:r>
              <w:rPr>
                <w:sz w:val="16"/>
              </w:rPr>
              <w:t>--test ID</w:t>
            </w:r>
          </w:p>
        </w:tc>
        <w:tc>
          <w:tcPr>
            <w:tcW w:type="dxa" w:w="5976"/>
            <w:shd w:fill="EAF1F8"/>
            <w:tcMar>
              <w:top w:w="90" w:type="dxa"/>
              <w:start w:w="110" w:type="dxa"/>
              <w:bottom w:w="90" w:type="dxa"/>
              <w:end w:w="110" w:type="dxa"/>
            </w:tcMar>
            <w:vAlign w:val="center"/>
          </w:tcPr>
          <w:p>
            <w:pPr>
              <w:spacing w:after="0"/>
            </w:pPr>
            <w:r>
              <w:rPr>
                <w:sz w:val="16"/>
              </w:rPr>
              <w:t>Run one registered test; option may be repeated to select several IDs</w:t>
            </w:r>
          </w:p>
        </w:tc>
        <w:tc>
          <w:tcPr>
            <w:tcW w:type="dxa" w:w="1296"/>
            <w:shd w:fill="EAF1F8"/>
            <w:tcMar>
              <w:top w:w="90" w:type="dxa"/>
              <w:start w:w="110" w:type="dxa"/>
              <w:bottom w:w="90" w:type="dxa"/>
              <w:end w:w="110" w:type="dxa"/>
            </w:tcMar>
            <w:vAlign w:val="center"/>
          </w:tcPr>
          <w:p>
            <w:pPr>
              <w:spacing w:after="0"/>
            </w:pPr>
            <w:r>
              <w:rPr>
                <w:sz w:val="16"/>
              </w:rPr>
              <w:t>None</w:t>
            </w:r>
          </w:p>
        </w:tc>
      </w:tr>
      <w:tr>
        <w:trPr>
          <w:cantSplit/>
        </w:trPr>
        <w:tc>
          <w:tcPr>
            <w:tcW w:type="dxa" w:w="2520"/>
            <w:tcMar>
              <w:top w:w="90" w:type="dxa"/>
              <w:start w:w="110" w:type="dxa"/>
              <w:bottom w:w="90" w:type="dxa"/>
              <w:end w:w="110" w:type="dxa"/>
            </w:tcMar>
            <w:vAlign w:val="center"/>
          </w:tcPr>
          <w:p>
            <w:pPr>
              <w:spacing w:after="0"/>
              <w:jc w:val="center"/>
            </w:pPr>
            <w:r>
              <w:rPr>
                <w:sz w:val="16"/>
              </w:rPr>
              <w:t>--tests GROUP</w:t>
            </w:r>
          </w:p>
        </w:tc>
        <w:tc>
          <w:tcPr>
            <w:tcW w:type="dxa" w:w="5976"/>
            <w:tcMar>
              <w:top w:w="90" w:type="dxa"/>
              <w:start w:w="110" w:type="dxa"/>
              <w:bottom w:w="90" w:type="dxa"/>
              <w:end w:w="110" w:type="dxa"/>
            </w:tcMar>
            <w:vAlign w:val="center"/>
          </w:tcPr>
          <w:p>
            <w:pPr>
              <w:spacing w:after="0"/>
            </w:pPr>
            <w:r>
              <w:rPr>
                <w:sz w:val="16"/>
              </w:rPr>
              <w:t>Run all tests with the group or tag</w:t>
            </w:r>
          </w:p>
        </w:tc>
        <w:tc>
          <w:tcPr>
            <w:tcW w:type="dxa" w:w="1296"/>
            <w:tcMar>
              <w:top w:w="90" w:type="dxa"/>
              <w:start w:w="110" w:type="dxa"/>
              <w:bottom w:w="90" w:type="dxa"/>
              <w:end w:w="110" w:type="dxa"/>
            </w:tcMar>
            <w:vAlign w:val="center"/>
          </w:tcPr>
          <w:p>
            <w:pPr>
              <w:spacing w:after="0"/>
            </w:pPr>
            <w:r>
              <w:rPr>
                <w:sz w:val="16"/>
              </w:rPr>
              <w:t>None</w:t>
            </w:r>
          </w:p>
        </w:tc>
      </w:tr>
      <w:tr>
        <w:trPr>
          <w:cantSplit/>
        </w:trPr>
        <w:tc>
          <w:tcPr>
            <w:tcW w:type="dxa" w:w="2520"/>
            <w:shd w:fill="EAF1F8"/>
            <w:tcMar>
              <w:top w:w="90" w:type="dxa"/>
              <w:start w:w="110" w:type="dxa"/>
              <w:bottom w:w="90" w:type="dxa"/>
              <w:end w:w="110" w:type="dxa"/>
            </w:tcMar>
            <w:vAlign w:val="center"/>
          </w:tcPr>
          <w:p>
            <w:pPr>
              <w:spacing w:after="0"/>
              <w:jc w:val="center"/>
            </w:pPr>
            <w:r>
              <w:rPr>
                <w:sz w:val="16"/>
              </w:rPr>
              <w:t>--all-tests</w:t>
            </w:r>
          </w:p>
        </w:tc>
        <w:tc>
          <w:tcPr>
            <w:tcW w:type="dxa" w:w="5976"/>
            <w:shd w:fill="EAF1F8"/>
            <w:tcMar>
              <w:top w:w="90" w:type="dxa"/>
              <w:start w:w="110" w:type="dxa"/>
              <w:bottom w:w="90" w:type="dxa"/>
              <w:end w:w="110" w:type="dxa"/>
            </w:tcMar>
            <w:vAlign w:val="center"/>
          </w:tcPr>
          <w:p>
            <w:pPr>
              <w:spacing w:after="0"/>
            </w:pPr>
            <w:r>
              <w:rPr>
                <w:sz w:val="16"/>
              </w:rPr>
              <w:t>Run the complete standalone suite</w:t>
            </w:r>
          </w:p>
        </w:tc>
        <w:tc>
          <w:tcPr>
            <w:tcW w:type="dxa" w:w="1296"/>
            <w:shd w:fill="EAF1F8"/>
            <w:tcMar>
              <w:top w:w="90" w:type="dxa"/>
              <w:start w:w="110" w:type="dxa"/>
              <w:bottom w:w="90" w:type="dxa"/>
              <w:end w:w="110" w:type="dxa"/>
            </w:tcMar>
            <w:vAlign w:val="center"/>
          </w:tcPr>
          <w:p>
            <w:pPr>
              <w:spacing w:after="0"/>
            </w:pPr>
            <w:r>
              <w:rPr>
                <w:sz w:val="16"/>
              </w:rPr>
              <w:t>Off</w:t>
            </w:r>
          </w:p>
        </w:tc>
      </w:tr>
      <w:tr>
        <w:trPr>
          <w:cantSplit/>
        </w:trPr>
        <w:tc>
          <w:tcPr>
            <w:tcW w:type="dxa" w:w="2520"/>
            <w:tcMar>
              <w:top w:w="90" w:type="dxa"/>
              <w:start w:w="110" w:type="dxa"/>
              <w:bottom w:w="90" w:type="dxa"/>
              <w:end w:w="110" w:type="dxa"/>
            </w:tcMar>
            <w:vAlign w:val="center"/>
          </w:tcPr>
          <w:p>
            <w:pPr>
              <w:spacing w:after="0"/>
              <w:jc w:val="center"/>
            </w:pPr>
            <w:r>
              <w:rPr>
                <w:sz w:val="16"/>
              </w:rPr>
              <w:t>--test-seed N</w:t>
            </w:r>
          </w:p>
        </w:tc>
        <w:tc>
          <w:tcPr>
            <w:tcW w:type="dxa" w:w="5976"/>
            <w:tcMar>
              <w:top w:w="90" w:type="dxa"/>
              <w:start w:w="110" w:type="dxa"/>
              <w:bottom w:w="90" w:type="dxa"/>
              <w:end w:w="110" w:type="dxa"/>
            </w:tcMar>
            <w:vAlign w:val="center"/>
          </w:tcPr>
          <w:p>
            <w:pPr>
              <w:spacing w:after="0"/>
            </w:pPr>
            <w:r>
              <w:rPr>
                <w:sz w:val="16"/>
              </w:rPr>
              <w:t>Set the campaign seed; each test derives a deterministic substream</w:t>
            </w:r>
          </w:p>
        </w:tc>
        <w:tc>
          <w:tcPr>
            <w:tcW w:type="dxa" w:w="1296"/>
            <w:tcMar>
              <w:top w:w="90" w:type="dxa"/>
              <w:start w:w="110" w:type="dxa"/>
              <w:bottom w:w="90" w:type="dxa"/>
              <w:end w:w="110" w:type="dxa"/>
            </w:tcMar>
            <w:vAlign w:val="center"/>
          </w:tcPr>
          <w:p>
            <w:pPr>
              <w:spacing w:after="0"/>
            </w:pPr>
            <w:r>
              <w:rPr>
                <w:sz w:val="16"/>
              </w:rPr>
              <w:t>Documented constant</w:t>
            </w:r>
          </w:p>
        </w:tc>
      </w:tr>
      <w:tr>
        <w:trPr>
          <w:cantSplit/>
        </w:trPr>
        <w:tc>
          <w:tcPr>
            <w:tcW w:type="dxa" w:w="2520"/>
            <w:shd w:fill="EAF1F8"/>
            <w:tcMar>
              <w:top w:w="90" w:type="dxa"/>
              <w:start w:w="110" w:type="dxa"/>
              <w:bottom w:w="90" w:type="dxa"/>
              <w:end w:w="110" w:type="dxa"/>
            </w:tcMar>
            <w:vAlign w:val="center"/>
          </w:tcPr>
          <w:p>
            <w:pPr>
              <w:spacing w:after="0"/>
              <w:jc w:val="center"/>
            </w:pPr>
            <w:r>
              <w:rPr>
                <w:sz w:val="16"/>
              </w:rPr>
              <w:t>--test-repeat N</w:t>
            </w:r>
          </w:p>
        </w:tc>
        <w:tc>
          <w:tcPr>
            <w:tcW w:type="dxa" w:w="5976"/>
            <w:shd w:fill="EAF1F8"/>
            <w:tcMar>
              <w:top w:w="90" w:type="dxa"/>
              <w:start w:w="110" w:type="dxa"/>
              <w:bottom w:w="90" w:type="dxa"/>
              <w:end w:w="110" w:type="dxa"/>
            </w:tcMar>
            <w:vAlign w:val="center"/>
          </w:tcPr>
          <w:p>
            <w:pPr>
              <w:spacing w:after="0"/>
            </w:pPr>
            <w:r>
              <w:rPr>
                <w:sz w:val="16"/>
              </w:rPr>
              <w:t>Repeat stochastic or scheduler-sensitive tests N times</w:t>
            </w:r>
          </w:p>
        </w:tc>
        <w:tc>
          <w:tcPr>
            <w:tcW w:type="dxa" w:w="1296"/>
            <w:shd w:fill="EAF1F8"/>
            <w:tcMar>
              <w:top w:w="90" w:type="dxa"/>
              <w:start w:w="110" w:type="dxa"/>
              <w:bottom w:w="90" w:type="dxa"/>
              <w:end w:w="110" w:type="dxa"/>
            </w:tcMar>
            <w:vAlign w:val="center"/>
          </w:tcPr>
          <w:p>
            <w:pPr>
              <w:spacing w:after="0"/>
            </w:pPr>
            <w:r>
              <w:rPr>
                <w:sz w:val="16"/>
              </w:rPr>
              <w:t>1</w:t>
            </w:r>
          </w:p>
        </w:tc>
      </w:tr>
      <w:tr>
        <w:trPr>
          <w:cantSplit/>
        </w:trPr>
        <w:tc>
          <w:tcPr>
            <w:tcW w:type="dxa" w:w="2520"/>
            <w:tcMar>
              <w:top w:w="90" w:type="dxa"/>
              <w:start w:w="110" w:type="dxa"/>
              <w:bottom w:w="90" w:type="dxa"/>
              <w:end w:w="110" w:type="dxa"/>
            </w:tcMar>
            <w:vAlign w:val="center"/>
          </w:tcPr>
          <w:p>
            <w:pPr>
              <w:spacing w:after="0"/>
              <w:jc w:val="center"/>
            </w:pPr>
            <w:r>
              <w:rPr>
                <w:sz w:val="16"/>
              </w:rPr>
              <w:t>--test-output DIR</w:t>
            </w:r>
          </w:p>
        </w:tc>
        <w:tc>
          <w:tcPr>
            <w:tcW w:type="dxa" w:w="5976"/>
            <w:tcMar>
              <w:top w:w="90" w:type="dxa"/>
              <w:start w:w="110" w:type="dxa"/>
              <w:bottom w:w="90" w:type="dxa"/>
              <w:end w:w="110" w:type="dxa"/>
            </w:tcMar>
            <w:vAlign w:val="center"/>
          </w:tcPr>
          <w:p>
            <w:pPr>
              <w:spacing w:after="0"/>
            </w:pPr>
            <w:r>
              <w:rPr>
                <w:sz w:val="16"/>
              </w:rPr>
              <w:t>Store JSON JUnit diagnostics and generated comparison files</w:t>
            </w:r>
          </w:p>
        </w:tc>
        <w:tc>
          <w:tcPr>
            <w:tcW w:type="dxa" w:w="1296"/>
            <w:tcMar>
              <w:top w:w="90" w:type="dxa"/>
              <w:start w:w="110" w:type="dxa"/>
              <w:bottom w:w="90" w:type="dxa"/>
              <w:end w:w="110" w:type="dxa"/>
            </w:tcMar>
            <w:vAlign w:val="center"/>
          </w:tcPr>
          <w:p>
            <w:pPr>
              <w:spacing w:after="0"/>
            </w:pPr>
            <w:r>
              <w:rPr>
                <w:sz w:val="16"/>
              </w:rPr>
              <w:t>test_output timestamp</w:t>
            </w:r>
          </w:p>
        </w:tc>
      </w:tr>
      <w:tr>
        <w:trPr>
          <w:cantSplit/>
        </w:trPr>
        <w:tc>
          <w:tcPr>
            <w:tcW w:type="dxa" w:w="2520"/>
            <w:shd w:fill="EAF1F8"/>
            <w:tcMar>
              <w:top w:w="90" w:type="dxa"/>
              <w:start w:w="110" w:type="dxa"/>
              <w:bottom w:w="90" w:type="dxa"/>
              <w:end w:w="110" w:type="dxa"/>
            </w:tcMar>
            <w:vAlign w:val="center"/>
          </w:tcPr>
          <w:p>
            <w:pPr>
              <w:spacing w:after="0"/>
              <w:jc w:val="center"/>
            </w:pPr>
            <w:r>
              <w:rPr>
                <w:sz w:val="16"/>
              </w:rPr>
              <w:t>--test-format text json junit</w:t>
            </w:r>
          </w:p>
        </w:tc>
        <w:tc>
          <w:tcPr>
            <w:tcW w:type="dxa" w:w="5976"/>
            <w:shd w:fill="EAF1F8"/>
            <w:tcMar>
              <w:top w:w="90" w:type="dxa"/>
              <w:start w:w="110" w:type="dxa"/>
              <w:bottom w:w="90" w:type="dxa"/>
              <w:end w:w="110" w:type="dxa"/>
            </w:tcMar>
            <w:vAlign w:val="center"/>
          </w:tcPr>
          <w:p>
            <w:pPr>
              <w:spacing w:after="0"/>
            </w:pPr>
            <w:r>
              <w:rPr>
                <w:sz w:val="16"/>
              </w:rPr>
              <w:t>Select the summary format while retaining machine-readable JSON evidence</w:t>
            </w:r>
          </w:p>
        </w:tc>
        <w:tc>
          <w:tcPr>
            <w:tcW w:type="dxa" w:w="1296"/>
            <w:shd w:fill="EAF1F8"/>
            <w:tcMar>
              <w:top w:w="90" w:type="dxa"/>
              <w:start w:w="110" w:type="dxa"/>
              <w:bottom w:w="90" w:type="dxa"/>
              <w:end w:w="110" w:type="dxa"/>
            </w:tcMar>
            <w:vAlign w:val="center"/>
          </w:tcPr>
          <w:p>
            <w:pPr>
              <w:spacing w:after="0"/>
            </w:pPr>
            <w:r>
              <w:rPr>
                <w:sz w:val="16"/>
              </w:rPr>
              <w:t>text and JSON</w:t>
            </w:r>
          </w:p>
        </w:tc>
      </w:tr>
      <w:tr>
        <w:trPr>
          <w:cantSplit/>
        </w:trPr>
        <w:tc>
          <w:tcPr>
            <w:tcW w:type="dxa" w:w="2520"/>
            <w:tcMar>
              <w:top w:w="90" w:type="dxa"/>
              <w:start w:w="110" w:type="dxa"/>
              <w:bottom w:w="90" w:type="dxa"/>
              <w:end w:w="110" w:type="dxa"/>
            </w:tcMar>
            <w:vAlign w:val="center"/>
          </w:tcPr>
          <w:p>
            <w:pPr>
              <w:spacing w:after="0"/>
              <w:jc w:val="center"/>
            </w:pPr>
            <w:r>
              <w:rPr>
                <w:sz w:val="16"/>
              </w:rPr>
              <w:t>--fail-fast</w:t>
            </w:r>
          </w:p>
        </w:tc>
        <w:tc>
          <w:tcPr>
            <w:tcW w:type="dxa" w:w="5976"/>
            <w:tcMar>
              <w:top w:w="90" w:type="dxa"/>
              <w:start w:w="110" w:type="dxa"/>
              <w:bottom w:w="90" w:type="dxa"/>
              <w:end w:w="110" w:type="dxa"/>
            </w:tcMar>
            <w:vAlign w:val="center"/>
          </w:tcPr>
          <w:p>
            <w:pPr>
              <w:spacing w:after="0"/>
            </w:pPr>
            <w:r>
              <w:rPr>
                <w:sz w:val="16"/>
              </w:rPr>
              <w:t>Stop after the first failure</w:t>
            </w:r>
          </w:p>
        </w:tc>
        <w:tc>
          <w:tcPr>
            <w:tcW w:type="dxa" w:w="1296"/>
            <w:tcMar>
              <w:top w:w="90" w:type="dxa"/>
              <w:start w:w="110" w:type="dxa"/>
              <w:bottom w:w="90" w:type="dxa"/>
              <w:end w:w="110" w:type="dxa"/>
            </w:tcMar>
            <w:vAlign w:val="center"/>
          </w:tcPr>
          <w:p>
            <w:pPr>
              <w:spacing w:after="0"/>
            </w:pPr>
            <w:r>
              <w:rPr>
                <w:sz w:val="16"/>
              </w:rPr>
              <w:t>Off</w:t>
            </w:r>
          </w:p>
        </w:tc>
      </w:tr>
      <w:tr>
        <w:trPr>
          <w:cantSplit/>
        </w:trPr>
        <w:tc>
          <w:tcPr>
            <w:tcW w:type="dxa" w:w="2520"/>
            <w:shd w:fill="EAF1F8"/>
            <w:tcMar>
              <w:top w:w="90" w:type="dxa"/>
              <w:start w:w="110" w:type="dxa"/>
              <w:bottom w:w="90" w:type="dxa"/>
              <w:end w:w="110" w:type="dxa"/>
            </w:tcMar>
            <w:vAlign w:val="center"/>
          </w:tcPr>
          <w:p>
            <w:pPr>
              <w:spacing w:after="0"/>
              <w:jc w:val="center"/>
            </w:pPr>
            <w:r>
              <w:rPr>
                <w:sz w:val="16"/>
              </w:rPr>
              <w:t>--keep-test-artifacts</w:t>
            </w:r>
          </w:p>
        </w:tc>
        <w:tc>
          <w:tcPr>
            <w:tcW w:type="dxa" w:w="5976"/>
            <w:shd w:fill="EAF1F8"/>
            <w:tcMar>
              <w:top w:w="90" w:type="dxa"/>
              <w:start w:w="110" w:type="dxa"/>
              <w:bottom w:w="90" w:type="dxa"/>
              <w:end w:w="110" w:type="dxa"/>
            </w:tcMar>
            <w:vAlign w:val="center"/>
          </w:tcPr>
          <w:p>
            <w:pPr>
              <w:spacing w:after="0"/>
            </w:pPr>
            <w:r>
              <w:rPr>
                <w:sz w:val="16"/>
              </w:rPr>
              <w:t>Keep successful temporary files as well as failure evidence</w:t>
            </w:r>
          </w:p>
        </w:tc>
        <w:tc>
          <w:tcPr>
            <w:tcW w:type="dxa" w:w="1296"/>
            <w:shd w:fill="EAF1F8"/>
            <w:tcMar>
              <w:top w:w="90" w:type="dxa"/>
              <w:start w:w="110" w:type="dxa"/>
              <w:bottom w:w="90" w:type="dxa"/>
              <w:end w:w="110" w:type="dxa"/>
            </w:tcMar>
            <w:vAlign w:val="center"/>
          </w:tcPr>
          <w:p>
            <w:pPr>
              <w:spacing w:after="0"/>
            </w:pPr>
            <w:r>
              <w:rPr>
                <w:sz w:val="16"/>
              </w:rPr>
              <w:t>Off</w:t>
            </w:r>
          </w:p>
        </w:tc>
      </w:tr>
      <w:tr>
        <w:trPr>
          <w:cantSplit/>
        </w:trPr>
        <w:tc>
          <w:tcPr>
            <w:tcW w:type="dxa" w:w="2520"/>
            <w:tcMar>
              <w:top w:w="90" w:type="dxa"/>
              <w:start w:w="110" w:type="dxa"/>
              <w:bottom w:w="90" w:type="dxa"/>
              <w:end w:w="110" w:type="dxa"/>
            </w:tcMar>
            <w:vAlign w:val="center"/>
          </w:tcPr>
          <w:p>
            <w:pPr>
              <w:spacing w:after="0"/>
              <w:jc w:val="center"/>
            </w:pPr>
            <w:r>
              <w:rPr>
                <w:sz w:val="16"/>
              </w:rPr>
              <w:t>--mover parker fte-dmumu fte-mfp</w:t>
            </w:r>
          </w:p>
        </w:tc>
        <w:tc>
          <w:tcPr>
            <w:tcW w:type="dxa" w:w="5976"/>
            <w:tcMar>
              <w:top w:w="90" w:type="dxa"/>
              <w:start w:w="110" w:type="dxa"/>
              <w:bottom w:w="90" w:type="dxa"/>
              <w:end w:w="110" w:type="dxa"/>
            </w:tcMar>
            <w:vAlign w:val="center"/>
          </w:tcPr>
          <w:p>
            <w:pPr>
              <w:spacing w:after="0"/>
            </w:pPr>
            <w:r>
              <w:rPr>
                <w:sz w:val="16"/>
              </w:rPr>
              <w:t>Select the production mover for a mover-dependent test or run</w:t>
            </w:r>
          </w:p>
        </w:tc>
        <w:tc>
          <w:tcPr>
            <w:tcW w:type="dxa" w:w="1296"/>
            <w:tcMar>
              <w:top w:w="90" w:type="dxa"/>
              <w:start w:w="110" w:type="dxa"/>
              <w:bottom w:w="90" w:type="dxa"/>
              <w:end w:w="110" w:type="dxa"/>
            </w:tcMar>
            <w:vAlign w:val="center"/>
          </w:tcPr>
          <w:p>
            <w:pPr>
              <w:spacing w:after="0"/>
            </w:pPr>
            <w:r>
              <w:rPr>
                <w:sz w:val="16"/>
              </w:rPr>
              <w:t>fte-dmumu after transition</w:t>
            </w:r>
          </w:p>
        </w:tc>
      </w:tr>
    </w:tbl>
    <w:p>
      <w:pPr>
        <w:spacing w:after="20"/>
      </w:pPr>
    </w:p>
    <w:p>
      <w:pPr>
        <w:pStyle w:val="Heading2"/>
        <w:keepNext/>
      </w:pPr>
      <w:r>
        <w:t>5.3 Test registry</w:t>
      </w:r>
    </w:p>
    <w:p>
      <w:pPr>
        <w:keepLines w:val="0"/>
      </w:pPr>
      <w:r>
        <w:t>Replace TestManager with a registry of independent cases. A test declares its initialization level so a coefficient test can run without constructing the complete AMPS mesh, while a mover integration test can request field-line, particle-buffer, turbulence, or MPI initialization.</w:t>
      </w:r>
    </w:p>
    <w:p>
      <w:pPr>
        <w:pStyle w:val="Code"/>
        <w:keepLines/>
        <w:spacing w:after="0"/>
      </w:pPr>
      <w:r>
        <w:t>enum class TestInit {</w:t>
      </w:r>
    </w:p>
    <w:p>
      <w:pPr>
        <w:pStyle w:val="Code"/>
        <w:keepLines/>
        <w:spacing w:after="0"/>
      </w:pPr>
      <w:r>
        <w:t xml:space="preserve">  None,</w:t>
      </w:r>
    </w:p>
    <w:p>
      <w:pPr>
        <w:pStyle w:val="Code"/>
        <w:keepLines/>
        <w:spacing w:after="0"/>
      </w:pPr>
      <w:r>
        <w:t xml:space="preserve">  Model,</w:t>
      </w:r>
    </w:p>
    <w:p>
      <w:pPr>
        <w:pStyle w:val="Code"/>
        <w:keepLines/>
        <w:spacing w:after="0"/>
      </w:pPr>
      <w:r>
        <w:t xml:space="preserve">  FieldLine,</w:t>
      </w:r>
    </w:p>
    <w:p>
      <w:pPr>
        <w:pStyle w:val="Code"/>
        <w:keepLines/>
        <w:spacing w:after="0"/>
      </w:pPr>
      <w:r>
        <w:t xml:space="preserve">  Turbulence,</w:t>
      </w:r>
    </w:p>
    <w:p>
      <w:pPr>
        <w:pStyle w:val="Code"/>
        <w:keepLines/>
        <w:spacing w:after="0"/>
      </w:pPr>
      <w:r>
        <w:t xml:space="preserve">  ParticleSystem,</w:t>
      </w:r>
    </w:p>
    <w:p>
      <w:pPr>
        <w:pStyle w:val="Code"/>
        <w:keepLines/>
        <w:spacing w:after="0"/>
      </w:pPr>
      <w:r>
        <w:t xml:space="preserve">  MpiFieldLine</w:t>
      </w:r>
    </w:p>
    <w:p>
      <w:pPr>
        <w:pStyle w:val="Code"/>
        <w:keepLines/>
        <w:spacing w:after="0"/>
      </w:pPr>
      <w:r>
        <w:t>};</w:t>
      </w:r>
    </w:p>
    <w:p>
      <w:pPr>
        <w:pStyle w:val="Code"/>
        <w:keepLines/>
        <w:spacing w:after="0"/>
      </w:pPr>
      <w:r/>
    </w:p>
    <w:p>
      <w:pPr>
        <w:pStyle w:val="Code"/>
        <w:keepLines/>
        <w:spacing w:after="0"/>
      </w:pPr>
      <w:r>
        <w:t>struct TestCase {</w:t>
      </w:r>
    </w:p>
    <w:p>
      <w:pPr>
        <w:pStyle w:val="Code"/>
        <w:keepLines/>
        <w:spacing w:after="0"/>
      </w:pPr>
      <w:r>
        <w:t xml:space="preserve">  std::string id;</w:t>
      </w:r>
    </w:p>
    <w:p>
      <w:pPr>
        <w:pStyle w:val="Code"/>
        <w:keepLines/>
        <w:spacing w:after="0"/>
      </w:pPr>
      <w:r>
        <w:t xml:space="preserve">  std::string group;</w:t>
      </w:r>
    </w:p>
    <w:p>
      <w:pPr>
        <w:pStyle w:val="Code"/>
        <w:keepLines/>
        <w:spacing w:after="0"/>
      </w:pPr>
      <w:r>
        <w:t xml:space="preserve">  std::string description;</w:t>
      </w:r>
    </w:p>
    <w:p>
      <w:pPr>
        <w:pStyle w:val="Code"/>
        <w:keepLines/>
        <w:spacing w:after="0"/>
      </w:pPr>
      <w:r>
        <w:t xml:space="preserve">  TestInit required_init;</w:t>
      </w:r>
    </w:p>
    <w:p>
      <w:pPr>
        <w:pStyle w:val="Code"/>
        <w:keepLines/>
        <w:spacing w:after="0"/>
      </w:pPr>
      <w:r>
        <w:t xml:space="preserve">  bool deterministic;</w:t>
      </w:r>
    </w:p>
    <w:p>
      <w:pPr>
        <w:pStyle w:val="Code"/>
        <w:keepLines/>
        <w:spacing w:after="0"/>
      </w:pPr>
      <w:r>
        <w:t xml:space="preserve">  std::function&lt;TestResult(TestContext&amp;)&gt; run;</w:t>
      </w:r>
    </w:p>
    <w:p>
      <w:pPr>
        <w:pStyle w:val="Code"/>
        <w:keepLines/>
        <w:spacing w:after="0"/>
      </w:pPr>
      <w:r>
        <w:t>};</w:t>
      </w:r>
    </w:p>
    <w:p>
      <w:pPr>
        <w:spacing w:after="20"/>
      </w:pPr>
    </w:p>
    <w:p>
      <w:pPr>
        <w:spacing w:after="60"/>
        <w:ind w:left="360" w:hanging="288"/>
      </w:pPr>
      <w:r>
        <w:t>•  IDs are stable and case-insensitive at the CLI boundary but stored in canonical uppercase form.</w:t>
      </w:r>
    </w:p>
    <w:p>
      <w:pPr>
        <w:spacing w:after="60"/>
        <w:ind w:left="360" w:hanging="288"/>
      </w:pPr>
      <w:r>
        <w:t>•  Duplicate IDs, empty descriptions, unknown groups, and tests with unavailable initialization levels fail registry construction.</w:t>
      </w:r>
    </w:p>
    <w:p>
      <w:pPr>
        <w:spacing w:after="60"/>
        <w:ind w:left="360" w:hanging="288"/>
      </w:pPr>
      <w:r>
        <w:t>•  Each TestResult records PASS, FAIL, SKIP, or ERROR; metrics; tolerances; seed; mover; provider configuration; elapsed time; and artifact paths.</w:t>
      </w:r>
    </w:p>
    <w:p>
      <w:pPr>
        <w:spacing w:after="60"/>
        <w:ind w:left="360" w:hanging="288"/>
      </w:pPr>
      <w:r>
        <w:t>•  A test fails by returning a result. It must not rely on a local boolean that is never reported, and it must not call exit from inside the physics kernel.</w:t>
      </w:r>
    </w:p>
    <w:p>
      <w:pPr>
        <w:spacing w:after="60"/>
        <w:ind w:left="360" w:hanging="288"/>
      </w:pPr>
      <w:r>
        <w:t>•  Tests that mutate global AMPS or SEP state run in an isolated fixture or child process. RAII cleanup restores function pointers, coefficient providers, random seeds, field-line data, and output paths.</w:t>
      </w:r>
    </w:p>
    <w:p>
      <w:pPr>
        <w:pStyle w:val="Heading2"/>
        <w:keepNext/>
      </w:pPr>
      <w:r>
        <w:t>5.4 Standalone gating</w:t>
      </w:r>
    </w:p>
    <w:p>
      <w:pPr>
        <w:keepLines w:val="0"/>
      </w:pPr>
      <w:r>
        <w:t>The standalone main function remains the only owner of argc and argv. The SWMF-coupled library functions amps_init_mesh, amps_init, and amps_time_step do not parse process arguments and never enter the standalone test registry. Preserve the existing --test-manager behavior in standalone runs during a compatibility period by mapping it to a named legacy diagnostic group or wrapper. Do not silently reinterpret it. A coupled integration test uses a separately built harness with explicit mock/SWMF inputs.</w:t>
      </w:r>
    </w:p>
    <w:p>
      <w:pPr>
        <w:pStyle w:val="Code"/>
        <w:keepLines/>
        <w:spacing w:after="0"/>
      </w:pPr>
      <w:r>
        <w:t>int main(int argc, char** argv) {</w:t>
      </w:r>
    </w:p>
    <w:p>
      <w:pPr>
        <w:pStyle w:val="Code"/>
        <w:keepLines/>
        <w:spacing w:after="0"/>
      </w:pPr>
      <w:r>
        <w:t xml:space="preserve">  CommandLine command = ParseCommandLine(argc, argv);</w:t>
      </w:r>
    </w:p>
    <w:p>
      <w:pPr>
        <w:pStyle w:val="Code"/>
        <w:keepLines/>
        <w:spacing w:after="0"/>
      </w:pPr>
      <w:r>
        <w:t xml:space="preserve">  if (command.mode == RunMode::ListTests) return ListTests(command);</w:t>
      </w:r>
    </w:p>
    <w:p>
      <w:pPr>
        <w:pStyle w:val="Code"/>
        <w:keepLines/>
        <w:spacing w:after="0"/>
      </w:pPr>
      <w:r>
        <w:t xml:space="preserve">  if (command.mode == RunMode::Tests) return RunSelectedTests(command);</w:t>
      </w:r>
    </w:p>
    <w:p>
      <w:pPr>
        <w:pStyle w:val="Code"/>
        <w:keepLines/>
        <w:spacing w:after="0"/>
      </w:pPr>
      <w:r>
        <w:t xml:space="preserve">  return RunStandaloneSimulation(command);</w:t>
      </w:r>
    </w:p>
    <w:p>
      <w:pPr>
        <w:pStyle w:val="Code"/>
        <w:keepLines/>
        <w:spacing w:after="0"/>
      </w:pPr>
      <w:r>
        <w:t>}</w:t>
      </w:r>
    </w:p>
    <w:p>
      <w:pPr>
        <w:spacing w:after="20"/>
      </w:pPr>
    </w:p>
    <w:p>
      <w:pPr>
        <w:pStyle w:val="Heading2"/>
        <w:keepNext/>
      </w:pPr>
      <w:r>
        <w:t>5.5 Exit status and evidence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1152"/>
            <w:shd w:fill="17365D"/>
            <w:tcMar>
              <w:top w:w="90" w:type="dxa"/>
              <w:start w:w="110" w:type="dxa"/>
              <w:bottom w:w="90" w:type="dxa"/>
              <w:end w:w="110" w:type="dxa"/>
            </w:tcMar>
            <w:vAlign w:val="center"/>
          </w:tcPr>
          <w:p>
            <w:pPr>
              <w:spacing w:after="0"/>
              <w:jc w:val="center"/>
            </w:pPr>
            <w:r>
              <w:rPr>
                <w:b/>
                <w:color w:val="FFFFFF"/>
                <w:sz w:val="17"/>
              </w:rPr>
              <w:t>Code</w:t>
            </w:r>
          </w:p>
        </w:tc>
        <w:tc>
          <w:tcPr>
            <w:tcW w:type="dxa" w:w="8640"/>
            <w:shd w:fill="17365D"/>
            <w:tcMar>
              <w:top w:w="90" w:type="dxa"/>
              <w:start w:w="110" w:type="dxa"/>
              <w:bottom w:w="90" w:type="dxa"/>
              <w:end w:w="110" w:type="dxa"/>
            </w:tcMar>
            <w:vAlign w:val="center"/>
          </w:tcPr>
          <w:p>
            <w:pPr>
              <w:spacing w:after="0"/>
              <w:jc w:val="center"/>
            </w:pPr>
            <w:r>
              <w:rPr>
                <w:b/>
                <w:color w:val="FFFFFF"/>
                <w:sz w:val="17"/>
              </w:rPr>
              <w:t>Meaning</w:t>
            </w:r>
          </w:p>
        </w:tc>
      </w:tr>
      <w:tr>
        <w:trPr>
          <w:cantSplit/>
        </w:trPr>
        <w:tc>
          <w:tcPr>
            <w:tcW w:type="dxa" w:w="1152"/>
            <w:tcMar>
              <w:top w:w="90" w:type="dxa"/>
              <w:start w:w="110" w:type="dxa"/>
              <w:bottom w:w="90" w:type="dxa"/>
              <w:end w:w="110" w:type="dxa"/>
            </w:tcMar>
            <w:vAlign w:val="center"/>
          </w:tcPr>
          <w:p>
            <w:pPr>
              <w:spacing w:after="0"/>
            </w:pPr>
            <w:r>
              <w:rPr>
                <w:sz w:val="17"/>
              </w:rPr>
              <w:t>0</w:t>
            </w:r>
          </w:p>
        </w:tc>
        <w:tc>
          <w:tcPr>
            <w:tcW w:type="dxa" w:w="8640"/>
            <w:tcMar>
              <w:top w:w="90" w:type="dxa"/>
              <w:start w:w="110" w:type="dxa"/>
              <w:bottom w:w="90" w:type="dxa"/>
              <w:end w:w="110" w:type="dxa"/>
            </w:tcMar>
            <w:vAlign w:val="center"/>
          </w:tcPr>
          <w:p>
            <w:pPr>
              <w:spacing w:after="0"/>
            </w:pPr>
            <w:r>
              <w:rPr>
                <w:sz w:val="17"/>
              </w:rPr>
              <w:t>Every selected test passed; skips are allowed only when the selected campaign policy permits them</w:t>
            </w:r>
          </w:p>
        </w:tc>
      </w:tr>
      <w:tr>
        <w:trPr>
          <w:cantSplit/>
        </w:trPr>
        <w:tc>
          <w:tcPr>
            <w:tcW w:type="dxa" w:w="1152"/>
            <w:shd w:fill="EAF1F8"/>
            <w:tcMar>
              <w:top w:w="90" w:type="dxa"/>
              <w:start w:w="110" w:type="dxa"/>
              <w:bottom w:w="90" w:type="dxa"/>
              <w:end w:w="110" w:type="dxa"/>
            </w:tcMar>
            <w:vAlign w:val="center"/>
          </w:tcPr>
          <w:p>
            <w:pPr>
              <w:spacing w:after="0"/>
            </w:pPr>
            <w:r>
              <w:rPr>
                <w:sz w:val="17"/>
              </w:rPr>
              <w:t>1</w:t>
            </w:r>
          </w:p>
        </w:tc>
        <w:tc>
          <w:tcPr>
            <w:tcW w:type="dxa" w:w="8640"/>
            <w:shd w:fill="EAF1F8"/>
            <w:tcMar>
              <w:top w:w="90" w:type="dxa"/>
              <w:start w:w="110" w:type="dxa"/>
              <w:bottom w:w="90" w:type="dxa"/>
              <w:end w:w="110" w:type="dxa"/>
            </w:tcMar>
            <w:vAlign w:val="center"/>
          </w:tcPr>
          <w:p>
            <w:pPr>
              <w:spacing w:after="0"/>
            </w:pPr>
            <w:r>
              <w:rPr>
                <w:sz w:val="17"/>
              </w:rPr>
              <w:t>At least one scientific or numerical assertion failed</w:t>
            </w:r>
          </w:p>
        </w:tc>
      </w:tr>
      <w:tr>
        <w:trPr>
          <w:cantSplit/>
        </w:trPr>
        <w:tc>
          <w:tcPr>
            <w:tcW w:type="dxa" w:w="1152"/>
            <w:tcMar>
              <w:top w:w="90" w:type="dxa"/>
              <w:start w:w="110" w:type="dxa"/>
              <w:bottom w:w="90" w:type="dxa"/>
              <w:end w:w="110" w:type="dxa"/>
            </w:tcMar>
            <w:vAlign w:val="center"/>
          </w:tcPr>
          <w:p>
            <w:pPr>
              <w:spacing w:after="0"/>
            </w:pPr>
            <w:r>
              <w:rPr>
                <w:sz w:val="17"/>
              </w:rPr>
              <w:t>2</w:t>
            </w:r>
          </w:p>
        </w:tc>
        <w:tc>
          <w:tcPr>
            <w:tcW w:type="dxa" w:w="8640"/>
            <w:tcMar>
              <w:top w:w="90" w:type="dxa"/>
              <w:start w:w="110" w:type="dxa"/>
              <w:bottom w:w="90" w:type="dxa"/>
              <w:end w:w="110" w:type="dxa"/>
            </w:tcMar>
            <w:vAlign w:val="center"/>
          </w:tcPr>
          <w:p>
            <w:pPr>
              <w:spacing w:after="0"/>
            </w:pPr>
            <w:r>
              <w:rPr>
                <w:sz w:val="17"/>
              </w:rPr>
              <w:t>Invalid CLI selection malformed configuration or test setup error</w:t>
            </w:r>
          </w:p>
        </w:tc>
      </w:tr>
      <w:tr>
        <w:trPr>
          <w:cantSplit/>
        </w:trPr>
        <w:tc>
          <w:tcPr>
            <w:tcW w:type="dxa" w:w="1152"/>
            <w:shd w:fill="EAF1F8"/>
            <w:tcMar>
              <w:top w:w="90" w:type="dxa"/>
              <w:start w:w="110" w:type="dxa"/>
              <w:bottom w:w="90" w:type="dxa"/>
              <w:end w:w="110" w:type="dxa"/>
            </w:tcMar>
            <w:vAlign w:val="center"/>
          </w:tcPr>
          <w:p>
            <w:pPr>
              <w:spacing w:after="0"/>
            </w:pPr>
            <w:r>
              <w:rPr>
                <w:sz w:val="17"/>
              </w:rPr>
              <w:t>3</w:t>
            </w:r>
          </w:p>
        </w:tc>
        <w:tc>
          <w:tcPr>
            <w:tcW w:type="dxa" w:w="8640"/>
            <w:shd w:fill="EAF1F8"/>
            <w:tcMar>
              <w:top w:w="90" w:type="dxa"/>
              <w:start w:w="110" w:type="dxa"/>
              <w:bottom w:w="90" w:type="dxa"/>
              <w:end w:w="110" w:type="dxa"/>
            </w:tcMar>
            <w:vAlign w:val="center"/>
          </w:tcPr>
          <w:p>
            <w:pPr>
              <w:spacing w:after="0"/>
            </w:pPr>
            <w:r>
              <w:rPr>
                <w:sz w:val="17"/>
              </w:rPr>
              <w:t>Internal error exception nonfinite unclassified result or incomplete evidence write</w:t>
            </w:r>
          </w:p>
        </w:tc>
      </w:tr>
    </w:tbl>
    <w:p>
      <w:pPr>
        <w:spacing w:after="20"/>
      </w:pPr>
    </w:p>
    <w:p>
      <w:pPr>
        <w:keepLines w:val="0"/>
      </w:pPr>
      <w:r>
        <w:t>Every campaign writes one summary JSON file even when a selected test fails. Individual tests may write detailed JSON, CSV, Tecplot, or figure artifacts, but the CLI summary remains the authoritative pass or fail record. Console output uses one line per case so it remains readable in batch jobs.</w:t>
      </w:r>
    </w:p>
    <w:p>
      <w:pPr>
        <w:pStyle w:val="Heading1"/>
        <w:keepNext/>
      </w:pPr>
      <w:r>
        <w:t>6 Step by step implementation plan</w:t>
      </w:r>
    </w:p>
    <w:p>
      <w:pPr>
        <w:keepLines w:val="0"/>
      </w:pPr>
      <w:r>
        <w:t>The sequence below keeps the application runnable after each change. The standalone test registry is introduced before mover removal so every later step can have a focused executable test and a clear completion gate.</w:t>
      </w:r>
    </w:p>
    <w:p>
      <w:pPr>
        <w:pStyle w:val="Heading2"/>
        <w:keepNext/>
      </w:pPr>
      <w:r>
        <w:t>Step 0 Preserve and measure the current baseline</w:t>
      </w:r>
    </w:p>
    <w:p>
      <w:pPr>
        <w:keepLines w:val="0"/>
      </w:pPr>
      <w:r>
        <w:rPr>
          <w:b/>
        </w:rPr>
        <w:t xml:space="preserve">Objective  </w:t>
      </w:r>
      <w:r>
        <w:t>Create a recoverable boundary between the current combined application and the field-line-only implementation.</w:t>
      </w:r>
    </w:p>
    <w:p>
      <w:pPr>
        <w:keepLines w:val="0"/>
      </w:pPr>
      <w:r/>
      <w:r>
        <w:rPr>
          <w:b/>
        </w:rPr>
        <w:t>Implementation actions</w:t>
      </w:r>
    </w:p>
    <w:p>
      <w:pPr>
        <w:spacing w:after="60"/>
        <w:ind w:left="360" w:hanging="360"/>
      </w:pPr>
      <w:r>
        <w:t>1.  Create a permanent repository tag and record the complete commit identifier used for the migration.</w:t>
      </w:r>
    </w:p>
    <w:p>
      <w:pPr>
        <w:spacing w:after="60"/>
        <w:ind w:left="360" w:hanging="360"/>
      </w:pPr>
      <w:r>
        <w:t>2.  Build every currently supported configuration in its native AMPS tree and record compiler, MPI implementation, macros, dependency commits, and runtime options.</w:t>
      </w:r>
    </w:p>
    <w:p>
      <w:pPr>
        <w:spacing w:after="60"/>
        <w:ind w:left="360" w:hanging="360"/>
      </w:pPr>
      <w:r>
        <w:t>3.  Run existing srcSEP diagnostics and the embedded SWCME suite. Save hashes of representative particle and field-line outputs.</w:t>
      </w:r>
    </w:p>
    <w:p>
      <w:pPr>
        <w:spacing w:after="60"/>
        <w:ind w:left="360" w:hanging="360"/>
      </w:pPr>
      <w:r>
        <w:t>4.  Create migration_manifest.md listing every mover symbol, source file, test, compile macro, and destination application.</w:t>
      </w:r>
    </w:p>
    <w:p>
      <w:pPr>
        <w:spacing w:after="60"/>
        <w:ind w:left="360" w:hanging="360"/>
      </w:pPr>
      <w:r>
        <w:t>5.  Record current wall time, peak memory, particle count, deterministic output hashes, --help text, no-argument behavior, effective-configuration text, accepted aliases, error messages, and exit codes for a small Parker-line case.</w:t>
      </w:r>
    </w:p>
    <w:p>
      <w:pPr>
        <w:keepLines w:val="0"/>
      </w:pPr>
      <w:r>
        <w:rPr>
          <w:b/>
        </w:rPr>
        <w:t xml:space="preserve">Primary files  </w:t>
      </w:r>
      <w:r>
        <w:t>makefile, sep.h, mover.cpp, drift.cpp, tests.cpp, util/sep_cli.cpp.</w:t>
      </w:r>
    </w:p>
    <w:p>
      <w:pPr>
        <w:keepLines w:val="0"/>
      </w:pPr>
      <w:r>
        <w:t>Focused tests  BASE01 inventory completeness, BASE02 clean native build, BASE03 reproducible baseline run, and PCLI01-PCLI12 current command-line compatibility tests.</w:t>
      </w:r>
    </w:p>
    <w:p>
      <w:pPr>
        <w:keepLines w:val="0"/>
      </w:pPr>
      <w:r>
        <w:t>Completion gate  The tag, manifest, build record, production CLI contract, test results, and output hashes are stored before any mover is removed or any CLI option is renamed.</w:t>
      </w:r>
    </w:p>
    <w:p>
      <w:pPr>
        <w:pStyle w:val="Heading2"/>
        <w:keepNext/>
      </w:pPr>
      <w:r>
        <w:t>Step 1 Preserve and extend the existing CLI with a selectable test registry</w:t>
      </w:r>
    </w:p>
    <w:p>
      <w:pPr>
        <w:keepLines w:val="0"/>
      </w:pPr>
      <w:r>
        <w:t>Objective  Keep the current production CLI fully functional and covered by regression tests while evolving the unstructured TestManager entry into a selectable test service.</w:t>
      </w:r>
    </w:p>
    <w:p>
      <w:pPr>
        <w:keepLines w:val="0"/>
      </w:pPr>
      <w:r/>
      <w:r>
        <w:rPr>
          <w:b/>
        </w:rPr>
        <w:t>Implementation actions</w:t>
      </w:r>
    </w:p>
    <w:p>
      <w:pPr>
        <w:spacing w:after="60"/>
        <w:ind w:left="360" w:hanging="360"/>
      </w:pPr>
      <w:r>
        <w:t>1.  Inventory util/sep_cli.h, util/sep_cli.cpp, main.cpp, the post-compile input path, and main_lib.cpp. Freeze the current defaults, aliases, case handling, two value syntaxes, validation errors, last-occurrence precedence, early-help path, application order, effective-configuration output, and exit codes as PCLI01-PCLI12.</w:t>
      </w:r>
    </w:p>
    <w:p>
      <w:pPr>
        <w:spacing w:after="60"/>
        <w:ind w:left="360" w:hanging="360"/>
      </w:pPr>
      <w:r>
        <w:t>2.  Add RunMode and test-selection fields to the existing Options structure without changing current production-field defaults. Parse --list-tests, --test, --tests, --all-tests, --test-seed, --test-repeat, --test-output, --test-format, and --fail-fast in the same parser.</w:t>
      </w:r>
    </w:p>
    <w:p>
      <w:pPr>
        <w:spacing w:after="60"/>
        <w:ind w:left="360" w:hanging="360"/>
      </w:pPr>
      <w:r>
        <w:t>3.  Preserve --test-manager, --testmanager, --run-test-manager, and --no-test-manager during the compatibility window. Map an enabled legacy switch to the same aggregate diagnostic behavior or a clearly named legacy group, emit any deprecation warning deterministically, and test it.</w:t>
      </w:r>
    </w:p>
    <w:p>
      <w:pPr>
        <w:spacing w:after="60"/>
        <w:ind w:left="360" w:hanging="360"/>
      </w:pPr>
      <w:r>
        <w:t>4.  Implement TestCase, TestResult, TestContext, and TestRegistry with duplicate-ID validation; wrap one existing safe diagnostic and verify that the executable exits after the selected test.</w:t>
      </w:r>
    </w:p>
    <w:p>
      <w:pPr>
        <w:spacing w:after="60"/>
        <w:ind w:left="360" w:hanging="360"/>
      </w:pPr>
      <w:r>
        <w:t>5.  Dispatch Help, ListTests, and Tests before production initialization; retain normal production initialization for no arguments and production controls; verify that no test-selection path falls through into the simulation loop.</w:t>
      </w:r>
    </w:p>
    <w:p>
      <w:pPr>
        <w:spacing w:after="60"/>
        <w:ind w:left="360" w:hanging="360"/>
      </w:pPr>
      <w:r>
        <w:t>6.  Keep the coupled library free of process-CLI parsing and automatic tests. Add make targets test-cli, test-list, test-case, test-group, and test using the standalone executable.</w:t>
      </w:r>
    </w:p>
    <w:p>
      <w:pPr>
        <w:keepLines w:val="0"/>
      </w:pPr>
      <w:r>
        <w:rPr>
          <w:b/>
        </w:rPr>
        <w:t xml:space="preserve">Primary files  </w:t>
      </w:r>
      <w:r>
        <w:t>util/sep_cli.h, util/sep_cli.cpp, main.cpp, main_lib.cpp, tests.cpp, tests.h, makefile.</w:t>
      </w:r>
    </w:p>
    <w:p>
      <w:pPr>
        <w:keepLines w:val="0"/>
      </w:pPr>
      <w:r>
        <w:rPr>
          <w:b/>
        </w:rPr>
        <w:t xml:space="preserve">Dependencies  </w:t>
      </w:r>
      <w:r>
        <w:t>Step 0</w:t>
      </w:r>
    </w:p>
    <w:p>
      <w:pPr>
        <w:keepLines w:val="0"/>
      </w:pPr>
      <w:r>
        <w:t>Focused tests  PCLI01-PCLI12 for the existing production surface, followed by CLI01-CLI05 and registry-internal tests for listing, selection, conflicts, failure propagation, and coupled-mode isolation.</w:t>
      </w:r>
    </w:p>
    <w:p>
      <w:pPr>
        <w:keepLines w:val="0"/>
      </w:pPr>
      <w:r>
        <w:t>Completion gate  PCLI01-PCLI12 pass against the preserved production behavior; one command lists tests; one command runs a single case; legacy --test-manager behavior is accounted for; and coupled library initialization never parses CLI options or triggers the standalone test manager.</w:t>
      </w:r>
    </w:p>
    <w:p>
      <w:pPr>
        <w:pStyle w:val="Heading2"/>
        <w:keepNext/>
      </w:pPr>
      <w:r>
        <w:t>Step 2 Create an immutable background snapshot and one simulation clock</w:t>
      </w:r>
    </w:p>
    <w:p>
      <w:pPr>
        <w:keepLines w:val="0"/>
      </w:pPr>
      <w:r>
        <w:rPr>
          <w:b/>
        </w:rPr>
        <w:t xml:space="preserve">Objective  </w:t>
      </w:r>
      <w:r>
        <w:t>Make every production mover use the same field-line and plasma state for the same physical time interval.</w:t>
      </w:r>
    </w:p>
    <w:p>
      <w:pPr>
        <w:keepLines w:val="0"/>
      </w:pPr>
      <w:r/>
      <w:r>
        <w:rPr>
          <w:b/>
        </w:rPr>
        <w:t>Implementation actions</w:t>
      </w:r>
    </w:p>
    <w:p>
      <w:pPr>
        <w:spacing w:after="60"/>
        <w:ind w:left="360" w:hanging="360"/>
      </w:pPr>
      <w:r>
        <w:t>1.  Define BackgroundProvider and FieldLineState interfaces with SI units and explicit status values.</w:t>
      </w:r>
    </w:p>
    <w:p>
      <w:pPr>
        <w:spacing w:after="60"/>
        <w:ind w:left="360" w:hanging="360"/>
      </w:pPr>
      <w:r>
        <w:t>2.  Implement analytic, SWCME, and SWMF adapters without changing their physics yet.</w:t>
      </w:r>
    </w:p>
    <w:p>
      <w:pPr>
        <w:spacing w:after="60"/>
        <w:ind w:left="360" w:hanging="360"/>
      </w:pPr>
      <w:r>
        <w:t>3.  Replace direct mover reads of SWMF globals, SW1DAdapter globals, and local Parker constants with snapshot fields.</w:t>
      </w:r>
    </w:p>
    <w:p>
      <w:pPr>
        <w:spacing w:after="60"/>
        <w:ind w:left="360" w:hanging="360"/>
      </w:pPr>
      <w:r>
        <w:t>4.  Publish the SWCME snapshot before injection and particle motion and remove the private t_since_launch clock.</w:t>
      </w:r>
    </w:p>
    <w:p>
      <w:pPr>
        <w:spacing w:after="60"/>
        <w:ind w:left="360" w:hanging="360"/>
      </w:pPr>
      <w:r>
        <w:t>5.  Attach epoch, provider instance, configuration fingerprint, and field-line generation metadata to every snapshot.</w:t>
      </w:r>
    </w:p>
    <w:p>
      <w:pPr>
        <w:spacing w:after="60"/>
        <w:ind w:left="360" w:hanging="360"/>
      </w:pPr>
      <w:r>
        <w:t>6.  Reject stale, cross-provider, cross-configuration, nonfinite, and outside-domain states.</w:t>
      </w:r>
    </w:p>
    <w:p>
      <w:pPr>
        <w:keepLines w:val="0"/>
      </w:pPr>
      <w:r>
        <w:rPr>
          <w:b/>
        </w:rPr>
        <w:t xml:space="preserve">Primary files  </w:t>
      </w:r>
      <w:r>
        <w:t>main.cpp, main_lib.cpp, sw1d.cpp, shock_analytical_model.cpp, mesh.cpp, new background provider files.</w:t>
      </w:r>
    </w:p>
    <w:p>
      <w:pPr>
        <w:keepLines w:val="0"/>
      </w:pPr>
      <w:r>
        <w:rPr>
          <w:b/>
        </w:rPr>
        <w:t xml:space="preserve">Dependencies  </w:t>
      </w:r>
      <w:r>
        <w:t>Step 1</w:t>
      </w:r>
    </w:p>
    <w:p>
      <w:pPr>
        <w:keepLines w:val="0"/>
      </w:pPr>
      <w:r>
        <w:rPr>
          <w:b/>
        </w:rPr>
        <w:t xml:space="preserve">Focused tests  </w:t>
      </w:r>
      <w:r>
        <w:t>BG01 provider identity, BG02 epoch ordering, BG03 first-step readiness, BG04 SWCME standalone equivalence, BG05 SWMF preservation, and BG06 state rejection.</w:t>
      </w:r>
    </w:p>
    <w:p>
      <w:pPr>
        <w:keepLines w:val="0"/>
      </w:pPr>
      <w:r>
        <w:rPr>
          <w:b/>
        </w:rPr>
        <w:t xml:space="preserve">Completion gate  </w:t>
      </w:r>
      <w:r>
        <w:t>The first particle step uses a valid time-zero state, every operator in a step reports the same epoch, and no imported velocity density IMF or turbulence is overwritten.</w:t>
      </w:r>
    </w:p>
    <w:p>
      <w:pPr>
        <w:pStyle w:val="Heading2"/>
        <w:keepNext/>
      </w:pPr>
      <w:r>
        <w:t>Step 3 Correct shared units flux tube geometry and source normalization</w:t>
      </w:r>
    </w:p>
    <w:p>
      <w:pPr>
        <w:keepLines w:val="0"/>
      </w:pPr>
      <w:r>
        <w:rPr>
          <w:b/>
        </w:rPr>
        <w:t xml:space="preserve">Objective  </w:t>
      </w:r>
      <w:r>
        <w:t>Remove dimensional defects that would contaminate all three movers and observational intensity comparisons.</w:t>
      </w:r>
    </w:p>
    <w:p>
      <w:pPr>
        <w:keepLines w:val="0"/>
      </w:pPr>
      <w:r/>
      <w:r>
        <w:rPr>
          <w:b/>
        </w:rPr>
        <w:t>Implementation actions</w:t>
      </w:r>
    </w:p>
    <w:p>
      <w:pPr>
        <w:spacing w:after="60"/>
        <w:ind w:left="360" w:hanging="360"/>
      </w:pPr>
      <w:r>
        <w:t>1.  Replace MagneticTubeRadius with a FluxTubeGeometry interface that returns area in square meters and segment volume in cubic meters.</w:t>
      </w:r>
    </w:p>
    <w:p>
      <w:pPr>
        <w:spacing w:after="60"/>
        <w:ind w:left="360" w:hanging="360"/>
      </w:pPr>
      <w:r>
        <w:t>2.  Use magnetic-flux conservation A times absolute B equals constant when a field magnitude is available; otherwise require an explicit area profile.</w:t>
      </w:r>
    </w:p>
    <w:p>
      <w:pPr>
        <w:spacing w:after="60"/>
        <w:ind w:left="360" w:hanging="360"/>
      </w:pPr>
      <w:r>
        <w:t>3.  Use the same area and volume in particle weights, injection, wave-energy density, growth rates, and sampling normalization.</w:t>
      </w:r>
    </w:p>
    <w:p>
      <w:pPr>
        <w:spacing w:after="60"/>
        <w:ind w:left="360" w:hanging="360"/>
      </w:pPr>
      <w:r>
        <w:t>4.  Initialize every injection coordinate on all branches and convert MeV to joules before SI momentum functions.</w:t>
      </w:r>
    </w:p>
    <w:p>
      <w:pPr>
        <w:spacing w:after="60"/>
        <w:ind w:left="360" w:hanging="360"/>
      </w:pPr>
      <w:r>
        <w:t>5.  Unify injection efficiency and eliminate the separate hard-coded macroparticle-weight formula in main_lib.cpp.</w:t>
      </w:r>
    </w:p>
    <w:p>
      <w:pPr>
        <w:spacing w:after="60"/>
        <w:ind w:left="360" w:hanging="360"/>
      </w:pPr>
      <w:r>
        <w:t>6.  Introduce strong unit wrappers or suffix conventions for energy, momentum, density, speed, area, volume, and time.</w:t>
      </w:r>
    </w:p>
    <w:p>
      <w:pPr>
        <w:keepLines w:val="0"/>
      </w:pPr>
      <w:r>
        <w:rPr>
          <w:b/>
        </w:rPr>
        <w:t xml:space="preserve">Primary files  </w:t>
      </w:r>
      <w:r>
        <w:t>shock_injection.cpp, field_line.cpp, main_lib.cpp, wave_particle_coupling_kolmogorov.cpp, sampling.cpp, sep.h.</w:t>
      </w:r>
    </w:p>
    <w:p>
      <w:pPr>
        <w:keepLines w:val="0"/>
      </w:pPr>
      <w:r>
        <w:rPr>
          <w:b/>
        </w:rPr>
        <w:t xml:space="preserve">Dependencies  </w:t>
      </w:r>
      <w:r>
        <w:t>Steps 1 and 2</w:t>
      </w:r>
    </w:p>
    <w:p>
      <w:pPr>
        <w:keepLines w:val="0"/>
      </w:pPr>
      <w:r>
        <w:rPr>
          <w:b/>
        </w:rPr>
        <w:t xml:space="preserve">Focused tests  </w:t>
      </w:r>
      <w:r>
        <w:t>GEOA01 magnetic-flux conservation, GEOA02 segment-volume convergence, SRC01 swept-volume dimensions, SRC02 total injected physical weight, and SRC03 spectral normalization.</w:t>
      </w:r>
    </w:p>
    <w:p>
      <w:pPr>
        <w:keepLines w:val="0"/>
      </w:pPr>
      <w:r>
        <w:rPr>
          <w:b/>
        </w:rPr>
        <w:t xml:space="preserve">Completion gate  </w:t>
      </w:r>
      <w:r>
        <w:t>Area and volume tests converge; all injection branches are sanitizer-clean; and equivalent analytic, SWCME, and SWMF shock states inject the same total physical source.</w:t>
      </w:r>
    </w:p>
    <w:p>
      <w:pPr>
        <w:pStyle w:val="Heading2"/>
        <w:keepNext/>
      </w:pPr>
      <w:r>
        <w:t>Step 4 Introduce the three mover public API</w:t>
      </w:r>
    </w:p>
    <w:p>
      <w:pPr>
        <w:keepLines w:val="0"/>
      </w:pPr>
      <w:r>
        <w:rPr>
          <w:b/>
        </w:rPr>
        <w:t xml:space="preserve">Objective  </w:t>
      </w:r>
      <w:r>
        <w:t>Create the stable production interface before changing individual algorithms.</w:t>
      </w:r>
    </w:p>
    <w:p>
      <w:pPr>
        <w:keepLines w:val="0"/>
      </w:pPr>
      <w:r/>
      <w:r>
        <w:rPr>
          <w:b/>
        </w:rPr>
        <w:t>Implementation actions</w:t>
      </w:r>
    </w:p>
    <w:p>
      <w:pPr>
        <w:spacing w:after="60"/>
        <w:ind w:left="360" w:hanging="360"/>
      </w:pPr>
      <w:r>
        <w:t>1.  Define ProductionMover and a registry containing only Parker, FocusedTransportDiffusion, and FocusedTransportMeanFreePath.</w:t>
      </w:r>
    </w:p>
    <w:p>
      <w:pPr>
        <w:spacing w:after="60"/>
        <w:ind w:left="360" w:hanging="360"/>
      </w:pPr>
      <w:r>
        <w:t>2.  Add canonical CLI names parker, fte-dmumu, and fte-mfp.</w:t>
      </w:r>
    </w:p>
    <w:p>
      <w:pPr>
        <w:spacing w:after="60"/>
        <w:ind w:left="360" w:hanging="360"/>
      </w:pPr>
      <w:r>
        <w:t>3.  Add MoverCapabilities and remove function-address comparisons from the main time loop.</w:t>
      </w:r>
    </w:p>
    <w:p>
      <w:pPr>
        <w:spacing w:after="60"/>
        <w:ind w:left="360" w:hanging="360"/>
      </w:pPr>
      <w:r>
        <w:t>4.  Route PIC mover callbacks through one adapter that validates the particle representation and field-line attachment contract.</w:t>
      </w:r>
    </w:p>
    <w:p>
      <w:pPr>
        <w:spacing w:after="60"/>
        <w:ind w:left="360" w:hanging="360"/>
      </w:pPr>
      <w:r>
        <w:t>5.  For one transition release, map documented legacy names to the canonical choices with warnings; reject every other historical name.</w:t>
      </w:r>
    </w:p>
    <w:p>
      <w:pPr>
        <w:spacing w:after="60"/>
        <w:ind w:left="360" w:hanging="360"/>
      </w:pPr>
      <w:r>
        <w:t>6.  Print the canonical mover name and complete coefficient-provider configuration in startup metadata.</w:t>
      </w:r>
    </w:p>
    <w:p>
      <w:pPr>
        <w:keepLines w:val="0"/>
      </w:pPr>
      <w:r>
        <w:rPr>
          <w:b/>
        </w:rPr>
        <w:t xml:space="preserve">Primary files  </w:t>
      </w:r>
      <w:r>
        <w:t>sep.h, mover.cpp, util/sep_cli.h, util/sep_cli.cpp, main.cpp, new production_mover files.</w:t>
      </w:r>
    </w:p>
    <w:p>
      <w:pPr>
        <w:keepLines w:val="0"/>
      </w:pPr>
      <w:r>
        <w:rPr>
          <w:b/>
        </w:rPr>
        <w:t xml:space="preserve">Dependencies  </w:t>
      </w:r>
      <w:r>
        <w:t>Steps 1 through 3</w:t>
      </w:r>
    </w:p>
    <w:p>
      <w:pPr>
        <w:keepLines w:val="0"/>
      </w:pPr>
      <w:r>
        <w:rPr>
          <w:b/>
        </w:rPr>
        <w:t xml:space="preserve">Focused tests  </w:t>
      </w:r>
      <w:r>
        <w:t>MOVCLI01 canonical parsing, MOVCLI02 alias warnings, MOVCLI03 capability reporting, and MOVCLI04 unsupported mover rejection.</w:t>
      </w:r>
    </w:p>
    <w:p>
      <w:pPr>
        <w:keepLines w:val="0"/>
      </w:pPr>
      <w:r>
        <w:rPr>
          <w:b/>
        </w:rPr>
        <w:t xml:space="preserve">Completion gate  </w:t>
      </w:r>
      <w:r>
        <w:t>Only three canonical mover choices appear in --help and --list-movers; capability-based dispatch replaces pointer comparison.</w:t>
      </w:r>
    </w:p>
    <w:p>
      <w:pPr>
        <w:pStyle w:val="Heading2"/>
        <w:keepNext/>
      </w:pPr>
      <w:r>
        <w:t>Step 5 Transfer and remove full three dimensional movers</w:t>
      </w:r>
    </w:p>
    <w:p>
      <w:pPr>
        <w:keepLines w:val="0"/>
      </w:pPr>
      <w:r>
        <w:rPr>
          <w:b/>
        </w:rPr>
        <w:t xml:space="preserve">Objective  </w:t>
      </w:r>
      <w:r>
        <w:t>Remove full three-dimensional particle transport from srcSEP without removing three-dimensional field-line geometry.</w:t>
      </w:r>
    </w:p>
    <w:p>
      <w:pPr>
        <w:keepLines w:val="0"/>
      </w:pPr>
      <w:r/>
      <w:r>
        <w:rPr>
          <w:b/>
        </w:rPr>
        <w:t>Implementation actions</w:t>
      </w:r>
    </w:p>
    <w:p>
      <w:pPr>
        <w:spacing w:after="60"/>
        <w:ind w:left="360" w:hanging="360"/>
      </w:pPr>
      <w:r>
        <w:t>1.  Copy the tagged full-3D mover sources and their tests to the destination application and record the destination commit in the migration manifest.</w:t>
      </w:r>
    </w:p>
    <w:p>
      <w:pPr>
        <w:spacing w:after="60"/>
        <w:ind w:left="360" w:hanging="360"/>
      </w:pPr>
      <w:r>
        <w:t>2.  Remove ParticleMover_Parker3D_MeanFreePath, full-3D He, Kartavykh, Borovikov, drift mover, and Boris dispatch symbols from srcSEP headers and source lists.</w:t>
      </w:r>
    </w:p>
    <w:p>
      <w:pPr>
        <w:spacing w:after="60"/>
        <w:ind w:left="360" w:hanging="360"/>
      </w:pPr>
      <w:r>
        <w:t>3.  Remove full-3D-only macros, runtime branches, data offsets, derivative stencils, and mesh-cell particle-list attachment from the srcSEP production path.</w:t>
      </w:r>
    </w:p>
    <w:p>
      <w:pPr>
        <w:spacing w:after="60"/>
        <w:ind w:left="360" w:hanging="360"/>
      </w:pPr>
      <w:r>
        <w:t>4.  Remove sample3d files only after confirming that all required field-line observer sampling is available through field-line sampling.</w:t>
      </w:r>
    </w:p>
    <w:p>
      <w:pPr>
        <w:spacing w:after="60"/>
        <w:ind w:left="360" w:hanging="360"/>
      </w:pPr>
      <w:r>
        <w:t>5.  Add a source-level forbidden-symbol test to prevent accidental reintroduction of transferred mover names.</w:t>
      </w:r>
    </w:p>
    <w:p>
      <w:pPr>
        <w:spacing w:after="60"/>
        <w:ind w:left="360" w:hanging="360"/>
      </w:pPr>
      <w:r>
        <w:t>6.  Build the separate application and srcSEP independently before closing the step.</w:t>
      </w:r>
    </w:p>
    <w:p>
      <w:pPr>
        <w:keepLines w:val="0"/>
      </w:pPr>
      <w:r>
        <w:rPr>
          <w:b/>
        </w:rPr>
        <w:t xml:space="preserve">Primary files  </w:t>
      </w:r>
      <w:r>
        <w:t>drift.cpp, mover.cpp, sep.h, sep.dfn, sample3d files, main_lib.cpp, makefile, migration_manifest.md.</w:t>
      </w:r>
    </w:p>
    <w:p>
      <w:pPr>
        <w:keepLines w:val="0"/>
      </w:pPr>
      <w:r>
        <w:rPr>
          <w:b/>
        </w:rPr>
        <w:t xml:space="preserve">Dependencies  </w:t>
      </w:r>
      <w:r>
        <w:t>Steps 0 and 4</w:t>
      </w:r>
    </w:p>
    <w:p>
      <w:pPr>
        <w:keepLines w:val="0"/>
      </w:pPr>
      <w:r>
        <w:rPr>
          <w:b/>
        </w:rPr>
        <w:t xml:space="preserve">Focused tests  </w:t>
      </w:r>
      <w:r>
        <w:t>SCOPE01 forbidden mover symbols, SCOPE02 no Cartesian particle advance, SCOPE03 field-line geometry retained, and native builds of both applications.</w:t>
      </w:r>
    </w:p>
    <w:p>
      <w:pPr>
        <w:keepLines w:val="0"/>
      </w:pPr>
      <w:r>
        <w:rPr>
          <w:b/>
        </w:rPr>
        <w:t xml:space="preserve">Completion gate  </w:t>
      </w:r>
      <w:r>
        <w:t>srcSEP links no transferred mover object, exposes no full-3D mover selector, and still imports and advances three-dimensional field lines.</w:t>
      </w:r>
    </w:p>
    <w:p>
      <w:pPr>
        <w:pStyle w:val="Heading2"/>
        <w:keepNext/>
      </w:pPr>
      <w:r>
        <w:t>Step 6 Extract shared field line numerical kernels</w:t>
      </w:r>
    </w:p>
    <w:p>
      <w:pPr>
        <w:keepLines w:val="0"/>
      </w:pPr>
      <w:r>
        <w:rPr>
          <w:b/>
        </w:rPr>
        <w:t xml:space="preserve">Objective  </w:t>
      </w:r>
      <w:r>
        <w:t>Remove duplicated calculations before consolidating the three movers.</w:t>
      </w:r>
    </w:p>
    <w:p>
      <w:pPr>
        <w:keepLines w:val="0"/>
      </w:pPr>
      <w:r/>
      <w:r>
        <w:rPr>
          <w:b/>
        </w:rPr>
        <w:t>Implementation actions</w:t>
      </w:r>
    </w:p>
    <w:p>
      <w:pPr>
        <w:spacing w:after="60"/>
        <w:ind w:left="360" w:hanging="360"/>
      </w:pPr>
      <w:r>
        <w:t>1.  Implement a common particle-state validator, segment locator, field-line coordinate advance, boundary handler, and particle-list attachment function.</w:t>
      </w:r>
    </w:p>
    <w:p>
      <w:pPr>
        <w:spacing w:after="60"/>
        <w:ind w:left="360" w:hanging="360"/>
      </w:pPr>
      <w:r>
        <w:t>2.  Implement shared relativistic momentum and velocity conversions with strict finite and subluminal checks.</w:t>
      </w:r>
    </w:p>
    <w:p>
      <w:pPr>
        <w:spacing w:after="60"/>
        <w:ind w:left="360" w:hanging="360"/>
      </w:pPr>
      <w:r>
        <w:t>3.  Implement one focusing-length calculation using d ln absolute B over ds supplied by the background snapshot.</w:t>
      </w:r>
    </w:p>
    <w:p>
      <w:pPr>
        <w:spacing w:after="60"/>
        <w:ind w:left="360" w:hanging="360"/>
      </w:pPr>
      <w:r>
        <w:t>4.  Implement one adiabatic momentum update and one declared plasma or moving-line frame convention.</w:t>
      </w:r>
    </w:p>
    <w:p>
      <w:pPr>
        <w:spacing w:after="60"/>
        <w:ind w:left="360" w:hanging="360"/>
      </w:pPr>
      <w:r>
        <w:t>5.  Implement adaptive-step criteria as composable limits with diagnostic counters rather than hidden clamps.</w:t>
      </w:r>
    </w:p>
    <w:p>
      <w:pPr>
        <w:spacing w:after="60"/>
        <w:ind w:left="360" w:hanging="360"/>
      </w:pPr>
      <w:r>
        <w:t>6.  Pass an explicit random stream to every stochastic kernel.</w:t>
      </w:r>
    </w:p>
    <w:p>
      <w:pPr>
        <w:keepLines w:val="0"/>
      </w:pPr>
      <w:r>
        <w:rPr>
          <w:b/>
        </w:rPr>
        <w:t xml:space="preserve">Primary files  </w:t>
      </w:r>
      <w:r>
        <w:t>new transport common files, mover.cpp, fte_mover.cpp, fte_mover_dmumu.cpp, cooling.cpp, sep.h.</w:t>
      </w:r>
    </w:p>
    <w:p>
      <w:pPr>
        <w:keepLines w:val="0"/>
      </w:pPr>
      <w:r>
        <w:rPr>
          <w:b/>
        </w:rPr>
        <w:t xml:space="preserve">Dependencies  </w:t>
      </w:r>
      <w:r>
        <w:t>Steps 2 through 5</w:t>
      </w:r>
    </w:p>
    <w:p>
      <w:pPr>
        <w:keepLines w:val="0"/>
      </w:pPr>
      <w:r>
        <w:rPr>
          <w:b/>
        </w:rPr>
        <w:t xml:space="preserve">Focused tests  </w:t>
      </w:r>
      <w:r>
        <w:t>CORE01 conversions, CORE02 coordinate advance, CORE03 boundary policies, CORE04 focusing derivative, CORE05 cooling, CORE06 substep selection, and CORE07 RNG independence.</w:t>
      </w:r>
    </w:p>
    <w:p>
      <w:pPr>
        <w:keepLines w:val="0"/>
      </w:pPr>
      <w:r>
        <w:rPr>
          <w:b/>
        </w:rPr>
        <w:t xml:space="preserve">Completion gate  </w:t>
      </w:r>
      <w:r>
        <w:t>All three mover shells compile against the common kernels, and duplicated focus, cooling, reflection, and attachment logic is removed.</w:t>
      </w:r>
    </w:p>
    <w:p>
      <w:pPr>
        <w:pStyle w:val="Heading2"/>
        <w:keepNext/>
      </w:pPr>
      <w:r>
        <w:t>Step 7 Implement the Parker production mover</w:t>
      </w:r>
    </w:p>
    <w:p>
      <w:pPr>
        <w:keepLines w:val="0"/>
      </w:pPr>
      <w:r>
        <w:rPr>
          <w:b/>
        </w:rPr>
        <w:t xml:space="preserve">Objective  </w:t>
      </w:r>
      <w:r>
        <w:t>Consolidate the pitch-angle-averaged field-line Parker transport paths into one validated mover.</w:t>
      </w:r>
    </w:p>
    <w:p>
      <w:pPr>
        <w:keepLines w:val="0"/>
      </w:pPr>
      <w:r/>
      <w:r>
        <w:rPr>
          <w:b/>
        </w:rPr>
        <w:t>Implementation actions</w:t>
      </w:r>
    </w:p>
    <w:p>
      <w:pPr>
        <w:spacing w:after="60"/>
        <w:ind w:left="360" w:hanging="360"/>
      </w:pPr>
      <w:r>
        <w:t>1.  Use ParticleMover_Parker_Dxx as the initial implementation shell and import only verified logic from ParticleMover_ParkerEquation.</w:t>
      </w:r>
    </w:p>
    <w:p>
      <w:pPr>
        <w:spacing w:after="60"/>
        <w:ind w:left="360" w:hanging="360"/>
      </w:pPr>
      <w:r>
        <w:t>2.  Define SpatialDiffusionProvider with kappa_parallel and dkappa_parallel/ds in SI units.</w:t>
      </w:r>
    </w:p>
    <w:p>
      <w:pPr>
        <w:spacing w:after="60"/>
        <w:ind w:left="360" w:hanging="360"/>
      </w:pPr>
      <w:r>
        <w:t>3.  Implement convection or moving-line transport in the declared frame, spatial diffusion drift, stochastic displacement, and adiabatic momentum evolution.</w:t>
      </w:r>
    </w:p>
    <w:p>
      <w:pPr>
        <w:spacing w:after="60"/>
        <w:ind w:left="360" w:hanging="360"/>
      </w:pPr>
      <w:r>
        <w:t>4.  Include the flux-tube metric consistently when the field-line coordinate is not physical arc length.</w:t>
      </w:r>
    </w:p>
    <w:p>
      <w:pPr>
        <w:spacing w:after="60"/>
        <w:ind w:left="360" w:hanging="360"/>
      </w:pPr>
      <w:r>
        <w:t>5.  Accumulate wave feedback only through an explicitly supported reduced closure; otherwise declare that the Parker mover is one-way coupled to turbulence.</w:t>
      </w:r>
    </w:p>
    <w:p>
      <w:pPr>
        <w:spacing w:after="60"/>
        <w:ind w:left="360" w:hanging="360"/>
      </w:pPr>
      <w:r>
        <w:t>6.  Remove ParkerMeanFreePath and other Parker variants from the public registry after reference tests pass.</w:t>
      </w:r>
    </w:p>
    <w:p>
      <w:pPr>
        <w:keepLines w:val="0"/>
      </w:pPr>
      <w:r>
        <w:rPr>
          <w:b/>
        </w:rPr>
        <w:t xml:space="preserve">Primary files  </w:t>
      </w:r>
      <w:r>
        <w:t>mover.cpp, diffusion_dxx.cpp, cooling.cpp, new parker_mover.cpp, new coefficient provider files.</w:t>
      </w:r>
    </w:p>
    <w:p>
      <w:pPr>
        <w:keepLines w:val="0"/>
      </w:pPr>
      <w:r>
        <w:rPr>
          <w:b/>
        </w:rPr>
        <w:t xml:space="preserve">Dependencies  </w:t>
      </w:r>
      <w:r>
        <w:t>Step 6</w:t>
      </w:r>
    </w:p>
    <w:p>
      <w:pPr>
        <w:keepLines w:val="0"/>
      </w:pPr>
      <w:r>
        <w:rPr>
          <w:b/>
        </w:rPr>
        <w:t xml:space="preserve">Focused tests  </w:t>
      </w:r>
      <w:r>
        <w:t>PARK01 zero-diffusion convection, PARK02 Gaussian diffusion variance, PARK03 variable-kappa drift, PARK04 adiabatic cooling, PARK05 boundary flux, and PARK06 grid and time convergence.</w:t>
      </w:r>
    </w:p>
    <w:p>
      <w:pPr>
        <w:keepLines w:val="0"/>
      </w:pPr>
      <w:r>
        <w:rPr>
          <w:b/>
        </w:rPr>
        <w:t xml:space="preserve">Completion gate  </w:t>
      </w:r>
      <w:r>
        <w:t>The mover passes manufactured solutions and no longer contains pitch-angle or perpendicular-displacement code.</w:t>
      </w:r>
    </w:p>
    <w:p>
      <w:pPr>
        <w:pStyle w:val="Heading2"/>
        <w:keepNext/>
      </w:pPr>
      <w:r>
        <w:t>Step 8 Implement the focused transport diffusion mover</w:t>
      </w:r>
    </w:p>
    <w:p>
      <w:pPr>
        <w:keepLines w:val="0"/>
      </w:pPr>
      <w:r>
        <w:rPr>
          <w:b/>
        </w:rPr>
        <w:t xml:space="preserve">Objective  </w:t>
      </w:r>
      <w:r>
        <w:t>Replace the present hard-coded QLT path with a coefficient-driven pitch-angle SDE.</w:t>
      </w:r>
    </w:p>
    <w:p>
      <w:pPr>
        <w:keepLines w:val="0"/>
      </w:pPr>
      <w:r/>
      <w:r>
        <w:rPr>
          <w:b/>
        </w:rPr>
        <w:t>Implementation actions</w:t>
      </w:r>
    </w:p>
    <w:p>
      <w:pPr>
        <w:spacing w:after="60"/>
        <w:ind w:left="360" w:hanging="360"/>
      </w:pPr>
      <w:r>
        <w:t>1.  Use ParticleMover_FTE as the initial shell but delete its embedded hard-coded Parker B and delta B closure.</w:t>
      </w:r>
    </w:p>
    <w:p>
      <w:pPr>
        <w:spacing w:after="60"/>
        <w:ind w:left="360" w:hanging="360"/>
      </w:pPr>
      <w:r>
        <w:t>2.  Define PitchAngleDiffusionProvider returning Dmumu, dDmumu/dmu, validity, and provenance.</w:t>
      </w:r>
    </w:p>
    <w:p>
      <w:pPr>
        <w:spacing w:after="60"/>
        <w:ind w:left="360" w:hanging="360"/>
      </w:pPr>
      <w:r>
        <w:t>3.  Correct the QLT spectral normalization and require Dmumu to carry inverse-second units.</w:t>
      </w:r>
    </w:p>
    <w:p>
      <w:pPr>
        <w:spacing w:after="60"/>
        <w:ind w:left="360" w:hanging="360"/>
      </w:pPr>
      <w:r>
        <w:t>4.  Implement deterministic focusing and velocity-gradient drift, stochastic diffusion, adiabatic momentum change, and field-line streaming with an explicit numerical splitting order.</w:t>
      </w:r>
    </w:p>
    <w:p>
      <w:pPr>
        <w:spacing w:after="60"/>
        <w:ind w:left="360" w:hanging="360"/>
      </w:pPr>
      <w:r>
        <w:t>5.  Use robust pitch-angle boundary treatment and test the mu-zero and near-singular limits.</w:t>
      </w:r>
    </w:p>
    <w:p>
      <w:pPr>
        <w:spacing w:after="60"/>
        <w:ind w:left="360" w:hanging="360"/>
      </w:pPr>
      <w:r>
        <w:t>6.  Deposit particle-wave streaming contributions into thread-local accumulators using the same turbulence state used to calculate Dmumu.</w:t>
      </w:r>
    </w:p>
    <w:p>
      <w:pPr>
        <w:keepLines w:val="0"/>
      </w:pPr>
      <w:r>
        <w:rPr>
          <w:b/>
        </w:rPr>
        <w:t xml:space="preserve">Primary files  </w:t>
      </w:r>
      <w:r>
        <w:t>mover.cpp, QLT.cpp, diffusion.cpp, diffusion_dmumu.cpp, fte_mover_dmumu.cpp, new focused_transport_dmumu.cpp.</w:t>
      </w:r>
    </w:p>
    <w:p>
      <w:pPr>
        <w:keepLines w:val="0"/>
      </w:pPr>
      <w:r>
        <w:rPr>
          <w:b/>
        </w:rPr>
        <w:t xml:space="preserve">Dependencies  </w:t>
      </w:r>
      <w:r>
        <w:t>Steps 2 3 and 6</w:t>
      </w:r>
    </w:p>
    <w:p>
      <w:pPr>
        <w:keepLines w:val="0"/>
      </w:pPr>
      <w:r>
        <w:rPr>
          <w:b/>
        </w:rPr>
        <w:t xml:space="preserve">Focused tests  </w:t>
      </w:r>
      <w:r>
        <w:t>FTED01 constant-Dmumu moments, FTED02 diffusion drift, FTED03 focusing, FTED04 combined manufactured case, FTED05 pitch-angle limits, FTED06 coefficient-source identity, and FTED07 convergence.</w:t>
      </w:r>
    </w:p>
    <w:p>
      <w:pPr>
        <w:keepLines w:val="0"/>
      </w:pPr>
      <w:r>
        <w:rPr>
          <w:b/>
        </w:rPr>
        <w:t xml:space="preserve">Completion gate  </w:t>
      </w:r>
      <w:r>
        <w:t>The mover has no hard-coded background, passes stochastic moment and manufactured-solution tests, and produces deterministic wave-coupling accumulators for fixed streams.</w:t>
      </w:r>
    </w:p>
    <w:p>
      <w:pPr>
        <w:pStyle w:val="Heading2"/>
        <w:keepNext/>
      </w:pPr>
      <w:r>
        <w:t>Step 9 Implement the focused transport mean free path mover</w:t>
      </w:r>
    </w:p>
    <w:p>
      <w:pPr>
        <w:keepLines w:val="0"/>
      </w:pPr>
      <w:r>
        <w:rPr>
          <w:b/>
        </w:rPr>
        <w:t xml:space="preserve">Objective  </w:t>
      </w:r>
      <w:r>
        <w:t>Consolidate all mean-free-path scattering implementations into one event-driven field-line mover.</w:t>
      </w:r>
    </w:p>
    <w:p>
      <w:pPr>
        <w:keepLines w:val="0"/>
      </w:pPr>
      <w:r/>
      <w:r>
        <w:rPr>
          <w:b/>
        </w:rPr>
        <w:t>Implementation actions</w:t>
      </w:r>
    </w:p>
    <w:p>
      <w:pPr>
        <w:spacing w:after="60"/>
        <w:ind w:left="360" w:hanging="360"/>
      </w:pPr>
      <w:r>
        <w:t>1.  Use ParticleMover_FocusedTransport_EventDriven as the initial shell and move reusable event sampling from historical mean-free-path movers into tested helpers.</w:t>
      </w:r>
    </w:p>
    <w:p>
      <w:pPr>
        <w:spacing w:after="60"/>
        <w:ind w:left="360" w:hanging="360"/>
      </w:pPr>
      <w:r>
        <w:t>2.  Define MeanFreePathProvider returning lambda_parallel in meters with validity range and provenance.</w:t>
      </w:r>
    </w:p>
    <w:p>
      <w:pPr>
        <w:spacing w:after="60"/>
        <w:ind w:left="360" w:hanging="360"/>
      </w:pPr>
      <w:r>
        <w:t>3.  Document the exact conversion from lambda_parallel to event rate and any assumed pitch-angle redistribution law.</w:t>
      </w:r>
    </w:p>
    <w:p>
      <w:pPr>
        <w:spacing w:after="60"/>
        <w:ind w:left="360" w:hanging="360"/>
      </w:pPr>
      <w:r>
        <w:t>4.  Propagate focusing and cooling between events and split an event interval at segment boundaries, snapshot validity boundaries, shock crossings, and the end of the global step.</w:t>
      </w:r>
    </w:p>
    <w:p>
      <w:pPr>
        <w:spacing w:after="60"/>
        <w:ind w:left="360" w:hanging="360"/>
      </w:pPr>
      <w:r>
        <w:t>5.  Use consistent Alfven-wave branch selection and Lorentz transformations.</w:t>
      </w:r>
    </w:p>
    <w:p>
      <w:pPr>
        <w:spacing w:after="60"/>
        <w:ind w:left="360" w:hanging="360"/>
      </w:pPr>
      <w:r>
        <w:t>6.  Replace silent minimum or maximum lambda substitutions with explicit policy and diagnostic counts.</w:t>
      </w:r>
    </w:p>
    <w:p>
      <w:pPr>
        <w:keepLines w:val="0"/>
      </w:pPr>
      <w:r>
        <w:rPr>
          <w:b/>
        </w:rPr>
        <w:t xml:space="preserve">Primary files  </w:t>
      </w:r>
      <w:r>
        <w:t>fte_mover.cpp, scattering.cpp, mover.cpp, new focused_transport_mfp.cpp, new mean_free_path provider files.</w:t>
      </w:r>
    </w:p>
    <w:p>
      <w:pPr>
        <w:keepLines w:val="0"/>
      </w:pPr>
      <w:r>
        <w:rPr>
          <w:b/>
        </w:rPr>
        <w:t xml:space="preserve">Dependencies  </w:t>
      </w:r>
      <w:r>
        <w:t>Steps 2 3 and 6</w:t>
      </w:r>
    </w:p>
    <w:p>
      <w:pPr>
        <w:keepLines w:val="0"/>
      </w:pPr>
      <w:r>
        <w:rPr>
          <w:b/>
        </w:rPr>
        <w:t xml:space="preserve">Focused tests  </w:t>
      </w:r>
      <w:r>
        <w:t>FTEM01 exponential waiting time, FTEM02 Poisson event count, FTEM03 infinite-lambda ballistic limit, FTEM04 scattering-frame invariants, FTEM05 focusing between events, FTEM06 cooling, and FTEM07 event-splitting convergence.</w:t>
      </w:r>
    </w:p>
    <w:p>
      <w:pPr>
        <w:keepLines w:val="0"/>
      </w:pPr>
      <w:r>
        <w:rPr>
          <w:b/>
        </w:rPr>
        <w:t xml:space="preserve">Completion gate  </w:t>
      </w:r>
      <w:r>
        <w:t>The public fte-mfp mover is the only event-driven mean-free-path mover and passes distributional and conservation tests with deterministic seeds.</w:t>
      </w:r>
    </w:p>
    <w:p>
      <w:pPr>
        <w:pStyle w:val="Heading2"/>
        <w:keepNext/>
      </w:pPr>
      <w:r>
        <w:t>Step 10 Unify coefficient providers across backgrounds and movers</w:t>
      </w:r>
    </w:p>
    <w:p>
      <w:pPr>
        <w:keepLines w:val="0"/>
      </w:pPr>
      <w:r>
        <w:rPr>
          <w:b/>
        </w:rPr>
        <w:t xml:space="preserve">Objective  </w:t>
      </w:r>
      <w:r>
        <w:t>Ensure that a mover uses the coefficient selected by configuration rather than a coefficient implied by its source file.</w:t>
      </w:r>
    </w:p>
    <w:p>
      <w:pPr>
        <w:keepLines w:val="0"/>
      </w:pPr>
      <w:r/>
      <w:r>
        <w:rPr>
          <w:b/>
        </w:rPr>
        <w:t>Implementation actions</w:t>
      </w:r>
    </w:p>
    <w:p>
      <w:pPr>
        <w:spacing w:after="60"/>
        <w:ind w:left="360" w:hanging="360"/>
      </w:pPr>
      <w:r>
        <w:t>1.  Create provider registries for kappa_parallel, Dmumu, and lambda_parallel with canonical names and parameter schemas.</w:t>
      </w:r>
    </w:p>
    <w:p>
      <w:pPr>
        <w:spacing w:after="60"/>
        <w:ind w:left="360" w:hanging="360"/>
      </w:pPr>
      <w:r>
        <w:t>2.  Implement analytic prescribed providers, self-consistent turbulence providers, and SWMF turbulence providers against the same interfaces.</w:t>
      </w:r>
    </w:p>
    <w:p>
      <w:pPr>
        <w:spacing w:after="60"/>
        <w:ind w:left="360" w:hanging="360"/>
      </w:pPr>
      <w:r>
        <w:t>3.  Centralize conversions among Dmumu, lambda_parallel, and kappa_parallel where the model assumptions make a conversion valid.</w:t>
      </w:r>
    </w:p>
    <w:p>
      <w:pPr>
        <w:spacing w:after="60"/>
        <w:ind w:left="360" w:hanging="360"/>
      </w:pPr>
      <w:r>
        <w:t>4.  Reject mathematically incompatible configurations rather than substituting another provider.</w:t>
      </w:r>
    </w:p>
    <w:p>
      <w:pPr>
        <w:spacing w:after="60"/>
        <w:ind w:left="360" w:hanging="360"/>
      </w:pPr>
      <w:r>
        <w:t>5.  Include coefficient model, parameters, source mode, and units in output metadata and test evidence.</w:t>
      </w:r>
    </w:p>
    <w:p>
      <w:pPr>
        <w:keepLines w:val="0"/>
      </w:pPr>
      <w:r>
        <w:rPr>
          <w:b/>
        </w:rPr>
        <w:t xml:space="preserve">Primary files  </w:t>
      </w:r>
      <w:r>
        <w:t>QLT.cpp, QLT1.cpp, diffusion.cpp, scattering.cpp, new coefficient provider files, util/sep_cli.cpp.</w:t>
      </w:r>
    </w:p>
    <w:p>
      <w:pPr>
        <w:keepLines w:val="0"/>
      </w:pPr>
      <w:r>
        <w:rPr>
          <w:b/>
        </w:rPr>
        <w:t xml:space="preserve">Dependencies  </w:t>
      </w:r>
      <w:r>
        <w:t>Steps 7 through 9</w:t>
      </w:r>
    </w:p>
    <w:p>
      <w:pPr>
        <w:keepLines w:val="0"/>
      </w:pPr>
      <w:r>
        <w:rPr>
          <w:b/>
        </w:rPr>
        <w:t xml:space="preserve">Focused tests  </w:t>
      </w:r>
      <w:r>
        <w:t>COEF01 units, COEF02 parameter validation, COEF03 cross-representation conversion, COEF04 analytic versus imported identity, and COEF05 invalid-domain status.</w:t>
      </w:r>
    </w:p>
    <w:p>
      <w:pPr>
        <w:keepLines w:val="0"/>
      </w:pPr>
      <w:r>
        <w:rPr>
          <w:b/>
        </w:rPr>
        <w:t xml:space="preserve">Completion gate  </w:t>
      </w:r>
      <w:r>
        <w:t>Each mover can be paired with every supported background and turbulence source through explicit validated configuration.</w:t>
      </w:r>
    </w:p>
    <w:p>
      <w:pPr>
        <w:pStyle w:val="Heading2"/>
        <w:keepNext/>
      </w:pPr>
      <w:r>
        <w:t>Step 11 Retain stabilize and validate self-consistent Alfven turbulence</w:t>
      </w:r>
    </w:p>
    <w:p>
      <w:pPr>
        <w:keepLines w:val="0"/>
      </w:pPr>
      <w:r>
        <w:t>Objective  Preserve the existing self-consistent turbulence capability as a production subsystem; separate it cleanly from particle movers; and make its integrated and wave-number-resolved implementations conservative, reproducible, restartable, and scientifically testable.</w:t>
      </w:r>
    </w:p>
    <w:p>
      <w:pPr>
        <w:keepLines w:val="0"/>
      </w:pPr>
      <w:r/>
      <w:r>
        <w:rPr>
          <w:b/>
        </w:rPr>
        <w:t>Implementation actions</w:t>
      </w:r>
    </w:p>
    <w:p>
      <w:pPr>
        <w:spacing w:after="60"/>
        <w:ind w:left="360" w:hanging="360"/>
      </w:pPr>
      <w:r>
        <w:t>1.  Define TurbulenceSource as Prescribed, SelfConsistentIntegrated, SelfConsistentSpectral, SWMFReadOnly, or SWMFInitialThenEvolveLocal. Validate the selected source independently of the selected particle mover.</w:t>
      </w:r>
    </w:p>
    <w:p>
      <w:pPr>
        <w:spacing w:after="60"/>
        <w:ind w:left="360" w:hanging="360"/>
      </w:pPr>
      <w:r>
        <w:t>2.  Establish one authoritative state per mode. In integrated mode use segment E+ and E- in joules; in spectral mode use E+(k) and E-(k) per logarithmic wave-number bin. Derive wave-energy density, total branch energy, turbulence amplitude, cross helicity, Dmumu, lambda parallel, and kappa parallel through unit-tested adapters.</w:t>
      </w:r>
    </w:p>
    <w:p>
      <w:pPr>
        <w:spacing w:after="60"/>
        <w:ind w:left="360" w:hanging="360"/>
      </w:pPr>
      <w:r>
        <w:t>3.  Remove dual ownership between imported vertex PlasmaWaves, CellIntegratedWaveEnergy, WaveEnergyDensity, and SpectralWaveEnergy. Imported SWMF waves are immutable in read-only mode; in handoff mode they are copied once into locally owned segment state with the handoff epoch and checksum recorded.</w:t>
      </w:r>
    </w:p>
    <w:p>
      <w:pPr>
        <w:spacing w:after="60"/>
        <w:ind w:left="360" w:hanging="360"/>
      </w:pPr>
      <w:r>
        <w:t>4.  Introduce one turbulence evolution driver shared by standalone and SWMF-coupled execution. It performs validated boundary injection, shock injection, particle-wave exchange, advection, reflection, cascade/dissipation, representation synchronization, diagnostics, and checkpointing in a documented operator order.</w:t>
      </w:r>
    </w:p>
    <w:p>
      <w:pPr>
        <w:spacing w:after="60"/>
        <w:ind w:left="360" w:hanging="360"/>
      </w:pPr>
      <w:r>
        <w:t>5.  Accumulate streaming, resonant counts, and particle-energy exchange in thread-local buffers. Reduce buffers in a fixed order and apply the wave update once per turbulence substep; particle movers must not write shared wave arrays directly.</w:t>
      </w:r>
    </w:p>
    <w:p>
      <w:pPr>
        <w:spacing w:after="60"/>
        <w:ind w:left="360" w:hanging="360"/>
      </w:pPr>
      <w:r>
        <w:t>6.  Report a signed per-step energy ledger containing initial energy, inner and outer boundary flux, shock source, branch-to-branch reflection transfer, spectral cascade transfer, physical dissipation, particle exchange, limiter correction, remap correction, and final energy. Reflection and internal cascade transfers must cancel in the total-energy column.</w:t>
      </w:r>
    </w:p>
    <w:p>
      <w:pPr/>
      <w:r>
        <w:t>7.  Replace hidden static boundary captures with explicit boundary-condition objects stored in restart data. Support specified incoming wave energy or flux, transparent outflow where physically justified, and a named fixed-reservoir policy; reject incompatible combinations.</w:t>
      </w:r>
    </w:p>
    <w:p>
      <w:pPr/>
      <w:r>
        <w:t>8.  Give advection, reflection, cascade, and particle coupling separate stability estimates and subcycle limits. A requested step that violates a hard limit must subcycle or fail explicitly; no operator may silently clip a time step or wave amplitude without recording the correction.</w:t>
      </w:r>
    </w:p>
    <w:p>
      <w:pPr/>
      <w:r>
        <w:t>9.  Implement conservative positivity handling. First limit outgoing flux or exchange to available energy; use a documented final roundoff floor only after conservation accounting, and report every material correction.</w:t>
      </w:r>
    </w:p>
    <w:p>
      <w:pPr/>
      <w:r>
        <w:t>10.  Define remap rules for field-line motion, segment-length change, refinement, coarsening, and SWMF updates. Conserve branch energy and, in spectral mode, energy in each wave-number bin unless a documented physical remapping term applies.</w:t>
      </w:r>
    </w:p>
    <w:p>
      <w:pPr/>
      <w:r>
        <w:t>11.  Store the turbulence source mode, representation, configuration parameters, boundary state, spectral grid, operator phase, accumulated coupling, RNG metadata where applicable, and energy-ledger totals in restart files.</w:t>
      </w:r>
    </w:p>
    <w:p>
      <w:pPr/>
      <w:r>
        <w:t>12.  Add CLI configuration and metadata for turbulence source, integrated versus spectral representation, enabled operators, boundary policies, cascade and reflection coefficients, spectral range, coupling policy, diagnostic cadence, and strict-conservation tolerances.</w:t>
      </w:r>
    </w:p>
    <w:p>
      <w:pPr>
        <w:keepLines w:val="0"/>
      </w:pPr>
      <w:r>
        <w:t>Primary files  alfven_turbulence.cpp, wave_energy_initialization.cpp, wave_particle_coupling_kolmogorov.cpp, turbulence_advection_kolmogorov.cpp, turbulence_reflection_kolmogorov.cpp, turbulence_cascade_kolmogorov.cpp, turbulence_wave_number_resolved/, shock_analytical_model.cpp, fte_mover.cpp, fte_mover_dmumu.cpp, main.cpp, main_lib.cpp, util/sep_cli.cpp, and new turbulence driver/provider files.</w:t>
      </w:r>
    </w:p>
    <w:p>
      <w:pPr>
        <w:keepLines w:val="0"/>
      </w:pPr>
      <w:r>
        <w:rPr>
          <w:b/>
        </w:rPr>
        <w:t xml:space="preserve">Dependencies  </w:t>
      </w:r>
      <w:r>
        <w:t>Steps 2 3 8 9 and 10</w:t>
      </w:r>
    </w:p>
    <w:p>
      <w:pPr>
        <w:keepLines w:val="0"/>
      </w:pPr>
      <w:r>
        <w:t>Focused tests  TURB01 through TURB20 in Sections 7.8 and 11.5, including ownership, units, initialization, integrated-spectral closure, advection, boundaries, reflection, cascade, growth rate, resonance, shock injection, operator convergence, positivity, remap, restart, parallel reproducibility, mover compatibility, and driver equivalence.</w:t>
      </w:r>
    </w:p>
    <w:p>
      <w:pPr>
        <w:keepLines w:val="0"/>
      </w:pPr>
      <w:r>
        <w:t>Completion gate  All three production movers consume the selected turbulence state through one interface; integrated and spectral modes pass their conservation and convergence gates; read-only data are never modified; local evolution is restartable; and standalone and coupled drivers produce equivalent updates from the same frozen input snapshot.</w:t>
      </w:r>
    </w:p>
    <w:p>
      <w:pPr>
        <w:pStyle w:val="Heading2"/>
        <w:keepNext/>
      </w:pPr>
      <w:r>
        <w:t>Step 12 Enforce thread and MPI reproducibility</w:t>
      </w:r>
    </w:p>
    <w:p>
      <w:pPr>
        <w:keepLines w:val="0"/>
      </w:pPr>
      <w:r>
        <w:rPr>
          <w:b/>
        </w:rPr>
        <w:t xml:space="preserve">Objective  </w:t>
      </w:r>
      <w:r>
        <w:t>Remove order-dependent shared writes from particle movement and test execution.</w:t>
      </w:r>
    </w:p>
    <w:p>
      <w:pPr>
        <w:keepLines w:val="0"/>
      </w:pPr>
      <w:r/>
      <w:r>
        <w:rPr>
          <w:b/>
        </w:rPr>
        <w:t>Implementation actions</w:t>
      </w:r>
    </w:p>
    <w:p>
      <w:pPr>
        <w:spacing w:after="60"/>
        <w:ind w:left="360" w:hanging="360"/>
      </w:pPr>
      <w:r>
        <w:t>1.  Allocate thread-local streaming and energy-exchange arrays for each owned field-line segment.</w:t>
      </w:r>
    </w:p>
    <w:p>
      <w:pPr>
        <w:spacing w:after="60"/>
        <w:ind w:left="360" w:hanging="360"/>
      </w:pPr>
      <w:r>
        <w:t>2.  Reduce thread buffers in a fixed order, then perform MPI reduction through a documented reproducibility policy.</w:t>
      </w:r>
    </w:p>
    <w:p>
      <w:pPr>
        <w:spacing w:after="60"/>
        <w:ind w:left="360" w:hanging="360"/>
      </w:pPr>
      <w:r>
        <w:t>3.  Replace global reseeding with counter-based or keyed streams based on campaign seed, particle ID, step, and purpose.</w:t>
      </w:r>
    </w:p>
    <w:p>
      <w:pPr>
        <w:spacing w:after="60"/>
        <w:ind w:left="360" w:hanging="360"/>
      </w:pPr>
      <w:r>
        <w:t>4.  Make warning and limiter counters atomic or collect them through local statistics.</w:t>
      </w:r>
    </w:p>
    <w:p>
      <w:pPr>
        <w:spacing w:after="60"/>
        <w:ind w:left="360" w:hanging="360"/>
      </w:pPr>
      <w:r>
        <w:t>5.  Run every stochastic mover under different thread counts, schedules, particle orders, and MPI decompositions.</w:t>
      </w:r>
    </w:p>
    <w:p>
      <w:pPr>
        <w:keepLines w:val="0"/>
      </w:pPr>
      <w:r>
        <w:rPr>
          <w:b/>
        </w:rPr>
        <w:t xml:space="preserve">Primary files  </w:t>
      </w:r>
      <w:r>
        <w:t>wave_particle_coupling_kolmogorov.cpp, fte mover files, main.cpp, main_lib.cpp, random stream support.</w:t>
      </w:r>
    </w:p>
    <w:p>
      <w:pPr>
        <w:keepLines w:val="0"/>
      </w:pPr>
      <w:r>
        <w:rPr>
          <w:b/>
        </w:rPr>
        <w:t xml:space="preserve">Dependencies  </w:t>
      </w:r>
      <w:r>
        <w:t>Steps 6 8 9 and 11</w:t>
      </w:r>
    </w:p>
    <w:p>
      <w:pPr>
        <w:keepLines w:val="0"/>
      </w:pPr>
      <w:r>
        <w:rPr>
          <w:b/>
        </w:rPr>
        <w:t xml:space="preserve">Focused tests  </w:t>
      </w:r>
      <w:r>
        <w:t>PAR01 one writer contract, PAR02 scheduler reproducibility, PAR03 MPI decomposition reproducibility, PAR04 RNG stream independence, and PAR05 deterministic evidence hashes.</w:t>
      </w:r>
    </w:p>
    <w:p>
      <w:pPr>
        <w:keepLines w:val="0"/>
      </w:pPr>
      <w:r>
        <w:rPr>
          <w:b/>
        </w:rPr>
        <w:t xml:space="preserve">Completion gate  </w:t>
      </w:r>
      <w:r>
        <w:t>Fixed-seed results meet the declared bitwise or numerical reproducibility policy for every supported execution layout.</w:t>
      </w:r>
    </w:p>
    <w:p>
      <w:pPr>
        <w:pStyle w:val="Heading2"/>
        <w:keepNext/>
      </w:pPr>
      <w:r>
        <w:t>Step 13 Complete component and cross mover tests</w:t>
      </w:r>
    </w:p>
    <w:p>
      <w:pPr>
        <w:keepLines w:val="0"/>
      </w:pPr>
      <w:r>
        <w:rPr>
          <w:b/>
        </w:rPr>
        <w:t xml:space="preserve">Objective  </w:t>
      </w:r>
      <w:r>
        <w:t>Turn the test CLI into the primary acceptance mechanism for the cleaned application.</w:t>
      </w:r>
    </w:p>
    <w:p>
      <w:pPr>
        <w:keepLines w:val="0"/>
      </w:pPr>
      <w:r/>
      <w:r>
        <w:rPr>
          <w:b/>
        </w:rPr>
        <w:t>Implementation actions</w:t>
      </w:r>
    </w:p>
    <w:p>
      <w:pPr>
        <w:spacing w:after="60"/>
        <w:ind w:left="360" w:hanging="360"/>
      </w:pPr>
      <w:r>
        <w:t>1.  Register the component cases in Section 7 with stable IDs and groups.</w:t>
      </w:r>
    </w:p>
    <w:p>
      <w:pPr>
        <w:spacing w:after="60"/>
        <w:ind w:left="360" w:hanging="360"/>
      </w:pPr>
      <w:r>
        <w:t>2.  Convert existing diagnostics so each assertion reaches TestResult and every failure changes the process exit code.</w:t>
      </w:r>
    </w:p>
    <w:p>
      <w:pPr>
        <w:spacing w:after="60"/>
        <w:ind w:left="360" w:hanging="360"/>
      </w:pPr>
      <w:r>
        <w:t>3.  Use small deterministic fixtures by default and put expensive Monte Carlo convergence cases in a stress group.</w:t>
      </w:r>
    </w:p>
    <w:p>
      <w:pPr>
        <w:spacing w:after="60"/>
        <w:ind w:left="360" w:hanging="360"/>
      </w:pPr>
      <w:r>
        <w:t>4.  Add cross-mover diffusion-limit comparisons under matched coefficient assumptions.</w:t>
      </w:r>
    </w:p>
    <w:p>
      <w:pPr>
        <w:spacing w:after="60"/>
        <w:ind w:left="360" w:hanging="360"/>
      </w:pPr>
      <w:r>
        <w:t>5.  Add standalone analytic SWCME and mock-SWMF background fixtures.</w:t>
      </w:r>
    </w:p>
    <w:p>
      <w:pPr>
        <w:spacing w:after="60"/>
        <w:ind w:left="360" w:hanging="360"/>
      </w:pPr>
      <w:r>
        <w:t>6.  Emit JSON and JUnit summaries and retain complete failure evidence.</w:t>
      </w:r>
    </w:p>
    <w:p>
      <w:pPr>
        <w:keepLines w:val="0"/>
      </w:pPr>
      <w:r>
        <w:rPr>
          <w:b/>
        </w:rPr>
        <w:t xml:space="preserve">Primary files  </w:t>
      </w:r>
      <w:r>
        <w:t>test registry files, tests.cpp, test_wave_energy_initialization.cpp, growth_rate_validation_test.cpp, makefile.</w:t>
      </w:r>
    </w:p>
    <w:p>
      <w:pPr>
        <w:keepLines w:val="0"/>
      </w:pPr>
      <w:r>
        <w:rPr>
          <w:b/>
        </w:rPr>
        <w:t xml:space="preserve">Dependencies  </w:t>
      </w:r>
      <w:r>
        <w:t>Steps 1 through 12</w:t>
      </w:r>
    </w:p>
    <w:p>
      <w:pPr>
        <w:keepLines w:val="0"/>
      </w:pPr>
      <w:r>
        <w:rPr>
          <w:b/>
        </w:rPr>
        <w:t xml:space="preserve">Focused tests  </w:t>
      </w:r>
      <w:r>
        <w:t>CLI --all-tests in serial, MPI, strict-warning, ASan, UBSan, and repeated stochastic configurations.</w:t>
      </w:r>
    </w:p>
    <w:p>
      <w:pPr>
        <w:keepLines w:val="0"/>
      </w:pPr>
      <w:r>
        <w:rPr>
          <w:b/>
        </w:rPr>
        <w:t xml:space="preserve">Completion gate  </w:t>
      </w:r>
      <w:r>
        <w:t>No registered test can set a hidden failure flag and return PASS; every group is selectable and the complete suite returns a reliable exit code.</w:t>
      </w:r>
    </w:p>
    <w:p>
      <w:pPr>
        <w:pStyle w:val="Heading2"/>
        <w:keepNext/>
      </w:pPr>
      <w:r>
        <w:t>Step 14 Remove compatibility code and update documentation</w:t>
      </w:r>
    </w:p>
    <w:p>
      <w:pPr>
        <w:keepLines w:val="0"/>
      </w:pPr>
      <w:r>
        <w:rPr>
          <w:b/>
        </w:rPr>
        <w:t xml:space="preserve">Objective  </w:t>
      </w:r>
      <w:r>
        <w:t>Finish the cleanup after the three canonical movers and test CLI have passed their acceptance gates.</w:t>
      </w:r>
    </w:p>
    <w:p>
      <w:pPr>
        <w:keepLines w:val="0"/>
      </w:pPr>
      <w:r/>
      <w:r>
        <w:rPr>
          <w:b/>
        </w:rPr>
        <w:t>Implementation actions</w:t>
      </w:r>
    </w:p>
    <w:p>
      <w:pPr>
        <w:spacing w:after="60"/>
        <w:ind w:left="360" w:hanging="360"/>
      </w:pPr>
      <w:r>
        <w:t>1.  Delete deprecated mover symbols, aliases, dead code after unconditional returns, commented experimental implementations, and unused compile macros.</w:t>
      </w:r>
    </w:p>
    <w:p>
      <w:pPr>
        <w:spacing w:after="60"/>
        <w:ind w:left="360" w:hanging="360"/>
      </w:pPr>
      <w:r>
        <w:t>2.  Split the remaining monolithic mover.cpp into the target transport files.</w:t>
      </w:r>
    </w:p>
    <w:p>
      <w:pPr>
        <w:spacing w:after="60"/>
        <w:ind w:left="360" w:hanging="360"/>
      </w:pPr>
      <w:r>
        <w:t>3.  Remove generated binaries coverage files output directories and nested source archives from version control and add ignore rules.</w:t>
      </w:r>
    </w:p>
    <w:p>
      <w:pPr>
        <w:spacing w:after="60"/>
        <w:ind w:left="360" w:hanging="360"/>
      </w:pPr>
      <w:r>
        <w:t>4.  Write a top-level srcSEP README covering physics, provider combinations, the three movers, CLI, testing, coupled execution, and output metadata.</w:t>
      </w:r>
    </w:p>
    <w:p>
      <w:pPr>
        <w:spacing w:after="60"/>
        <w:ind w:left="360" w:hanging="360"/>
      </w:pPr>
      <w:r>
        <w:t>5.  Add migration notes that map every old mover name to its destination or replacement.</w:t>
      </w:r>
    </w:p>
    <w:p>
      <w:pPr>
        <w:spacing w:after="60"/>
        <w:ind w:left="360" w:hanging="360"/>
      </w:pPr>
      <w:r>
        <w:t>6.  Compile with strict warnings and run static analysis on the remaining source.</w:t>
      </w:r>
    </w:p>
    <w:p>
      <w:pPr>
        <w:keepLines w:val="0"/>
      </w:pPr>
      <w:r>
        <w:rPr>
          <w:b/>
        </w:rPr>
        <w:t xml:space="preserve">Primary files  </w:t>
      </w:r>
      <w:r>
        <w:t>all source headers and build files, README.md, test/README.md, .gitignore, migration_manifest.md.</w:t>
      </w:r>
    </w:p>
    <w:p>
      <w:pPr>
        <w:keepLines w:val="0"/>
      </w:pPr>
      <w:r>
        <w:rPr>
          <w:b/>
        </w:rPr>
        <w:t xml:space="preserve">Dependencies  </w:t>
      </w:r>
      <w:r>
        <w:t>Step 13</w:t>
      </w:r>
    </w:p>
    <w:p>
      <w:pPr>
        <w:keepLines w:val="0"/>
      </w:pPr>
      <w:r>
        <w:rPr>
          <w:b/>
        </w:rPr>
        <w:t xml:space="preserve">Focused tests  </w:t>
      </w:r>
      <w:r>
        <w:t>DOC01 command examples, DOC02 public-symbol inventory, DOC03 clean-source archive, WARN01 strict build, and SAN01 full sanitizer suite.</w:t>
      </w:r>
    </w:p>
    <w:p>
      <w:pPr>
        <w:keepLines w:val="0"/>
      </w:pPr>
      <w:r>
        <w:rPr>
          <w:b/>
        </w:rPr>
        <w:t xml:space="preserve">Completion gate  </w:t>
      </w:r>
      <w:r>
        <w:t>The production executable advertises exactly three movers, the build contains no full-3D mover objects, and documentation reproduces every supported command.</w:t>
      </w:r>
    </w:p>
    <w:p>
      <w:pPr>
        <w:pStyle w:val="Heading2"/>
        <w:keepNext/>
      </w:pPr>
      <w:r>
        <w:t>Step 15 Run numerical cross model and observational validation</w:t>
      </w:r>
    </w:p>
    <w:p>
      <w:pPr>
        <w:keepLines w:val="0"/>
      </w:pPr>
      <w:r>
        <w:rPr>
          <w:b/>
        </w:rPr>
        <w:t xml:space="preserve">Objective  </w:t>
      </w:r>
      <w:r>
        <w:t>Establish scientific readiness after the architecture and component tests are stable.</w:t>
      </w:r>
    </w:p>
    <w:p>
      <w:pPr>
        <w:keepLines w:val="0"/>
      </w:pPr>
      <w:r/>
      <w:r>
        <w:rPr>
          <w:b/>
        </w:rPr>
        <w:t>Implementation actions</w:t>
      </w:r>
    </w:p>
    <w:p>
      <w:pPr>
        <w:spacing w:after="60"/>
        <w:ind w:left="360" w:hanging="360"/>
      </w:pPr>
      <w:r>
        <w:t>1.  Compare the Parker mover against independent one-dimensional diffusion and adiabatic-cooling solutions.</w:t>
      </w:r>
    </w:p>
    <w:p>
      <w:pPr>
        <w:spacing w:after="60"/>
        <w:ind w:left="360" w:hanging="360"/>
      </w:pPr>
      <w:r>
        <w:t>2.  Compare fte-dmumu and fte-mfp under matched mean-free-path assumptions using pitch-angle moments, onset time, peak intensity, and fluence.</w:t>
      </w:r>
    </w:p>
    <w:p>
      <w:pPr>
        <w:spacing w:after="60"/>
        <w:ind w:left="360" w:hanging="360"/>
      </w:pPr>
      <w:r>
        <w:t>3.  Run identical field-line background histories through srcSEP and an independent focused-transport solver.</w:t>
      </w:r>
    </w:p>
    <w:p>
      <w:pPr>
        <w:spacing w:after="60"/>
        <w:ind w:left="360" w:hanging="360"/>
      </w:pPr>
      <w:r>
        <w:t>4.  Run real SWCME-to-srcSEP and SWMF-to-srcSEP integration cases rather than interface-only smoke tests.</w:t>
      </w:r>
    </w:p>
    <w:p>
      <w:pPr>
        <w:spacing w:after="60"/>
        <w:ind w:left="360" w:hanging="360"/>
      </w:pPr>
      <w:r>
        <w:t>5.  Only after numerical closure, compare event onset, anisotropy, spectra, fluence, decay, and multi-spacecraft longitudinal variation with observations.</w:t>
      </w:r>
    </w:p>
    <w:p>
      <w:pPr>
        <w:spacing w:after="60"/>
        <w:ind w:left="360" w:hanging="360"/>
      </w:pPr>
      <w:r>
        <w:t>6.  Archive configuration, input checksums, random seeds, compiler identity, output schema, and acceptance metrics for each campaign.</w:t>
      </w:r>
    </w:p>
    <w:p>
      <w:pPr>
        <w:keepLines w:val="0"/>
      </w:pPr>
      <w:r>
        <w:rPr>
          <w:b/>
        </w:rPr>
        <w:t xml:space="preserve">Primary files  </w:t>
      </w:r>
      <w:r>
        <w:t>validation runners, case READMEs, reference data manifests, campaign schema.</w:t>
      </w:r>
    </w:p>
    <w:p>
      <w:pPr>
        <w:keepLines w:val="0"/>
      </w:pPr>
      <w:r>
        <w:rPr>
          <w:b/>
        </w:rPr>
        <w:t xml:space="preserve">Dependencies  </w:t>
      </w:r>
      <w:r>
        <w:t>Step 14</w:t>
      </w:r>
    </w:p>
    <w:p>
      <w:pPr>
        <w:keepLines w:val="0"/>
      </w:pPr>
      <w:r>
        <w:rPr>
          <w:b/>
        </w:rPr>
        <w:t xml:space="preserve">Focused tests  </w:t>
      </w:r>
      <w:r>
        <w:t>VAL01 manufactured benchmark, VAL02 cross-mover closure, VAL03 external solver comparison, VAL04 coupled background replay, and event-specific observational cases.</w:t>
      </w:r>
    </w:p>
    <w:p>
      <w:pPr>
        <w:keepLines w:val="0"/>
      </w:pPr>
      <w:r>
        <w:rPr>
          <w:b/>
        </w:rPr>
        <w:t xml:space="preserve">Completion gate  </w:t>
      </w:r>
      <w:r>
        <w:t>A release report separates numerical verification, coupled integration, cross-model comparison, and observational skill; no synthetic fixture is labeled as observational validation.</w:t>
      </w:r>
    </w:p>
    <w:p>
      <w:pPr>
        <w:pStyle w:val="Heading1"/>
        <w:keepNext/>
      </w:pPr>
      <w:r>
        <w:t>7 Component test catalog</w:t>
      </w:r>
    </w:p>
    <w:p>
      <w:pPr>
        <w:keepLines w:val="0"/>
      </w:pPr>
      <w:r>
        <w:t>The following catalog defines the initial standalone test campaign. Each case should be individually selectable with --test and should also belong to the indicated group. Tests are ordered by implementation priority within each component.</w:t>
      </w:r>
    </w:p>
    <w:p>
      <w:pPr>
        <w:pStyle w:val="Heading2"/>
        <w:keepNext/>
      </w:pPr>
      <w:r>
        <w:t>7.1 Command line and registry tests</w:t>
      </w:r>
    </w:p>
    <w:p>
      <w:pPr>
        <w:pStyle w:val="Heading3"/>
      </w:pPr>
      <w:r>
        <w:t>PCLI01 No-argument defaults and production dispatch</w:t>
      </w:r>
    </w:p>
    <w:p>
      <w:r>
        <w:rPr>
          <w:b/>
        </w:rPr>
        <w:t xml:space="preserve">What is tested  </w:t>
      </w:r>
      <w:r>
        <w:t>The current Options defaults and the no-argument path into the normal standalone simulation: coupling on, cascade on, reflection on, integrated turbulence, FTE mover, 300 injected particles per iteration, spectrum interval 100, and TestManager off.</w:t>
      </w:r>
    </w:p>
    <w:p>
      <w:r>
        <w:rPr>
          <w:b/>
        </w:rPr>
        <w:t xml:space="preserve">Why it is tested  </w:t>
      </w:r>
      <w:r>
        <w:t>Most batch and regression jobs rely on defaults. A parser refactor that changes one default or exits into test mode changes production physics without an obvious configuration diff.</w:t>
      </w:r>
    </w:p>
    <w:p>
      <w:r>
        <w:rPr>
          <w:b/>
        </w:rPr>
        <w:t xml:space="preserve">How it is tested  </w:t>
      </w:r>
      <w:r>
        <w:t>Unit-test a freshly constructed Options object and ParseCommandLine with argc=1. In an application smoke harness, instrument initialization and dispatch, then run the executable with no arguments against a bounded fixture.</w:t>
      </w:r>
    </w:p>
    <w:p>
      <w:r>
        <w:rPr>
          <w:b/>
        </w:rPr>
        <w:t xml:space="preserve">Expected result  </w:t>
      </w:r>
      <w:r>
        <w:t>Every field has the recorded default; production initialization occurs exactly once; no test case runs; the effective configuration reports those values; and the bounded reference outputs remain within frozen tolerances.</w:t>
      </w:r>
    </w:p>
    <w:p>
      <w:pPr>
        <w:pStyle w:val="Heading3"/>
      </w:pPr>
      <w:r>
        <w:t>PCLI02 Help completeness and side-effect-free early exit</w:t>
      </w:r>
    </w:p>
    <w:p>
      <w:r>
        <w:rPr>
          <w:b/>
        </w:rPr>
        <w:t xml:space="preserve">What is tested  </w:t>
      </w:r>
      <w:r>
        <w:t>-h and --help, the complete advertised production option set, defaults, value syntax, aliases, and exit before model initialization.</w:t>
      </w:r>
    </w:p>
    <w:p>
      <w:r>
        <w:rPr>
          <w:b/>
        </w:rPr>
        <w:t xml:space="preserve">Why it is tested  </w:t>
      </w:r>
      <w:r>
        <w:t>Help is the operator-facing API. Stale help causes invalid campaigns, while help that allocates AMPS state is slow and unsafe in scripts.</w:t>
      </w:r>
    </w:p>
    <w:p>
      <w:r>
        <w:rPr>
          <w:b/>
        </w:rPr>
        <w:t xml:space="preserve">How it is tested  </w:t>
      </w:r>
      <w:r>
        <w:t>Invoke both help forms in subprocesses with initialization, filesystem-write, and MPI sentinels. Parse the output and compare canonical names/defaults with the Options definition and a reviewed help snapshot.</w:t>
      </w:r>
    </w:p>
    <w:p>
      <w:r>
        <w:rPr>
          <w:b/>
        </w:rPr>
        <w:t xml:space="preserve">Expected result  </w:t>
      </w:r>
      <w:r>
        <w:t>Both forms return zero, write help only to standard output, create no model artifacts, initialize no AMPS/SEP subsystem, and document every supported canonical option and deprecation alias.</w:t>
      </w:r>
    </w:p>
    <w:p>
      <w:pPr>
        <w:pStyle w:val="Heading3"/>
      </w:pPr>
      <w:r>
        <w:t>PCLI03 Boolean values shortcuts and compatibility aliases</w:t>
      </w:r>
    </w:p>
    <w:p>
      <w:r>
        <w:rPr>
          <w:b/>
        </w:rPr>
        <w:t xml:space="preserve">What is tested  </w:t>
      </w:r>
      <w:r>
        <w:t>All accepted boolean spellings, case-insensitive values, negative shortcuts, and the existing --cascase/--no-cascase compatibility spelling for coupling, cascade, reflection, and TestManager switches.</w:t>
      </w:r>
    </w:p>
    <w:p>
      <w:r>
        <w:rPr>
          <w:b/>
        </w:rPr>
        <w:t xml:space="preserve">Why it is tested  </w:t>
      </w:r>
      <w:r>
        <w:t>Operational scripts may use any currently accepted spelling. Losing an alias or reversing a negative shortcut can silently activate expensive or coupled physics.</w:t>
      </w:r>
    </w:p>
    <w:p>
      <w:r>
        <w:rPr>
          <w:b/>
        </w:rPr>
        <w:t xml:space="preserve">How it is tested  </w:t>
      </w:r>
      <w:r>
        <w:t>Generate a table-driven parser test over on/off, true/false, yes/no, 1/0, enable/disable, enabled/disabled, mixed case, both value syntaxes, all aliases, and no-* shortcuts. Compare the resulting field with an independent expected table.</w:t>
      </w:r>
    </w:p>
    <w:p>
      <w:r>
        <w:rPr>
          <w:b/>
        </w:rPr>
        <w:t xml:space="preserve">Expected result  </w:t>
      </w:r>
      <w:r>
        <w:t>Every documented current form maps to the same Boolean state; shortcuts reject attached values; deprecated aliases, if warned, still work; and no unrelated option field changes.</w:t>
      </w:r>
    </w:p>
    <w:p>
      <w:pPr>
        <w:pStyle w:val="Heading3"/>
      </w:pPr>
      <w:r>
        <w:t>PCLI04 Turbulence representation and mover parsing</w:t>
      </w:r>
    </w:p>
    <w:p>
      <w:r>
        <w:rPr>
          <w:b/>
        </w:rPr>
        <w:t xml:space="preserve">What is tested  </w:t>
      </w:r>
      <w:r>
        <w:t>Canonical values and aliases for --turbulence-model and --particle-mover, including case-insensitive values and both --option value and --option=value forms.</w:t>
      </w:r>
    </w:p>
    <w:p>
      <w:r>
        <w:rPr>
          <w:b/>
        </w:rPr>
        <w:t xml:space="preserve">Why it is tested  </w:t>
      </w:r>
      <w:r>
        <w:t>These selections change the evolved wave state and particle algorithm. A parser-only success is insufficient if it selects the wrong enum.</w:t>
      </w:r>
    </w:p>
    <w:p>
      <w:r>
        <w:rPr>
          <w:b/>
        </w:rPr>
        <w:t xml:space="preserve">How it is tested  </w:t>
      </w:r>
      <w:r>
        <w:t>Enumerate every value accepted by ParseTurbulenceModelValue and ParseParticleMoverValue, parse through the public CLI, and compare exact enums. During Step 4, run the same test against the reviewed legacy-to-three-mover mapping and warnings.</w:t>
      </w:r>
    </w:p>
    <w:p>
      <w:r>
        <w:rPr>
          <w:b/>
        </w:rPr>
        <w:t xml:space="preserve">Expected result  </w:t>
      </w:r>
      <w:r>
        <w:t>Each current value selects its recorded enum; equivalent aliases are identical; invalid names fail clearly; and after migration only parker, fte-dmumu, and fte-mfp are canonical while approved legacy names follow the documented mapping.</w:t>
      </w:r>
    </w:p>
    <w:p>
      <w:pPr>
        <w:pStyle w:val="Heading3"/>
      </w:pPr>
      <w:r>
        <w:t>PCLI05 Numeric controls and range enforcement</w:t>
      </w:r>
    </w:p>
    <w:p>
      <w:r>
        <w:rPr>
          <w:b/>
        </w:rPr>
        <w:t xml:space="preserve">What is tested  </w:t>
      </w:r>
      <w:r>
        <w:t>Positive parsing of particles per iteration and nonnegative parsing of spectrum output interval, including aliases, zero policy, malformed strings, signs, whitespace, and integer overflow.</w:t>
      </w:r>
    </w:p>
    <w:p>
      <w:r>
        <w:rPr>
          <w:b/>
        </w:rPr>
        <w:t xml:space="preserve">Why it is tested  </w:t>
      </w:r>
      <w:r>
        <w:t>Invalid injection counts can make weight normalization singular, and an invalid output interval can create uncontrolled output or undefined scheduling.</w:t>
      </w:r>
    </w:p>
    <w:p>
      <w:r>
        <w:rPr>
          <w:b/>
        </w:rPr>
        <w:t xml:space="preserve">How it is tested  </w:t>
      </w:r>
      <w:r>
        <w:t>Use boundary-value and property-based parser tests around 0, 1, INT_MAX, overflow, negative values, partial numbers, and missing values for each alias and syntax.</w:t>
      </w:r>
    </w:p>
    <w:p>
      <w:r>
        <w:rPr>
          <w:b/>
        </w:rPr>
        <w:t xml:space="preserve">Expected result  </w:t>
      </w:r>
      <w:r>
        <w:t>Injection accepts 1 through the supported integer maximum and rejects zero; spectrum cadence accepts zero as disabled; all malformed, negative, missing, and overflowing values fail without changing the prior option state.</w:t>
      </w:r>
    </w:p>
    <w:p>
      <w:pPr>
        <w:pStyle w:val="Heading3"/>
      </w:pPr>
      <w:r>
        <w:t>PCLI06 Unknown malformed and flag-value rejection</w:t>
      </w:r>
    </w:p>
    <w:p>
      <w:r>
        <w:rPr>
          <w:b/>
        </w:rPr>
        <w:t xml:space="preserve">What is tested  </w:t>
      </w:r>
      <w:r>
        <w:t>Unknown options, missing values, values attached to shortcut flags, positional arguments, and mixed valid/invalid command lines.</w:t>
      </w:r>
    </w:p>
    <w:p>
      <w:r>
        <w:rPr>
          <w:b/>
        </w:rPr>
        <w:t xml:space="preserve">Why it is tested  </w:t>
      </w:r>
      <w:r>
        <w:t>A typo must not fall through to a long default simulation, and a partial parse must not apply a half-valid physical configuration.</w:t>
      </w:r>
    </w:p>
    <w:p>
      <w:r>
        <w:rPr>
          <w:b/>
        </w:rPr>
        <w:t xml:space="preserve">How it is tested  </w:t>
      </w:r>
      <w:r>
        <w:t>Run each malformed form in parser unit tests and executable subprocesses. Instrument ApplyTurbulenceOptions and model initialization to detect any state mutation after parse failure.</w:t>
      </w:r>
    </w:p>
    <w:p>
      <w:r>
        <w:rPr>
          <w:b/>
        </w:rPr>
        <w:t xml:space="preserve">Expected result  </w:t>
      </w:r>
      <w:r>
        <w:t>Parsing fails deterministically, identifies the offending option/value, returns the documented usage-error code, prints help on the current application path, and performs no model-state application or initialization.</w:t>
      </w:r>
    </w:p>
    <w:p>
      <w:pPr>
        <w:pStyle w:val="Heading3"/>
      </w:pPr>
      <w:r>
        <w:t>PCLI07 Application to actual production model state</w:t>
      </w:r>
    </w:p>
    <w:p>
      <w:r>
        <w:rPr>
          <w:b/>
        </w:rPr>
        <w:t xml:space="preserve">What is tested  </w:t>
      </w:r>
      <w:r>
        <w:t>ApplyTurbulenceOptions updates coupling, cascade, reflection, turbulence representation, mover function pointer, injection count, and spectral-output configuration consumed by the run.</w:t>
      </w:r>
    </w:p>
    <w:p>
      <w:r>
        <w:rPr>
          <w:b/>
        </w:rPr>
        <w:t xml:space="preserve">Why it is tested  </w:t>
      </w:r>
      <w:r>
        <w:t>A correct parser can still be disconnected from the physics globals, leaving logs and actual behavior inconsistent.</w:t>
      </w:r>
    </w:p>
    <w:p>
      <w:r>
        <w:rPr>
          <w:b/>
        </w:rPr>
        <w:t xml:space="preserve">How it is tested  </w:t>
      </w:r>
      <w:r>
        <w:t>Initialize every target to sentinel values, parse one reviewed configuration per field, call ApplyTurbulenceOptions, and assert exact globals/function pointers. Add one bounded application case whose selected mover and turbulence kernels increment execution counters.</w:t>
      </w:r>
    </w:p>
    <w:p>
      <w:r>
        <w:rPr>
          <w:b/>
        </w:rPr>
        <w:t xml:space="preserve">Expected result  </w:t>
      </w:r>
      <w:r>
        <w:t>Every selected value reaches the intended production variable or function pointer exactly once; no unselected state changes; and the executed mover/representation matches the reported configuration.</w:t>
      </w:r>
    </w:p>
    <w:p>
      <w:pPr>
        <w:pStyle w:val="Heading3"/>
      </w:pPr>
      <w:r>
        <w:t>PCLI08 Ordering precedence and input-file override contract</w:t>
      </w:r>
    </w:p>
    <w:p>
      <w:r>
        <w:rPr>
          <w:b/>
        </w:rPr>
        <w:t xml:space="preserve">What is tested  </w:t>
      </w:r>
      <w:r>
        <w:t>The current last-occurrence-wins rule and the application order in which explicit CLI values are applied after the post-compile input file.</w:t>
      </w:r>
    </w:p>
    <w:p>
      <w:r>
        <w:rPr>
          <w:b/>
        </w:rPr>
        <w:t xml:space="preserve">Why it is tested  </w:t>
      </w:r>
      <w:r>
        <w:t>Campaign reproducibility depends on knowing which source controls a duplicated setting. Reordering parsing during cleanup could cause input files to override command-line intent.</w:t>
      </w:r>
    </w:p>
    <w:p>
      <w:r>
        <w:rPr>
          <w:b/>
        </w:rPr>
        <w:t xml:space="preserve">How it is tested  </w:t>
      </w:r>
      <w:r>
        <w:t>Parse repeated options in opposite orders, then use a fixture input file that sets conflicting turbulence/injection values. Trace the final applied state and include both sources in provenance output.</w:t>
      </w:r>
    </w:p>
    <w:p>
      <w:r>
        <w:rPr>
          <w:b/>
        </w:rPr>
        <w:t xml:space="preserve">Expected result  </w:t>
      </w:r>
      <w:r>
        <w:t>The last CLI occurrence wins within argv, and explicit CLI selections remain the final runtime values after input-file parsing. The log records the resolved value and source; a future precedence change is rejected until versioned.</w:t>
      </w:r>
    </w:p>
    <w:p>
      <w:pPr>
        <w:pStyle w:val="Heading3"/>
      </w:pPr>
      <w:r>
        <w:t>PCLI09 Effective-configuration output and compatibility warning</w:t>
      </w:r>
    </w:p>
    <w:p>
      <w:r>
        <w:rPr>
          <w:b/>
        </w:rPr>
        <w:t xml:space="preserve">What is tested  </w:t>
      </w:r>
      <w:r>
        <w:t>PrintTurbulenceOptions reports every applied production control, disabled spectral-output state, and the warning for wave-number-resolved coupling with a mover that does not fill the required streaming source.</w:t>
      </w:r>
    </w:p>
    <w:p>
      <w:r>
        <w:rPr>
          <w:b/>
        </w:rPr>
        <w:t xml:space="preserve">Why it is tested  </w:t>
      </w:r>
      <w:r>
        <w:t>Batch evidence must describe the physics actually selected and flag known incompatible or reduced-coupling combinations.</w:t>
      </w:r>
    </w:p>
    <w:p>
      <w:r>
        <w:rPr>
          <w:b/>
        </w:rPr>
        <w:t xml:space="preserve">How it is tested  </w:t>
      </w:r>
      <w:r>
        <w:t>Capture the summary for defaults, every changed field, zero spectral interval, compatible movers, and incompatible spectral-coupling movers. Compare parsed key/value content, not fragile spacing alone.</w:t>
      </w:r>
    </w:p>
    <w:p>
      <w:r>
        <w:rPr>
          <w:b/>
        </w:rPr>
        <w:t xml:space="preserve">Expected result  </w:t>
      </w:r>
      <w:r>
        <w:t>The summary exactly matches applied state, names the selected mover and representation, reports disabled output, emits the compatibility warning only for the defined combinations, and is stable enough for campaign provenance parsing.</w:t>
      </w:r>
    </w:p>
    <w:p>
      <w:pPr>
        <w:pStyle w:val="Heading3"/>
      </w:pPr>
      <w:r>
        <w:t>PCLI10 Legacy TestManager control</w:t>
      </w:r>
    </w:p>
    <w:p>
      <w:r>
        <w:rPr>
          <w:b/>
        </w:rPr>
        <w:t xml:space="preserve">What is tested  </w:t>
      </w:r>
      <w:r>
        <w:t>The default-off behavior and all current ways to enable or disable the aggregate standalone TestManager diagnostic after field-line initialization.</w:t>
      </w:r>
    </w:p>
    <w:p>
      <w:r>
        <w:rPr>
          <w:b/>
        </w:rPr>
        <w:t xml:space="preserve">Why it is tested  </w:t>
      </w:r>
      <w:r>
        <w:t>Existing developers may depend on this switch while the registry is introduced. Removing or silently changing it would eliminate a diagnostic path or run intrusive tests unexpectedly.</w:t>
      </w:r>
    </w:p>
    <w:p>
      <w:r>
        <w:rPr>
          <w:b/>
        </w:rPr>
        <w:t xml:space="preserve">How it is tested  </w:t>
      </w:r>
      <w:r>
        <w:t>Instrument TestManager, run each alias/shortcut in a bounded standalone harness with field-line mode on and off, and later verify the explicit mapping to the legacy registry group plus any deprecation warning.</w:t>
      </w:r>
    </w:p>
    <w:p>
      <w:r>
        <w:rPr>
          <w:b/>
        </w:rPr>
        <w:t xml:space="preserve">Expected result  </w:t>
      </w:r>
      <w:r>
        <w:t>No-argument production runs never call TestManager; every enable form calls the same legacy diagnostic once when supported; disable forms prevent it; field-line-off behavior remains an explicit skip/warning; and migration never silently changes scope.</w:t>
      </w:r>
    </w:p>
    <w:p>
      <w:pPr>
        <w:pStyle w:val="Heading3"/>
      </w:pPr>
      <w:r>
        <w:t>PCLI11 Representative production option matrix</w:t>
      </w:r>
    </w:p>
    <w:p>
      <w:r>
        <w:rPr>
          <w:b/>
        </w:rPr>
        <w:t xml:space="preserve">What is tested  </w:t>
      </w:r>
      <w:r>
        <w:t>The end-to-end standalone application under representative combinations of mover, integrated/spectral turbulence, coupling, cascade, reflection, injection count, and output cadence.</w:t>
      </w:r>
    </w:p>
    <w:p>
      <w:r>
        <w:rPr>
          <w:b/>
        </w:rPr>
        <w:t xml:space="preserve">Why it is tested  </w:t>
      </w:r>
      <w:r>
        <w:t>Pairwise interactions and initialization ordering are not proven by isolated parser tests. This matrix detects disconnected controls and options that only fail after allocation.</w:t>
      </w:r>
    </w:p>
    <w:p>
      <w:r>
        <w:rPr>
          <w:b/>
        </w:rPr>
        <w:t xml:space="preserve">How it is tested  </w:t>
      </w:r>
      <w:r>
        <w:t>Use a short deterministic field-line fixture and a pairwise covering array of current options. Capture exit status, effective configuration, selected kernel counters, artifacts, and reference metrics. Rebaseline only after reviewed physics changes.</w:t>
      </w:r>
    </w:p>
    <w:p>
      <w:r>
        <w:rPr>
          <w:b/>
        </w:rPr>
        <w:t xml:space="preserve">Expected result  </w:t>
      </w:r>
      <w:r>
        <w:t>Every supported combination initializes and completes the bounded run, each requested kernel is the one executed, disabled operators remain inactive, evidence matches the command, and metrics stay within the approved compatibility envelope.</w:t>
      </w:r>
    </w:p>
    <w:p>
      <w:pPr>
        <w:pStyle w:val="Heading3"/>
      </w:pPr>
      <w:r>
        <w:t>PCLI12 Standalone ownership coupled isolation and repeatability</w:t>
      </w:r>
    </w:p>
    <w:p>
      <w:r>
        <w:rPr>
          <w:b/>
        </w:rPr>
        <w:t xml:space="preserve">What is tested  </w:t>
      </w:r>
      <w:r>
        <w:t>Only the standalone executable parses process arguments; coupled library entry points ignore them; repeated parser/harness invocations do not leak prior option or global state.</w:t>
      </w:r>
    </w:p>
    <w:p>
      <w:r>
        <w:rPr>
          <w:b/>
        </w:rPr>
        <w:t xml:space="preserve">Why it is tested  </w:t>
      </w:r>
      <w:r>
        <w:t>Global CLI state or argument parsing inside main_lib.cpp can contaminate SWMF coupling and make test order affect production results.</w:t>
      </w:r>
    </w:p>
    <w:p>
      <w:r>
        <w:rPr>
          <w:b/>
        </w:rPr>
        <w:t xml:space="preserve">How it is tested  </w:t>
      </w:r>
      <w:r>
        <w:t>Run parser fixtures in permuted order with fresh Options objects, then link a mock coupled driver and call amps_init_mesh, amps_init, and amps_time_step while process argv contains CLI-like text. Track parser, registry, and TestManager calls.</w:t>
      </w:r>
    </w:p>
    <w:p>
      <w:r>
        <w:rPr>
          <w:b/>
        </w:rPr>
        <w:t xml:space="preserve">Expected result  </w:t>
      </w:r>
      <w:r>
        <w:t>Each parse starts from documented defaults, results are order independent, standalone dispatch remains functional, and coupled calls neither parse argv nor invoke the standalone registry/TestManager.</w:t>
      </w:r>
    </w:p>
    <w:p>
      <w:pPr>
        <w:pStyle w:val="Heading3"/>
        <w:keepNext/>
      </w:pPr>
      <w:r>
        <w:t>CLI01 List registered tests</w:t>
      </w:r>
    </w:p>
    <w:p>
      <w:pPr>
        <w:keepLines w:val="0"/>
      </w:pPr>
      <w:r>
        <w:rPr>
          <w:b/>
        </w:rPr>
        <w:t xml:space="preserve">What is tested  </w:t>
      </w:r>
      <w:r>
        <w:t>The registry prints each stable ID, group, initialization level, deterministic flag, and description.</w:t>
      </w:r>
    </w:p>
    <w:p>
      <w:pPr>
        <w:keepLines w:val="0"/>
      </w:pPr>
      <w:r>
        <w:rPr>
          <w:b/>
        </w:rPr>
        <w:t xml:space="preserve">Why it is tested  </w:t>
      </w:r>
      <w:r>
        <w:t>The test interface is only useful if users can discover the exact available cases without reading source code.</w:t>
      </w:r>
    </w:p>
    <w:p>
      <w:pPr>
        <w:keepLines w:val="0"/>
      </w:pPr>
      <w:r>
        <w:rPr>
          <w:b/>
        </w:rPr>
        <w:t xml:space="preserve">How it is tested  </w:t>
      </w:r>
      <w:r>
        <w:t>Invoke --list-tests on a registry containing known fixtures and parse the output independently.</w:t>
      </w:r>
    </w:p>
    <w:p>
      <w:pPr>
        <w:keepLines w:val="0"/>
      </w:pPr>
      <w:r>
        <w:rPr>
          <w:b/>
        </w:rPr>
        <w:t xml:space="preserve">Expected result  </w:t>
      </w:r>
      <w:r>
        <w:t>Every registered case appears once in stable order, no production initialization occurs, and the process returns zero.</w:t>
      </w:r>
    </w:p>
    <w:p>
      <w:pPr>
        <w:pStyle w:val="Heading3"/>
        <w:keepNext/>
      </w:pPr>
      <w:r>
        <w:t>CLI02 Select one test</w:t>
      </w:r>
    </w:p>
    <w:p>
      <w:pPr>
        <w:keepLines w:val="0"/>
      </w:pPr>
      <w:r>
        <w:rPr>
          <w:b/>
        </w:rPr>
        <w:t xml:space="preserve">What is tested  </w:t>
      </w:r>
      <w:r>
        <w:t>Only the requested test executes.</w:t>
      </w:r>
    </w:p>
    <w:p>
      <w:pPr>
        <w:keepLines w:val="0"/>
      </w:pPr>
      <w:r>
        <w:rPr>
          <w:b/>
        </w:rPr>
        <w:t xml:space="preserve">Why it is tested  </w:t>
      </w:r>
      <w:r>
        <w:t>A component developer must be able to run a focused test without paying for the complete campaign.</w:t>
      </w:r>
    </w:p>
    <w:p>
      <w:pPr>
        <w:keepLines w:val="0"/>
      </w:pPr>
      <w:r>
        <w:rPr>
          <w:b/>
        </w:rPr>
        <w:t xml:space="preserve">How it is tested  </w:t>
      </w:r>
      <w:r>
        <w:t>Register two sentinel cases, invoke --test for one ID, and inspect execution counters and result JSON.</w:t>
      </w:r>
    </w:p>
    <w:p>
      <w:pPr>
        <w:keepLines w:val="0"/>
      </w:pPr>
      <w:r>
        <w:rPr>
          <w:b/>
        </w:rPr>
        <w:t xml:space="preserve">Expected result  </w:t>
      </w:r>
      <w:r>
        <w:t>The requested counter is one, the unselected counter is zero, and the summary contains one result.</w:t>
      </w:r>
    </w:p>
    <w:p>
      <w:pPr>
        <w:pStyle w:val="Heading3"/>
        <w:keepNext/>
      </w:pPr>
      <w:r>
        <w:t>CLI03 Reject invalid test requests</w:t>
      </w:r>
    </w:p>
    <w:p>
      <w:pPr>
        <w:keepLines w:val="0"/>
      </w:pPr>
      <w:r>
        <w:rPr>
          <w:b/>
        </w:rPr>
        <w:t xml:space="preserve">What is tested  </w:t>
      </w:r>
      <w:r>
        <w:t>Unknown IDs, malformed seeds, duplicate incompatible options, and test plus production-run conflicts are rejected.</w:t>
      </w:r>
    </w:p>
    <w:p>
      <w:pPr>
        <w:keepLines w:val="0"/>
      </w:pPr>
      <w:r>
        <w:rPr>
          <w:b/>
        </w:rPr>
        <w:t xml:space="preserve">Why it is tested  </w:t>
      </w:r>
      <w:r>
        <w:t>Silent fallback to a production run would waste resources and could create misleading output.</w:t>
      </w:r>
    </w:p>
    <w:p>
      <w:pPr>
        <w:keepLines w:val="0"/>
      </w:pPr>
      <w:r>
        <w:rPr>
          <w:b/>
        </w:rPr>
        <w:t xml:space="preserve">How it is tested  </w:t>
      </w:r>
      <w:r>
        <w:t>Run one subprocess for each malformed command and capture its status and error text.</w:t>
      </w:r>
    </w:p>
    <w:p>
      <w:pPr>
        <w:keepLines w:val="0"/>
      </w:pPr>
      <w:r>
        <w:rPr>
          <w:b/>
        </w:rPr>
        <w:t xml:space="preserve">Expected result  </w:t>
      </w:r>
      <w:r>
        <w:t>Each command returns status two, names the invalid argument, and performs no model initialization.</w:t>
      </w:r>
    </w:p>
    <w:p>
      <w:pPr>
        <w:pStyle w:val="Heading3"/>
        <w:keepNext/>
      </w:pPr>
      <w:r>
        <w:t>CLI04 Propagate test failure</w:t>
      </w:r>
    </w:p>
    <w:p>
      <w:pPr>
        <w:keepLines w:val="0"/>
      </w:pPr>
      <w:r>
        <w:rPr>
          <w:b/>
        </w:rPr>
        <w:t xml:space="preserve">What is tested  </w:t>
      </w:r>
      <w:r>
        <w:t>A failed assertion changes the campaign summary and process return code.</w:t>
      </w:r>
    </w:p>
    <w:p>
      <w:pPr>
        <w:keepLines w:val="0"/>
      </w:pPr>
      <w:r>
        <w:rPr>
          <w:b/>
        </w:rPr>
        <w:t xml:space="preserve">Why it is tested  </w:t>
      </w:r>
      <w:r>
        <w:t>Current diagnostics can set local failure flags without failing the executable.</w:t>
      </w:r>
    </w:p>
    <w:p>
      <w:pPr>
        <w:keepLines w:val="0"/>
      </w:pPr>
      <w:r>
        <w:rPr>
          <w:b/>
        </w:rPr>
        <w:t xml:space="preserve">How it is tested  </w:t>
      </w:r>
      <w:r>
        <w:t>Run a deliberately failing internal fixture through the same registry and reporter used by production tests.</w:t>
      </w:r>
    </w:p>
    <w:p>
      <w:pPr>
        <w:keepLines w:val="0"/>
      </w:pPr>
      <w:r>
        <w:rPr>
          <w:b/>
        </w:rPr>
        <w:t xml:space="preserve">Expected result  </w:t>
      </w:r>
      <w:r>
        <w:t>The case is FAIL, campaign status is FAIL, return code is one, and failure details are present in JSON.</w:t>
      </w:r>
    </w:p>
    <w:p>
      <w:pPr>
        <w:pStyle w:val="Heading3"/>
        <w:keepNext/>
      </w:pPr>
      <w:r>
        <w:t>CLI05 Prevent tests during SWMF coupling</w:t>
      </w:r>
    </w:p>
    <w:p>
      <w:pPr>
        <w:keepLines w:val="0"/>
      </w:pPr>
      <w:r>
        <w:rPr>
          <w:b/>
        </w:rPr>
        <w:t xml:space="preserve">What is tested  </w:t>
      </w:r>
      <w:r>
        <w:t>The coupled library path cannot parse or execute standalone test requests.</w:t>
      </w:r>
    </w:p>
    <w:p>
      <w:pPr>
        <w:keepLines w:val="0"/>
      </w:pPr>
      <w:r>
        <w:rPr>
          <w:b/>
        </w:rPr>
        <w:t xml:space="preserve">Why it is tested  </w:t>
      </w:r>
      <w:r>
        <w:t>Component tests may mutate global state and must not run inside an operational coupled simulation.</w:t>
      </w:r>
    </w:p>
    <w:p>
      <w:pPr>
        <w:keepLines w:val="0"/>
      </w:pPr>
      <w:r>
        <w:rPr>
          <w:b/>
        </w:rPr>
        <w:t xml:space="preserve">How it is tested  </w:t>
      </w:r>
      <w:r>
        <w:t>Link a mock coupled driver, call amps_init_mesh, amps_init, and amps_time_step, and instrument the registry.</w:t>
      </w:r>
    </w:p>
    <w:p>
      <w:pPr>
        <w:keepLines w:val="0"/>
      </w:pPr>
      <w:r>
        <w:rPr>
          <w:b/>
        </w:rPr>
        <w:t xml:space="preserve">Expected result  </w:t>
      </w:r>
      <w:r>
        <w:t>The registry execution count remains zero for all coupled calls.</w:t>
      </w:r>
    </w:p>
    <w:p>
      <w:pPr>
        <w:pStyle w:val="Heading2"/>
        <w:keepNext/>
      </w:pPr>
      <w:r>
        <w:t>7.2 Background and field line geometry tests</w:t>
      </w:r>
    </w:p>
    <w:p>
      <w:pPr>
        <w:pStyle w:val="Heading3"/>
        <w:keepNext/>
      </w:pPr>
      <w:r>
        <w:t>BG01 Snapshot epoch integrity</w:t>
      </w:r>
    </w:p>
    <w:p>
      <w:pPr>
        <w:keepLines w:val="0"/>
      </w:pPr>
      <w:r>
        <w:rPr>
          <w:b/>
        </w:rPr>
        <w:t xml:space="preserve">What is tested  </w:t>
      </w:r>
      <w:r>
        <w:t>Every background query used during one step has the requested timestamp and generation.</w:t>
      </w:r>
    </w:p>
    <w:p>
      <w:pPr>
        <w:keepLines w:val="0"/>
      </w:pPr>
      <w:r>
        <w:rPr>
          <w:b/>
        </w:rPr>
        <w:t xml:space="preserve">Why it is tested  </w:t>
      </w:r>
      <w:r>
        <w:t>Mixed epochs create inconsistent focusing, shock location, cooling, and scattering.</w:t>
      </w:r>
    </w:p>
    <w:p>
      <w:pPr>
        <w:keepLines w:val="0"/>
      </w:pPr>
      <w:r>
        <w:rPr>
          <w:b/>
        </w:rPr>
        <w:t xml:space="preserve">How it is tested  </w:t>
      </w:r>
      <w:r>
        <w:t>Publish snapshots at two known times, attempt correct and stale queries, and inspect explicit status codes.</w:t>
      </w:r>
    </w:p>
    <w:p>
      <w:pPr>
        <w:keepLines w:val="0"/>
      </w:pPr>
      <w:r>
        <w:rPr>
          <w:b/>
        </w:rPr>
        <w:t xml:space="preserve">Expected result  </w:t>
      </w:r>
      <w:r>
        <w:t>Correct queries pass and stale or cross-generation queries are rejected before particle state changes.</w:t>
      </w:r>
    </w:p>
    <w:p>
      <w:pPr>
        <w:pStyle w:val="Heading3"/>
        <w:keepNext/>
      </w:pPr>
      <w:r>
        <w:t>BG02 Background provider preservation</w:t>
      </w:r>
    </w:p>
    <w:p>
      <w:pPr>
        <w:keepLines w:val="0"/>
      </w:pPr>
      <w:r>
        <w:rPr>
          <w:b/>
        </w:rPr>
        <w:t xml:space="preserve">What is tested  </w:t>
      </w:r>
      <w:r>
        <w:t>Analytic, SWCME, and SWMF adapters preserve their supplied velocity, density, IMF, and turbulence values.</w:t>
      </w:r>
    </w:p>
    <w:p>
      <w:pPr>
        <w:keepLines w:val="0"/>
      </w:pPr>
      <w:r>
        <w:rPr>
          <w:b/>
        </w:rPr>
        <w:t xml:space="preserve">Why it is tested  </w:t>
      </w:r>
      <w:r>
        <w:t>The current code overwrites imported velocity and density with radial defaults.</w:t>
      </w:r>
    </w:p>
    <w:p>
      <w:pPr>
        <w:keepLines w:val="0"/>
      </w:pPr>
      <w:r>
        <w:rPr>
          <w:b/>
        </w:rPr>
        <w:t xml:space="preserve">How it is tested  </w:t>
      </w:r>
      <w:r>
        <w:t>Populate nonradial and nondefault sentinel fields through each adapter and query multiple vertices and segment midpoints.</w:t>
      </w:r>
    </w:p>
    <w:p>
      <w:pPr>
        <w:keepLines w:val="0"/>
      </w:pPr>
      <w:r>
        <w:rPr>
          <w:b/>
        </w:rPr>
        <w:t xml:space="preserve">Expected result  </w:t>
      </w:r>
      <w:r>
        <w:t>Returned values match the provider data within interpolation tolerance; no 400 km per second or 5 per cubic centimeter value appears unless configured.</w:t>
      </w:r>
    </w:p>
    <w:p>
      <w:pPr>
        <w:pStyle w:val="Heading3"/>
        <w:keepNext/>
      </w:pPr>
      <w:r>
        <w:t>GEO01 Parker geometry consistency</w:t>
      </w:r>
    </w:p>
    <w:p>
      <w:pPr>
        <w:keepLines w:val="0"/>
      </w:pPr>
      <w:r>
        <w:rPr>
          <w:b/>
        </w:rPr>
        <w:t xml:space="preserve">What is tested  </w:t>
      </w:r>
      <w:r>
        <w:t>Parker vector field, magnitude, field-line tangent, and focusing derivative describe the same field.</w:t>
      </w:r>
    </w:p>
    <w:p>
      <w:pPr>
        <w:keepLines w:val="0"/>
      </w:pPr>
      <w:r>
        <w:rPr>
          <w:b/>
        </w:rPr>
        <w:t xml:space="preserve">Why it is tested  </w:t>
      </w:r>
      <w:r>
        <w:t>Separate Parker implementations currently disagree and can give different scattering and focusing.</w:t>
      </w:r>
    </w:p>
    <w:p>
      <w:pPr>
        <w:keepLines w:val="0"/>
      </w:pPr>
      <w:r>
        <w:rPr>
          <w:b/>
        </w:rPr>
        <w:t xml:space="preserve">How it is tested  </w:t>
      </w:r>
      <w:r>
        <w:t>Integrate a line at several latitudes and compare finite-difference tangents and d ln absolute B over ds with the shared analytic provider.</w:t>
      </w:r>
    </w:p>
    <w:p>
      <w:pPr>
        <w:keepLines w:val="0"/>
      </w:pPr>
      <w:r>
        <w:rPr>
          <w:b/>
        </w:rPr>
        <w:t xml:space="preserve">Expected result  </w:t>
      </w:r>
      <w:r>
        <w:t>Angular and derivative errors converge at the expected order and the scalar magnitude equals the vector norm.</w:t>
      </w:r>
    </w:p>
    <w:p>
      <w:pPr>
        <w:pStyle w:val="Heading3"/>
        <w:keepNext/>
      </w:pPr>
      <w:r>
        <w:t>GEO02 Flux tube area and volume</w:t>
      </w:r>
    </w:p>
    <w:p>
      <w:pPr>
        <w:keepLines w:val="0"/>
      </w:pPr>
      <w:r>
        <w:rPr>
          <w:b/>
        </w:rPr>
        <w:t xml:space="preserve">What is tested  </w:t>
      </w:r>
      <w:r>
        <w:t>Magnetic flux and segment volume are consistent with the configured tube geometry.</w:t>
      </w:r>
    </w:p>
    <w:p>
      <w:pPr>
        <w:keepLines w:val="0"/>
      </w:pPr>
      <w:r>
        <w:rPr>
          <w:b/>
        </w:rPr>
        <w:t xml:space="preserve">Why it is tested  </w:t>
      </w:r>
      <w:r>
        <w:t>Particle source and turbulence density normalization require physical square-meter and cubic-meter quantities.</w:t>
      </w:r>
    </w:p>
    <w:p>
      <w:pPr>
        <w:keepLines w:val="0"/>
      </w:pPr>
      <w:r>
        <w:rPr>
          <w:b/>
        </w:rPr>
        <w:t xml:space="preserve">How it is tested  </w:t>
      </w:r>
      <w:r>
        <w:t>Verify A times absolute B along analytic and imported lines and refine the segment partition while integrating volume.</w:t>
      </w:r>
    </w:p>
    <w:p>
      <w:pPr>
        <w:keepLines w:val="0"/>
      </w:pPr>
      <w:r>
        <w:rPr>
          <w:b/>
        </w:rPr>
        <w:t xml:space="preserve">Expected result  </w:t>
      </w:r>
      <w:r>
        <w:t>Flux is conserved within tolerance and volume converges monotonically to the reference integral.</w:t>
      </w:r>
    </w:p>
    <w:p>
      <w:pPr>
        <w:pStyle w:val="Heading2"/>
        <w:keepNext/>
      </w:pPr>
      <w:r>
        <w:t>7.3 Shared transport kernel tests</w:t>
      </w:r>
    </w:p>
    <w:p>
      <w:pPr>
        <w:pStyle w:val="Heading3"/>
        <w:keepNext/>
      </w:pPr>
      <w:r>
        <w:t>CORE01 Relativistic conversion closure</w:t>
      </w:r>
    </w:p>
    <w:p>
      <w:pPr>
        <w:keepLines w:val="0"/>
      </w:pPr>
      <w:r>
        <w:rPr>
          <w:b/>
        </w:rPr>
        <w:t xml:space="preserve">What is tested  </w:t>
      </w:r>
      <w:r>
        <w:t>Energy, momentum, speed, and Lorentz factor conversions are mutually consistent for all supported species.</w:t>
      </w:r>
    </w:p>
    <w:p>
      <w:pPr>
        <w:keepLines w:val="0"/>
      </w:pPr>
      <w:r>
        <w:rPr>
          <w:b/>
        </w:rPr>
        <w:t xml:space="preserve">Why it is tested  </w:t>
      </w:r>
      <w:r>
        <w:t>All movers and injection models share these conversions and failures propagate into resonance and cooling.</w:t>
      </w:r>
    </w:p>
    <w:p>
      <w:pPr>
        <w:keepLines w:val="0"/>
      </w:pPr>
      <w:r>
        <w:rPr>
          <w:b/>
        </w:rPr>
        <w:t xml:space="preserve">How it is tested  </w:t>
      </w:r>
      <w:r>
        <w:t>Use logarithmically spaced energies from nonrelativistic through relativistic ranges and round-trip each conversion.</w:t>
      </w:r>
    </w:p>
    <w:p>
      <w:pPr>
        <w:keepLines w:val="0"/>
      </w:pPr>
      <w:r>
        <w:rPr>
          <w:b/>
        </w:rPr>
        <w:t xml:space="preserve">Expected result  </w:t>
      </w:r>
      <w:r>
        <w:t>Every value remains finite and subluminal and round-trip relative error remains below the declared tolerance.</w:t>
      </w:r>
    </w:p>
    <w:p>
      <w:pPr>
        <w:pStyle w:val="Heading3"/>
        <w:keepNext/>
      </w:pPr>
      <w:r>
        <w:t>CORE02 Field line coordinate advance</w:t>
      </w:r>
    </w:p>
    <w:p>
      <w:pPr>
        <w:keepLines w:val="0"/>
      </w:pPr>
      <w:r>
        <w:rPr>
          <w:b/>
        </w:rPr>
        <w:t xml:space="preserve">What is tested  </w:t>
      </w:r>
      <w:r>
        <w:t>Signed motion across zero, one, and many segments returns the correct coordinate, segment, and boundary status.</w:t>
      </w:r>
    </w:p>
    <w:p>
      <w:pPr>
        <w:keepLines w:val="0"/>
      </w:pPr>
      <w:r>
        <w:rPr>
          <w:b/>
        </w:rPr>
        <w:t xml:space="preserve">Why it is tested  </w:t>
      </w:r>
      <w:r>
        <w:t>Every mover must agree on field-line geometry and domain exit behavior.</w:t>
      </w:r>
    </w:p>
    <w:p>
      <w:pPr>
        <w:keepLines w:val="0"/>
      </w:pPr>
      <w:r>
        <w:rPr>
          <w:b/>
        </w:rPr>
        <w:t xml:space="preserve">How it is tested  </w:t>
      </w:r>
      <w:r>
        <w:t>Use straight lines with unequal segment lengths and compare the implementation with an independent cumulative-arc-length calculation.</w:t>
      </w:r>
    </w:p>
    <w:p>
      <w:pPr>
        <w:keepLines w:val="0"/>
      </w:pPr>
      <w:r>
        <w:rPr>
          <w:b/>
        </w:rPr>
        <w:t xml:space="preserve">Expected result  </w:t>
      </w:r>
      <w:r>
        <w:t>Final position and traveled distance agree to roundoff; exits identify the correct boundary and in-domain path.</w:t>
      </w:r>
    </w:p>
    <w:p>
      <w:pPr>
        <w:pStyle w:val="Heading3"/>
        <w:keepNext/>
      </w:pPr>
      <w:r>
        <w:t>CORE03 Adiabatic momentum update</w:t>
      </w:r>
    </w:p>
    <w:p>
      <w:pPr>
        <w:keepLines w:val="0"/>
      </w:pPr>
      <w:r>
        <w:rPr>
          <w:b/>
        </w:rPr>
        <w:t xml:space="preserve">What is tested  </w:t>
      </w:r>
      <w:r>
        <w:t>The common cooling kernel implements dp over dt equal to minus p div V over three.</w:t>
      </w:r>
    </w:p>
    <w:p>
      <w:pPr>
        <w:keepLines w:val="0"/>
      </w:pPr>
      <w:r>
        <w:rPr>
          <w:b/>
        </w:rPr>
        <w:t xml:space="preserve">Why it is tested  </w:t>
      </w:r>
      <w:r>
        <w:t>Duplicated cooling implementations currently produce mover-dependent behavior.</w:t>
      </w:r>
    </w:p>
    <w:p>
      <w:pPr>
        <w:keepLines w:val="0"/>
      </w:pPr>
      <w:r>
        <w:rPr>
          <w:b/>
        </w:rPr>
        <w:t xml:space="preserve">How it is tested  </w:t>
      </w:r>
      <w:r>
        <w:t>Integrate constant and time-varying divergence cases with analytic exponential solutions and refine the time step.</w:t>
      </w:r>
    </w:p>
    <w:p>
      <w:pPr>
        <w:keepLines w:val="0"/>
      </w:pPr>
      <w:r>
        <w:rPr>
          <w:b/>
        </w:rPr>
        <w:t xml:space="preserve">Expected result  </w:t>
      </w:r>
      <w:r>
        <w:t>Constant-divergence results agree to roundoff for the exponential update and variable cases show the intended convergence order.</w:t>
      </w:r>
    </w:p>
    <w:p>
      <w:pPr>
        <w:pStyle w:val="Heading3"/>
        <w:keepNext/>
      </w:pPr>
      <w:r>
        <w:t>CORE04 Random stream independence</w:t>
      </w:r>
    </w:p>
    <w:p>
      <w:pPr>
        <w:keepLines w:val="0"/>
      </w:pPr>
      <w:r>
        <w:rPr>
          <w:b/>
        </w:rPr>
        <w:t xml:space="preserve">What is tested  </w:t>
      </w:r>
      <w:r>
        <w:t>Particle histories do not depend on test order, field-line creation, thread count, or unrelated random draws.</w:t>
      </w:r>
    </w:p>
    <w:p>
      <w:pPr>
        <w:keepLines w:val="0"/>
      </w:pPr>
      <w:r>
        <w:rPr>
          <w:b/>
        </w:rPr>
        <w:t xml:space="preserve">Why it is tested  </w:t>
      </w:r>
      <w:r>
        <w:t>Global reseeding and shared random state can change scientific output with decomposition or test order.</w:t>
      </w:r>
    </w:p>
    <w:p>
      <w:pPr>
        <w:keepLines w:val="0"/>
      </w:pPr>
      <w:r>
        <w:rPr>
          <w:b/>
        </w:rPr>
        <w:t xml:space="preserve">How it is tested  </w:t>
      </w:r>
      <w:r>
        <w:t>Run the same particle identifiers in reordered batches and with injected draws on another named stream.</w:t>
      </w:r>
    </w:p>
    <w:p>
      <w:pPr>
        <w:keepLines w:val="0"/>
      </w:pPr>
      <w:r>
        <w:rPr>
          <w:b/>
        </w:rPr>
        <w:t xml:space="preserve">Expected result  </w:t>
      </w:r>
      <w:r>
        <w:t>Each particle receives the identical random sequence for its declared stream and epoch.</w:t>
      </w:r>
    </w:p>
    <w:p>
      <w:pPr>
        <w:pStyle w:val="Heading2"/>
        <w:keepNext/>
      </w:pPr>
      <w:r>
        <w:t>7.4 Parker mover tests</w:t>
      </w:r>
    </w:p>
    <w:p>
      <w:pPr>
        <w:pStyle w:val="Heading3"/>
        <w:keepNext/>
      </w:pPr>
      <w:r>
        <w:t>PARK01 Zero diffusion transport</w:t>
      </w:r>
    </w:p>
    <w:p>
      <w:pPr>
        <w:keepLines w:val="0"/>
      </w:pPr>
      <w:r>
        <w:rPr>
          <w:b/>
        </w:rPr>
        <w:t xml:space="preserve">What is tested  </w:t>
      </w:r>
      <w:r>
        <w:t>The Parker mover reduces to deterministic field-line convection and adiabatic momentum evolution when kappa parallel is zero.</w:t>
      </w:r>
    </w:p>
    <w:p>
      <w:pPr>
        <w:keepLines w:val="0"/>
      </w:pPr>
      <w:r>
        <w:rPr>
          <w:b/>
        </w:rPr>
        <w:t xml:space="preserve">Why it is tested  </w:t>
      </w:r>
      <w:r>
        <w:t>This isolates signs, reference frame, and deterministic integration from stochastic diffusion.</w:t>
      </w:r>
    </w:p>
    <w:p>
      <w:pPr>
        <w:keepLines w:val="0"/>
      </w:pPr>
      <w:r>
        <w:rPr>
          <w:b/>
        </w:rPr>
        <w:t xml:space="preserve">How it is tested  </w:t>
      </w:r>
      <w:r>
        <w:t>Use a straight line, constant plasma speed, prescribed divergence, and particles at several initial positions.</w:t>
      </w:r>
    </w:p>
    <w:p>
      <w:pPr>
        <w:keepLines w:val="0"/>
      </w:pPr>
      <w:r>
        <w:rPr>
          <w:b/>
        </w:rPr>
        <w:t xml:space="preserve">Expected result  </w:t>
      </w:r>
      <w:r>
        <w:t>Positions and momenta match the analytic characteristics and no random number is consumed.</w:t>
      </w:r>
    </w:p>
    <w:p>
      <w:pPr>
        <w:pStyle w:val="Heading3"/>
        <w:keepNext/>
      </w:pPr>
      <w:r>
        <w:t>PARK02 Constant spatial diffusion</w:t>
      </w:r>
    </w:p>
    <w:p>
      <w:pPr>
        <w:keepLines w:val="0"/>
      </w:pPr>
      <w:r>
        <w:rPr>
          <w:b/>
        </w:rPr>
        <w:t xml:space="preserve">What is tested  </w:t>
      </w:r>
      <w:r>
        <w:t>A particle ensemble produces mean displacement zero and variance two kappa parallel times elapsed time in the plasma frame.</w:t>
      </w:r>
    </w:p>
    <w:p>
      <w:pPr>
        <w:keepLines w:val="0"/>
      </w:pPr>
      <w:r>
        <w:rPr>
          <w:b/>
        </w:rPr>
        <w:t xml:space="preserve">Why it is tested  </w:t>
      </w:r>
      <w:r>
        <w:t>This is the defining stochastic limit of the isotropic Parker mover.</w:t>
      </w:r>
    </w:p>
    <w:p>
      <w:pPr>
        <w:keepLines w:val="0"/>
      </w:pPr>
      <w:r>
        <w:rPr>
          <w:b/>
        </w:rPr>
        <w:t xml:space="preserve">How it is tested  </w:t>
      </w:r>
      <w:r>
        <w:t>Run fixed-seed ensembles at multiple time steps and sample sizes and compare moments with statistical confidence intervals.</w:t>
      </w:r>
    </w:p>
    <w:p>
      <w:pPr>
        <w:keepLines w:val="0"/>
      </w:pPr>
      <w:r>
        <w:rPr>
          <w:b/>
        </w:rPr>
        <w:t xml:space="preserve">Expected result  </w:t>
      </w:r>
      <w:r>
        <w:t>Mean bias is statistically consistent with zero, variance matches theory, and time-step refinement does not introduce systematic drift.</w:t>
      </w:r>
    </w:p>
    <w:p>
      <w:pPr>
        <w:pStyle w:val="Heading3"/>
        <w:keepNext/>
      </w:pPr>
      <w:r>
        <w:t>PARK03 Variable diffusion drift</w:t>
      </w:r>
    </w:p>
    <w:p>
      <w:pPr>
        <w:keepLines w:val="0"/>
      </w:pPr>
      <w:r>
        <w:rPr>
          <w:b/>
        </w:rPr>
        <w:t xml:space="preserve">What is tested  </w:t>
      </w:r>
      <w:r>
        <w:t>The dkappa parallel over ds drift is implemented correctly.</w:t>
      </w:r>
    </w:p>
    <w:p>
      <w:pPr>
        <w:keepLines w:val="0"/>
      </w:pPr>
      <w:r>
        <w:rPr>
          <w:b/>
        </w:rPr>
        <w:t xml:space="preserve">Why it is tested  </w:t>
      </w:r>
      <w:r>
        <w:t>Omitting this drift gives the wrong Fokker-Planck equation in an inhomogeneous medium.</w:t>
      </w:r>
    </w:p>
    <w:p>
      <w:pPr>
        <w:keepLines w:val="0"/>
      </w:pPr>
      <w:r>
        <w:rPr>
          <w:b/>
        </w:rPr>
        <w:t xml:space="preserve">How it is tested  </w:t>
      </w:r>
      <w:r>
        <w:t>Use a positive linear or exponential kappa profile with an independently integrated transition density.</w:t>
      </w:r>
    </w:p>
    <w:p>
      <w:pPr>
        <w:keepLines w:val="0"/>
      </w:pPr>
      <w:r>
        <w:rPr>
          <w:b/>
        </w:rPr>
        <w:t xml:space="preserve">Expected result  </w:t>
      </w:r>
      <w:r>
        <w:t>Ensemble moments and density bins converge to the independent reference solution.</w:t>
      </w:r>
    </w:p>
    <w:p>
      <w:pPr>
        <w:pStyle w:val="Heading3"/>
        <w:keepNext/>
      </w:pPr>
      <w:r>
        <w:t>PARK04 Parker mover convergence</w:t>
      </w:r>
    </w:p>
    <w:p>
      <w:pPr>
        <w:keepLines w:val="0"/>
      </w:pPr>
      <w:r>
        <w:rPr>
          <w:b/>
        </w:rPr>
        <w:t xml:space="preserve">What is tested  </w:t>
      </w:r>
      <w:r>
        <w:t>The complete mover converges under field-line and time refinement.</w:t>
      </w:r>
    </w:p>
    <w:p>
      <w:pPr>
        <w:keepLines w:val="0"/>
      </w:pPr>
      <w:r>
        <w:rPr>
          <w:b/>
        </w:rPr>
        <w:t xml:space="preserve">Why it is tested  </w:t>
      </w:r>
      <w:r>
        <w:t>A production mover requires numerical error characterization rather than one-resolution agreement.</w:t>
      </w:r>
    </w:p>
    <w:p>
      <w:pPr>
        <w:keepLines w:val="0"/>
      </w:pPr>
      <w:r>
        <w:rPr>
          <w:b/>
        </w:rPr>
        <w:t xml:space="preserve">How it is tested  </w:t>
      </w:r>
      <w:r>
        <w:t>Run constant and varying background manufactured cases with at least three segment sizes and three time steps.</w:t>
      </w:r>
    </w:p>
    <w:p>
      <w:pPr>
        <w:keepLines w:val="0"/>
      </w:pPr>
      <w:r>
        <w:rPr>
          <w:b/>
        </w:rPr>
        <w:t xml:space="preserve">Expected result  </w:t>
      </w:r>
      <w:r>
        <w:t>Observed convergence meets the documented order until Monte Carlo sampling error dominates.</w:t>
      </w:r>
    </w:p>
    <w:p>
      <w:pPr>
        <w:pStyle w:val="Heading2"/>
        <w:keepNext/>
      </w:pPr>
      <w:r>
        <w:t>7.5 Focused transport diffusion tests</w:t>
      </w:r>
    </w:p>
    <w:p>
      <w:pPr>
        <w:pStyle w:val="Heading3"/>
        <w:keepNext/>
      </w:pPr>
      <w:r>
        <w:t>FTED01 Constant pitch angle diffusion</w:t>
      </w:r>
    </w:p>
    <w:p>
      <w:pPr>
        <w:keepLines w:val="0"/>
      </w:pPr>
      <w:r>
        <w:rPr>
          <w:b/>
        </w:rPr>
        <w:t xml:space="preserve">What is tested  </w:t>
      </w:r>
      <w:r>
        <w:t>The fte-dmumu ensemble follows the analytic pitch-angle diffusion moments for constant Dmumu.</w:t>
      </w:r>
    </w:p>
    <w:p>
      <w:pPr>
        <w:keepLines w:val="0"/>
      </w:pPr>
      <w:r>
        <w:rPr>
          <w:b/>
        </w:rPr>
        <w:t xml:space="preserve">Why it is tested  </w:t>
      </w:r>
      <w:r>
        <w:t>This validates stochastic amplitude, boundary handling, and random sampling.</w:t>
      </w:r>
    </w:p>
    <w:p>
      <w:pPr>
        <w:keepLines w:val="0"/>
      </w:pPr>
      <w:r>
        <w:rPr>
          <w:b/>
        </w:rPr>
        <w:t xml:space="preserve">How it is tested  </w:t>
      </w:r>
      <w:r>
        <w:t>Start delta-like and smooth pitch-angle distributions, run several times, and compare Legendre moments with an independent solver.</w:t>
      </w:r>
    </w:p>
    <w:p>
      <w:pPr>
        <w:keepLines w:val="0"/>
      </w:pPr>
      <w:r>
        <w:rPr>
          <w:b/>
        </w:rPr>
        <w:t xml:space="preserve">Expected result  </w:t>
      </w:r>
      <w:r>
        <w:t>Moment errors remain within statistical tolerance and decrease with time-step refinement.</w:t>
      </w:r>
    </w:p>
    <w:p>
      <w:pPr>
        <w:pStyle w:val="Heading3"/>
        <w:keepNext/>
      </w:pPr>
      <w:r>
        <w:t>FTED02 Diffusion derivative drift</w:t>
      </w:r>
    </w:p>
    <w:p>
      <w:pPr>
        <w:keepLines w:val="0"/>
      </w:pPr>
      <w:r>
        <w:rPr>
          <w:b/>
        </w:rPr>
        <w:t xml:space="preserve">What is tested  </w:t>
      </w:r>
      <w:r>
        <w:t>The mover includes dDmumu over dmu for a variable coefficient.</w:t>
      </w:r>
    </w:p>
    <w:p>
      <w:pPr>
        <w:keepLines w:val="0"/>
      </w:pPr>
      <w:r>
        <w:rPr>
          <w:b/>
        </w:rPr>
        <w:t xml:space="preserve">Why it is tested  </w:t>
      </w:r>
      <w:r>
        <w:t>The Ito process must reproduce d over dmu of Dmumu df over dmu rather than a different stochastic equation.</w:t>
      </w:r>
    </w:p>
    <w:p>
      <w:pPr>
        <w:keepLines w:val="0"/>
      </w:pPr>
      <w:r>
        <w:rPr>
          <w:b/>
        </w:rPr>
        <w:t xml:space="preserve">How it is tested  </w:t>
      </w:r>
      <w:r>
        <w:t>Use Dmumu proportional to one minus mu squared and compare equilibrium and transient moments with an independent finite-volume solution.</w:t>
      </w:r>
    </w:p>
    <w:p>
      <w:pPr>
        <w:keepLines w:val="0"/>
      </w:pPr>
      <w:r>
        <w:rPr>
          <w:b/>
        </w:rPr>
        <w:t xml:space="preserve">Expected result  </w:t>
      </w:r>
      <w:r>
        <w:t>The stationary distribution and transient decay rates agree with the reference; omitting the drift makes the test fail.</w:t>
      </w:r>
    </w:p>
    <w:p>
      <w:pPr>
        <w:pStyle w:val="Heading3"/>
        <w:keepNext/>
      </w:pPr>
      <w:r>
        <w:t>FTED03 Magnetic focusing</w:t>
      </w:r>
    </w:p>
    <w:p>
      <w:pPr>
        <w:keepLines w:val="0"/>
      </w:pPr>
      <w:r>
        <w:rPr>
          <w:b/>
        </w:rPr>
        <w:t xml:space="preserve">What is tested  </w:t>
      </w:r>
      <w:r>
        <w:t>Pitch angle evolves correctly in a prescribed exponential magnetic field without scattering.</w:t>
      </w:r>
    </w:p>
    <w:p>
      <w:pPr>
        <w:keepLines w:val="0"/>
      </w:pPr>
      <w:r>
        <w:rPr>
          <w:b/>
        </w:rPr>
        <w:t xml:space="preserve">Why it is tested  </w:t>
      </w:r>
      <w:r>
        <w:t>Focusing is a central distinction between Parker and focused transport.</w:t>
      </w:r>
    </w:p>
    <w:p>
      <w:pPr>
        <w:keepLines w:val="0"/>
      </w:pPr>
      <w:r>
        <w:rPr>
          <w:b/>
        </w:rPr>
        <w:t xml:space="preserve">How it is tested  </w:t>
      </w:r>
      <w:r>
        <w:t>Use constant focusing length, disable diffusion and cooling, and compare particle characteristics with a high-accuracy ordinary differential equation solution.</w:t>
      </w:r>
    </w:p>
    <w:p>
      <w:pPr>
        <w:keepLines w:val="0"/>
      </w:pPr>
      <w:r>
        <w:rPr>
          <w:b/>
        </w:rPr>
        <w:t xml:space="preserve">Expected result  </w:t>
      </w:r>
      <w:r>
        <w:t>Individual trajectories converge to the reference and remain in the physical pitch-angle interval.</w:t>
      </w:r>
    </w:p>
    <w:p>
      <w:pPr>
        <w:pStyle w:val="Heading3"/>
        <w:keepNext/>
      </w:pPr>
      <w:r>
        <w:t>FTED04 Pitch angle singular limits</w:t>
      </w:r>
    </w:p>
    <w:p>
      <w:pPr>
        <w:keepLines w:val="0"/>
      </w:pPr>
      <w:r>
        <w:rPr>
          <w:b/>
        </w:rPr>
        <w:t xml:space="preserve">What is tested  </w:t>
      </w:r>
      <w:r>
        <w:t>The mover remains finite at mu zero and near plus or minus one.</w:t>
      </w:r>
    </w:p>
    <w:p>
      <w:pPr>
        <w:keepLines w:val="0"/>
      </w:pPr>
      <w:r>
        <w:rPr>
          <w:b/>
        </w:rPr>
        <w:t xml:space="preserve">Why it is tested  </w:t>
      </w:r>
      <w:r>
        <w:t>Current QLT and derivative paths contain divisions by mu and one minus mu squared.</w:t>
      </w:r>
    </w:p>
    <w:p>
      <w:pPr>
        <w:keepLines w:val="0"/>
      </w:pPr>
      <w:r>
        <w:rPr>
          <w:b/>
        </w:rPr>
        <w:t xml:space="preserve">How it is tested  </w:t>
      </w:r>
      <w:r>
        <w:t>Evaluate coefficients and advance particles at exact zero and geometrically spaced distances from each boundary under sanitizers.</w:t>
      </w:r>
    </w:p>
    <w:p>
      <w:pPr>
        <w:keepLines w:val="0"/>
      </w:pPr>
      <w:r>
        <w:rPr>
          <w:b/>
        </w:rPr>
        <w:t xml:space="preserve">Expected result  </w:t>
      </w:r>
      <w:r>
        <w:t>No NaN, infinity, invalid bin, or artificial large-angle jump occurs; boundary flux follows the selected policy.</w:t>
      </w:r>
    </w:p>
    <w:p>
      <w:pPr>
        <w:pStyle w:val="Heading3"/>
        <w:keepNext/>
      </w:pPr>
      <w:r>
        <w:t>FTED05 Turbulence source identity</w:t>
      </w:r>
    </w:p>
    <w:p>
      <w:pPr>
        <w:keepLines w:val="0"/>
      </w:pPr>
      <w:r>
        <w:rPr>
          <w:b/>
        </w:rPr>
        <w:t xml:space="preserve">What is tested  </w:t>
      </w:r>
      <w:r>
        <w:t>Prescribed, self-consistent, and SWMF providers that expose identical turbulence return identical Dmumu and particle increments.</w:t>
      </w:r>
    </w:p>
    <w:p>
      <w:pPr>
        <w:keepLines w:val="0"/>
      </w:pPr>
      <w:r>
        <w:rPr>
          <w:b/>
        </w:rPr>
        <w:t xml:space="preserve">Why it is tested  </w:t>
      </w:r>
      <w:r>
        <w:t>Mover selection must not alter physics through a hidden turbulence store.</w:t>
      </w:r>
    </w:p>
    <w:p>
      <w:pPr>
        <w:keepLines w:val="0"/>
      </w:pPr>
      <w:r>
        <w:rPr>
          <w:b/>
        </w:rPr>
        <w:t xml:space="preserve">How it is tested  </w:t>
      </w:r>
      <w:r>
        <w:t>Construct byte-identical FieldLineState turbulence through each provider and use the same keyed random stream.</w:t>
      </w:r>
    </w:p>
    <w:p>
      <w:pPr>
        <w:keepLines w:val="0"/>
      </w:pPr>
      <w:r>
        <w:rPr>
          <w:b/>
        </w:rPr>
        <w:t xml:space="preserve">Expected result  </w:t>
      </w:r>
      <w:r>
        <w:t>Coefficient values are identical and one-step particle states agree to roundoff.</w:t>
      </w:r>
    </w:p>
    <w:p>
      <w:pPr>
        <w:pStyle w:val="Heading2"/>
        <w:keepNext/>
      </w:pPr>
      <w:r>
        <w:t>7.6 Focused transport mean free path tests</w:t>
      </w:r>
    </w:p>
    <w:p>
      <w:pPr>
        <w:pStyle w:val="Heading3"/>
        <w:keepNext/>
      </w:pPr>
      <w:r>
        <w:t>FTEM01 Exponential waiting time</w:t>
      </w:r>
    </w:p>
    <w:p>
      <w:pPr>
        <w:keepLines w:val="0"/>
      </w:pPr>
      <w:r>
        <w:rPr>
          <w:b/>
        </w:rPr>
        <w:t xml:space="preserve">What is tested  </w:t>
      </w:r>
      <w:r>
        <w:t>Scattering event intervals follow the distribution implied by the configured rate.</w:t>
      </w:r>
    </w:p>
    <w:p>
      <w:pPr>
        <w:keepLines w:val="0"/>
      </w:pPr>
      <w:r>
        <w:rPr>
          <w:b/>
        </w:rPr>
        <w:t xml:space="preserve">Why it is tested  </w:t>
      </w:r>
      <w:r>
        <w:t>The mean-free-path mover is defined by event timing rather than a continuous pitch-angle diffusion increment.</w:t>
      </w:r>
    </w:p>
    <w:p>
      <w:pPr>
        <w:keepLines w:val="0"/>
      </w:pPr>
      <w:r>
        <w:rPr>
          <w:b/>
        </w:rPr>
        <w:t xml:space="preserve">How it is tested  </w:t>
      </w:r>
      <w:r>
        <w:t>Draw a large fixed-seed sample for several lambda and speed pairs and test the mean, quantiles, and memoryless property.</w:t>
      </w:r>
    </w:p>
    <w:p>
      <w:pPr>
        <w:keepLines w:val="0"/>
      </w:pPr>
      <w:r>
        <w:rPr>
          <w:b/>
        </w:rPr>
        <w:t xml:space="preserve">Expected result  </w:t>
      </w:r>
      <w:r>
        <w:t>Statistics fall within predefined confidence bounds and scale linearly with lambda over speed.</w:t>
      </w:r>
    </w:p>
    <w:p>
      <w:pPr>
        <w:pStyle w:val="Heading3"/>
        <w:keepNext/>
      </w:pPr>
      <w:r>
        <w:t>FTEM02 Poisson event count</w:t>
      </w:r>
    </w:p>
    <w:p>
      <w:pPr>
        <w:keepLines w:val="0"/>
      </w:pPr>
      <w:r>
        <w:rPr>
          <w:b/>
        </w:rPr>
        <w:t xml:space="preserve">What is tested  </w:t>
      </w:r>
      <w:r>
        <w:t>The number of scattering events in a fixed interval follows the expected Poisson law.</w:t>
      </w:r>
    </w:p>
    <w:p>
      <w:pPr>
        <w:keepLines w:val="0"/>
      </w:pPr>
      <w:r>
        <w:rPr>
          <w:b/>
        </w:rPr>
        <w:t xml:space="preserve">Why it is tested  </w:t>
      </w:r>
      <w:r>
        <w:t>Correct single-event sampling can still fail when the mover handles multiple events per global step.</w:t>
      </w:r>
    </w:p>
    <w:p>
      <w:pPr>
        <w:keepLines w:val="0"/>
      </w:pPr>
      <w:r>
        <w:rPr>
          <w:b/>
        </w:rPr>
        <w:t xml:space="preserve">How it is tested  </w:t>
      </w:r>
      <w:r>
        <w:t>Advance stationary particles with focusing and cooling disabled and compare count frequencies and moments.</w:t>
      </w:r>
    </w:p>
    <w:p>
      <w:pPr>
        <w:keepLines w:val="0"/>
      </w:pPr>
      <w:r>
        <w:rPr>
          <w:b/>
        </w:rPr>
        <w:t xml:space="preserve">Expected result  </w:t>
      </w:r>
      <w:r>
        <w:t>Mean and variance match the expected count and no step loses events at segment or global-step boundaries.</w:t>
      </w:r>
    </w:p>
    <w:p>
      <w:pPr>
        <w:pStyle w:val="Heading3"/>
        <w:keepNext/>
      </w:pPr>
      <w:r>
        <w:t>FTEM03 Ballistic mean free path limit</w:t>
      </w:r>
    </w:p>
    <w:p>
      <w:pPr>
        <w:keepLines w:val="0"/>
      </w:pPr>
      <w:r>
        <w:rPr>
          <w:b/>
        </w:rPr>
        <w:t xml:space="preserve">What is tested  </w:t>
      </w:r>
      <w:r>
        <w:t>The mover becomes deterministic as lambda parallel tends to infinity.</w:t>
      </w:r>
    </w:p>
    <w:p>
      <w:pPr>
        <w:keepLines w:val="0"/>
      </w:pPr>
      <w:r>
        <w:rPr>
          <w:b/>
        </w:rPr>
        <w:t xml:space="preserve">Why it is tested  </w:t>
      </w:r>
      <w:r>
        <w:t>Silent finite caps can prevent the expected physical limit.</w:t>
      </w:r>
    </w:p>
    <w:p>
      <w:pPr>
        <w:keepLines w:val="0"/>
      </w:pPr>
      <w:r>
        <w:rPr>
          <w:b/>
        </w:rPr>
        <w:t xml:space="preserve">How it is tested  </w:t>
      </w:r>
      <w:r>
        <w:t>Run identical particles with increasing lambda and compare against the shared field-line characteristic solution.</w:t>
      </w:r>
    </w:p>
    <w:p>
      <w:pPr>
        <w:keepLines w:val="0"/>
      </w:pPr>
      <w:r>
        <w:rPr>
          <w:b/>
        </w:rPr>
        <w:t xml:space="preserve">Expected result  </w:t>
      </w:r>
      <w:r>
        <w:t>Scattering probability approaches zero and trajectories and momenta approach the deterministic reference.</w:t>
      </w:r>
    </w:p>
    <w:p>
      <w:pPr>
        <w:pStyle w:val="Heading3"/>
        <w:keepNext/>
      </w:pPr>
      <w:r>
        <w:t>FTEM04 Wave frame scattering invariants</w:t>
      </w:r>
    </w:p>
    <w:p>
      <w:pPr>
        <w:keepLines w:val="0"/>
      </w:pPr>
      <w:r>
        <w:rPr>
          <w:b/>
        </w:rPr>
        <w:t xml:space="preserve">What is tested  </w:t>
      </w:r>
      <w:r>
        <w:t>Plasma-to-wave transformation, pitch-angle redistribution, and inverse transformation preserve wave-frame speed and subluminal motion.</w:t>
      </w:r>
    </w:p>
    <w:p>
      <w:pPr>
        <w:keepLines w:val="0"/>
      </w:pPr>
      <w:r>
        <w:rPr>
          <w:b/>
        </w:rPr>
        <w:t xml:space="preserve">Why it is tested  </w:t>
      </w:r>
      <w:r>
        <w:t>Incorrect frame composition produces spurious acceleration or nonfinite velocities.</w:t>
      </w:r>
    </w:p>
    <w:p>
      <w:pPr>
        <w:keepLines w:val="0"/>
      </w:pPr>
      <w:r>
        <w:rPr>
          <w:b/>
        </w:rPr>
        <w:t xml:space="preserve">How it is tested  </w:t>
      </w:r>
      <w:r>
        <w:t>Exercise both wave branches, both signs of mu, nonrelativistic and relativistic energies, and near-Alfvenic parallel speeds.</w:t>
      </w:r>
    </w:p>
    <w:p>
      <w:pPr>
        <w:keepLines w:val="0"/>
      </w:pPr>
      <w:r>
        <w:rPr>
          <w:b/>
        </w:rPr>
        <w:t xml:space="preserve">Expected result  </w:t>
      </w:r>
      <w:r>
        <w:t>Wave-frame speed is conserved to tolerance, output speed remains below light speed, and energy transfer has the correct branch sign.</w:t>
      </w:r>
    </w:p>
    <w:p>
      <w:pPr>
        <w:pStyle w:val="Heading3"/>
        <w:keepNext/>
      </w:pPr>
      <w:r>
        <w:t>FTEM05 Event boundary splitting</w:t>
      </w:r>
    </w:p>
    <w:p>
      <w:pPr>
        <w:keepLines w:val="0"/>
      </w:pPr>
      <w:r>
        <w:rPr>
          <w:b/>
        </w:rPr>
        <w:t xml:space="preserve">What is tested  </w:t>
      </w:r>
      <w:r>
        <w:t>Events that cross segments shocks snapshot epochs or domain boundaries are split without lost path or double counting.</w:t>
      </w:r>
    </w:p>
    <w:p>
      <w:pPr>
        <w:keepLines w:val="0"/>
      </w:pPr>
      <w:r>
        <w:rPr>
          <w:b/>
        </w:rPr>
        <w:t xml:space="preserve">Why it is tested  </w:t>
      </w:r>
      <w:r>
        <w:t>Coupling and residence-time errors concentrate at these discontinuities.</w:t>
      </w:r>
    </w:p>
    <w:p>
      <w:pPr>
        <w:keepLines w:val="0"/>
      </w:pPr>
      <w:r>
        <w:rPr>
          <w:b/>
        </w:rPr>
        <w:t xml:space="preserve">How it is tested  </w:t>
      </w:r>
      <w:r>
        <w:t>Place deterministic event times on both sides of every boundary and compare the sum of subpaths and times with the original interval.</w:t>
      </w:r>
    </w:p>
    <w:p>
      <w:pPr>
        <w:keepLines w:val="0"/>
      </w:pPr>
      <w:r>
        <w:rPr>
          <w:b/>
        </w:rPr>
        <w:t xml:space="preserve">Expected result  </w:t>
      </w:r>
      <w:r>
        <w:t>Time and signed path close to roundoff and each physical interval contributes exactly once.</w:t>
      </w:r>
    </w:p>
    <w:p>
      <w:pPr>
        <w:pStyle w:val="Heading2"/>
        <w:keepNext/>
      </w:pPr>
      <w:r>
        <w:t>7.7 Cross mover and integration tests</w:t>
      </w:r>
    </w:p>
    <w:p>
      <w:pPr>
        <w:pStyle w:val="Heading3"/>
        <w:keepNext/>
      </w:pPr>
      <w:r>
        <w:t>CROSS01 No scattering characteristic</w:t>
      </w:r>
    </w:p>
    <w:p>
      <w:pPr>
        <w:keepLines w:val="0"/>
      </w:pPr>
      <w:r>
        <w:rPr>
          <w:b/>
        </w:rPr>
        <w:t xml:space="preserve">What is tested  </w:t>
      </w:r>
      <w:r>
        <w:t>All pitch-angle-resolved movers use the same deterministic focusing and cooling kernels when scattering is disabled.</w:t>
      </w:r>
    </w:p>
    <w:p>
      <w:pPr>
        <w:keepLines w:val="0"/>
      </w:pPr>
      <w:r>
        <w:rPr>
          <w:b/>
        </w:rPr>
        <w:t xml:space="preserve">Why it is tested  </w:t>
      </w:r>
      <w:r>
        <w:t>Shared physics must not depend on mover implementation.</w:t>
      </w:r>
    </w:p>
    <w:p>
      <w:pPr>
        <w:keepLines w:val="0"/>
      </w:pPr>
      <w:r>
        <w:rPr>
          <w:b/>
        </w:rPr>
        <w:t xml:space="preserve">How it is tested  </w:t>
      </w:r>
      <w:r>
        <w:t>Run fte-dmumu with Dmumu zero and fte-mfp with infinite lambda using identical initial states and snapshots.</w:t>
      </w:r>
    </w:p>
    <w:p>
      <w:pPr>
        <w:keepLines w:val="0"/>
      </w:pPr>
      <w:r>
        <w:rPr>
          <w:b/>
        </w:rPr>
        <w:t xml:space="preserve">Expected result  </w:t>
      </w:r>
      <w:r>
        <w:t>Particle s, p, and mu histories agree to the declared integrator tolerance.</w:t>
      </w:r>
    </w:p>
    <w:p>
      <w:pPr>
        <w:pStyle w:val="Heading3"/>
        <w:keepNext/>
      </w:pPr>
      <w:r>
        <w:t>CROSS02 Matched diffusion limit</w:t>
      </w:r>
    </w:p>
    <w:p>
      <w:pPr>
        <w:keepLines w:val="0"/>
      </w:pPr>
      <w:r>
        <w:rPr>
          <w:b/>
        </w:rPr>
        <w:t xml:space="preserve">What is tested  </w:t>
      </w:r>
      <w:r>
        <w:t>The three movers approach the same large-scale spatial transport under matched scattering assumptions.</w:t>
      </w:r>
    </w:p>
    <w:p>
      <w:pPr>
        <w:keepLines w:val="0"/>
      </w:pPr>
      <w:r>
        <w:rPr>
          <w:b/>
        </w:rPr>
        <w:t xml:space="preserve">Why it is tested  </w:t>
      </w:r>
      <w:r>
        <w:t>This checks coefficient conversion and separates physical-model differences from implementation errors.</w:t>
      </w:r>
    </w:p>
    <w:p>
      <w:pPr>
        <w:keepLines w:val="0"/>
      </w:pPr>
      <w:r>
        <w:rPr>
          <w:b/>
        </w:rPr>
        <w:t xml:space="preserve">How it is tested  </w:t>
      </w:r>
      <w:r>
        <w:t>Choose a Dmumu law with known lambda and kappa, run long ensembles beyond several scattering times, and compare mean, variance, intensity, and anisotropy.</w:t>
      </w:r>
    </w:p>
    <w:p>
      <w:pPr>
        <w:keepLines w:val="0"/>
      </w:pPr>
      <w:r>
        <w:rPr>
          <w:b/>
        </w:rPr>
        <w:t xml:space="preserve">Expected result  </w:t>
      </w:r>
      <w:r>
        <w:t>Large-scale moments agree within combined numerical and sampling uncertainty; documented short-time differences remain visible.</w:t>
      </w:r>
    </w:p>
    <w:p>
      <w:pPr>
        <w:pStyle w:val="Heading3"/>
        <w:keepNext/>
      </w:pPr>
      <w:r>
        <w:t>INT01 Standalone driver equivalence</w:t>
      </w:r>
    </w:p>
    <w:p>
      <w:pPr>
        <w:keepLines w:val="0"/>
      </w:pPr>
      <w:r>
        <w:rPr>
          <w:b/>
        </w:rPr>
        <w:t xml:space="preserve">What is tested  </w:t>
      </w:r>
      <w:r>
        <w:t>Direct kernel calls and the standalone executable produce the same small field-line case.</w:t>
      </w:r>
    </w:p>
    <w:p>
      <w:pPr>
        <w:keepLines w:val="0"/>
      </w:pPr>
      <w:r>
        <w:rPr>
          <w:b/>
        </w:rPr>
        <w:t xml:space="preserve">Why it is tested  </w:t>
      </w:r>
      <w:r>
        <w:t>CLI plumbing must not introduce hidden defaults or reorder the physics operators.</w:t>
      </w:r>
    </w:p>
    <w:p>
      <w:pPr>
        <w:keepLines w:val="0"/>
      </w:pPr>
      <w:r>
        <w:rPr>
          <w:b/>
        </w:rPr>
        <w:t xml:space="preserve">How it is tested  </w:t>
      </w:r>
      <w:r>
        <w:t>Run a fixed configuration through the test fixture and through the executable and compare normalized structured outputs.</w:t>
      </w:r>
    </w:p>
    <w:p>
      <w:pPr>
        <w:keepLines w:val="0"/>
      </w:pPr>
      <w:r>
        <w:rPr>
          <w:b/>
        </w:rPr>
        <w:t xml:space="preserve">Expected result  </w:t>
      </w:r>
      <w:r>
        <w:t>Configuration fingerprints and numerical results match exactly or to the declared output precision.</w:t>
      </w:r>
    </w:p>
    <w:p>
      <w:pPr>
        <w:pStyle w:val="Heading3"/>
        <w:keepNext/>
      </w:pPr>
      <w:r>
        <w:t>INT02 Coupled driver equivalence</w:t>
      </w:r>
    </w:p>
    <w:p>
      <w:pPr>
        <w:keepLines w:val="0"/>
      </w:pPr>
      <w:r>
        <w:rPr>
          <w:b/>
        </w:rPr>
        <w:t xml:space="preserve">What is tested  </w:t>
      </w:r>
      <w:r>
        <w:t>The standalone replay of a frozen SWMF field-line history and the coupled adapter produce the same background queries and particle evolution.</w:t>
      </w:r>
    </w:p>
    <w:p>
      <w:pPr>
        <w:keepLines w:val="0"/>
      </w:pPr>
      <w:r>
        <w:rPr>
          <w:b/>
        </w:rPr>
        <w:t xml:space="preserve">Why it is tested  </w:t>
      </w:r>
      <w:r>
        <w:t>The standalone test system must validate the operational SWMF-facing path without running tests inside a coupled job.</w:t>
      </w:r>
    </w:p>
    <w:p>
      <w:pPr>
        <w:keepLines w:val="0"/>
      </w:pPr>
      <w:r>
        <w:rPr>
          <w:b/>
        </w:rPr>
        <w:t xml:space="preserve">How it is tested  </w:t>
      </w:r>
      <w:r>
        <w:t>Record a small coupled snapshot fixture, replay it through the SWMF provider in standalone mode, and compare against a mock coupled harness.</w:t>
      </w:r>
    </w:p>
    <w:p>
      <w:pPr>
        <w:keepLines w:val="0"/>
      </w:pPr>
      <w:r>
        <w:rPr>
          <w:b/>
        </w:rPr>
        <w:t xml:space="preserve">Expected result  </w:t>
      </w:r>
      <w:r>
        <w:t>Snapshots, coefficients, and particle outputs match and imported plasma values are not overwritten.</w:t>
      </w:r>
    </w:p>
    <w:p>
      <w:pPr>
        <w:pStyle w:val="Heading3"/>
        <w:keepNext/>
      </w:pPr>
      <w:r>
        <w:t>INT03 Restart equivalence</w:t>
      </w:r>
    </w:p>
    <w:p>
      <w:pPr>
        <w:keepLines w:val="0"/>
      </w:pPr>
      <w:r>
        <w:rPr>
          <w:b/>
        </w:rPr>
        <w:t xml:space="preserve">What is tested  </w:t>
      </w:r>
      <w:r>
        <w:t>A restarted run reproduces a continuous run for every production mover.</w:t>
      </w:r>
    </w:p>
    <w:p>
      <w:pPr>
        <w:keepLines w:val="0"/>
      </w:pPr>
      <w:r>
        <w:rPr>
          <w:b/>
        </w:rPr>
        <w:t xml:space="preserve">Why it is tested  </w:t>
      </w:r>
      <w:r>
        <w:t>Restart correctness requires preservation of particles, background epoch, turbulence, random streams, and accumulated source terms.</w:t>
      </w:r>
    </w:p>
    <w:p>
      <w:pPr>
        <w:keepLines w:val="0"/>
      </w:pPr>
      <w:r>
        <w:rPr>
          <w:b/>
        </w:rPr>
        <w:t xml:space="preserve">How it is tested  </w:t>
      </w:r>
      <w:r>
        <w:t>Split a deterministic run at several times, restore from each checkpoint, and compare final state and diagnostic hashes.</w:t>
      </w:r>
    </w:p>
    <w:p>
      <w:pPr>
        <w:keepLines w:val="0"/>
      </w:pPr>
      <w:r>
        <w:rPr>
          <w:b/>
        </w:rPr>
        <w:t xml:space="preserve">Expected result  </w:t>
      </w:r>
      <w:r>
        <w:t>Continuous and restarted outputs satisfy the declared reproducibility policy for Parker, fte-dmumu, and fte-mfp.</w:t>
      </w:r>
    </w:p>
    <w:p>
      <w:pPr>
        <w:pStyle w:val="Heading2"/>
        <w:keepNext/>
      </w:pPr>
      <w:r>
        <w:t>7.8 Turbulence and source tests</w:t>
      </w:r>
    </w:p>
    <w:p>
      <w:pPr>
        <w:pStyle w:val="Heading3"/>
        <w:keepNext/>
      </w:pPr>
      <w:r>
        <w:t>TURB01 Turbulence ownership modes</w:t>
      </w:r>
    </w:p>
    <w:p>
      <w:pPr>
        <w:keepLines w:val="0"/>
      </w:pPr>
      <w:r>
        <w:rPr>
          <w:b/>
        </w:rPr>
        <w:t xml:space="preserve">What is tested  </w:t>
      </w:r>
      <w:r>
        <w:t>Prescribed and SWMF-read-only turbulence remain immutable while self-consistent turbulence evolves.</w:t>
      </w:r>
    </w:p>
    <w:p>
      <w:pPr>
        <w:keepLines w:val="0"/>
      </w:pPr>
      <w:r>
        <w:rPr>
          <w:b/>
        </w:rPr>
        <w:t xml:space="preserve">Why it is tested  </w:t>
      </w:r>
      <w:r>
        <w:t>The current application can initialize or overwrite several wave stores without an explicit owner.</w:t>
      </w:r>
    </w:p>
    <w:p>
      <w:pPr>
        <w:keepLines w:val="0"/>
      </w:pPr>
      <w:r>
        <w:rPr>
          <w:b/>
        </w:rPr>
        <w:t xml:space="preserve">How it is tested  </w:t>
      </w:r>
      <w:r>
        <w:t>Run one step in each ownership mode with nondefault sentinel spectra and inspect all vertex and segment wave data.</w:t>
      </w:r>
    </w:p>
    <w:p>
      <w:pPr>
        <w:keepLines w:val="0"/>
      </w:pPr>
      <w:r>
        <w:rPr>
          <w:b/>
        </w:rPr>
        <w:t xml:space="preserve">Expected result  </w:t>
      </w:r>
      <w:r>
        <w:t>Read-only states are unchanged bitwise; owned states change only through enabled operators; unsupported mixed ownership is rejected.</w:t>
      </w:r>
    </w:p>
    <w:p>
      <w:pPr>
        <w:pStyle w:val="Heading3"/>
        <w:keepNext/>
      </w:pPr>
      <w:r>
        <w:t>TURB02 Particle wave energy closure</w:t>
      </w:r>
    </w:p>
    <w:p>
      <w:pPr>
        <w:keepLines w:val="0"/>
      </w:pPr>
      <w:r>
        <w:rPr>
          <w:b/>
        </w:rPr>
        <w:t xml:space="preserve">What is tested  </w:t>
      </w:r>
      <w:r>
        <w:t>Particle energy exchange and applied wave-energy change are equal and opposite apart from documented boundary or dissipation terms.</w:t>
      </w:r>
    </w:p>
    <w:p>
      <w:pPr>
        <w:keepLines w:val="0"/>
      </w:pPr>
      <w:r>
        <w:rPr>
          <w:b/>
        </w:rPr>
        <w:t xml:space="preserve">Why it is tested  </w:t>
      </w:r>
      <w:r>
        <w:t>Direct shared writes and bin clamping can hide or create energy.</w:t>
      </w:r>
    </w:p>
    <w:p>
      <w:pPr>
        <w:keepLines w:val="0"/>
      </w:pPr>
      <w:r>
        <w:rPr>
          <w:b/>
        </w:rPr>
        <w:t xml:space="preserve">How it is tested  </w:t>
      </w:r>
      <w:r>
        <w:t>Run controlled resonant particles in one segment for each branch and compare particle and wave budgets before and after deterministic reduction.</w:t>
      </w:r>
    </w:p>
    <w:p>
      <w:pPr>
        <w:keepLines w:val="0"/>
      </w:pPr>
      <w:r>
        <w:rPr>
          <w:b/>
        </w:rPr>
        <w:t xml:space="preserve">Expected result  </w:t>
      </w:r>
      <w:r>
        <w:t>The normalized residual remains below tolerance and every limiter activation is reported as a metric.</w:t>
      </w:r>
    </w:p>
    <w:p>
      <w:pPr>
        <w:pStyle w:val="Heading3"/>
      </w:pPr>
      <w:r>
        <w:t>TURB03 Wave storage units and segment-volume closure</w:t>
      </w:r>
    </w:p>
    <w:p>
      <w:pPr/>
      <w:r>
        <w:t>What is tested  The conversion among cell-integrated branch energies E+ and E- in joules, wave-energy density in joules per cubic meter, turbulence amplitude delta-B squared, and cross helicity.</w:t>
      </w:r>
    </w:p>
    <w:p>
      <w:pPr/>
      <w:r>
        <w:t>Why it is tested  Advection and coupling currently store integrated and derived quantities in different data objects. A segment-length or tube-area error changes both turbulence power and every scattering coefficient derived from it.</w:t>
      </w:r>
    </w:p>
    <w:p>
      <w:pPr/>
      <w:r>
        <w:t>How it is tested  Construct segments with independently varied length, cross-sectional area, magnetic field, and prescribed E+ and E-. Convert to density and turbulence amplitude and back using an independent arithmetic reference. Repeat after uniform refinement.</w:t>
      </w:r>
    </w:p>
    <w:p>
      <w:pPr/>
      <w:r>
        <w:t>Expected result  Round-trip energy agrees to floating-point tolerance, density scales inversely with segment volume, cross helicity stays in [-1,1], and refinement does not change line-integrated energy.</w:t>
      </w:r>
    </w:p>
    <w:p>
      <w:pPr>
        <w:pStyle w:val="Heading3"/>
      </w:pPr>
      <w:r>
        <w:t>TURB04 Physical initialization and radial profile</w:t>
      </w:r>
    </w:p>
    <w:p>
      <w:pPr/>
      <w:r>
        <w:t>What is tested  Initialization from B, turbulence level, branch imbalance, reference radius, and radial exponent for both integrated and spectral representations.</w:t>
      </w:r>
    </w:p>
    <w:p>
      <w:pPr/>
      <w:r>
        <w:t>Why it is tested  An incorrectly normalized initial wave field biases scattering from the first particle step and can be mistaken for physical radial evolution.</w:t>
      </w:r>
    </w:p>
    <w:p>
      <w:pPr/>
      <w:r>
        <w:t>How it is tested  Use a synthetic Parker line with analytic B(r) and segment volumes. Compare every initialized segment with a separately evaluated formula, test balanced and imbalanced branches, and integrate all spectral bins back to the requested branch energies.</w:t>
      </w:r>
    </w:p>
    <w:p>
      <w:pPr/>
      <w:r>
        <w:t>Expected result  All values are finite and nonnegative; reference-radius normalization, radial exponent, branch ratio, total energy, and spectral normalization meet the declared tolerances.</w:t>
      </w:r>
    </w:p>
    <w:p>
      <w:pPr>
        <w:pStyle w:val="Heading3"/>
      </w:pPr>
      <w:r>
        <w:t>TURB05 Integrated and spectral representation closure</w:t>
      </w:r>
    </w:p>
    <w:p>
      <w:pPr/>
      <w:r>
        <w:t>What is tested  Projection from branch-integrated energy to the Kolmogorov wave-number spectrum and reduction of the spectrum back to integrated energy.</w:t>
      </w:r>
    </w:p>
    <w:p>
      <w:pPr/>
      <w:r>
        <w:t>Why it is tested  The current source maintains CellIntegratedWaveEnergy and SpectralWaveEnergy. Drift between them would make diagnostics, particle scattering, and evolution use different turbulence fields.</w:t>
      </w:r>
    </w:p>
    <w:p>
      <w:pPr/>
      <w:r>
        <w:t>How it is tested  Generate positive random branch energies and several spectral grids. Project to bins, sum the bins, perturb one bin, update the integrated state, and repeat projection/reduction cycles. Test zero energy and one-sided turbulence.</w:t>
      </w:r>
    </w:p>
    <w:p>
      <w:pPr/>
      <w:r>
        <w:t>Expected result  The authoritative representation is unchanged by a round trip within tolerance; no negative or nonfinite bin appears; and derived integrated diagnostics exactly track spectral updates.</w:t>
      </w:r>
    </w:p>
    <w:p>
      <w:pPr>
        <w:pStyle w:val="Heading3"/>
      </w:pPr>
      <w:r>
        <w:t>TURB06 Constant-coefficient Alfven-wave advection</w:t>
      </w:r>
    </w:p>
    <w:p>
      <w:pPr/>
      <w:r>
        <w:t>What is tested  Propagation direction, speed, numerical diffusion, phase error, and conservation of E+ and E- under constant solar-wind and Alfven speeds.</w:t>
      </w:r>
    </w:p>
    <w:p>
      <w:pPr/>
      <w:r>
        <w:t>Why it is tested  A sign or face-flux error reverses the physical wave branch or creates energy and directly changes the scattering-center motion seen by particles.</w:t>
      </w:r>
    </w:p>
    <w:p>
      <w:pPr/>
      <w:r>
        <w:t>How it is tested  Advect compact pulses for each branch on uniform lines with periodic boundaries and compare pulse position and total energy with the characteristic solution. Repeat over decreasing segment size and time step.</w:t>
      </w:r>
    </w:p>
    <w:p>
      <w:pPr/>
      <w:r>
        <w:t>Expected result  Each branch travels in the correct direction at u_parallel plus or minus v_A; energy is conserved to the solver tolerance; and L1/L2 errors converge at the documented order.</w:t>
      </w:r>
    </w:p>
    <w:p>
      <w:pPr>
        <w:pStyle w:val="Heading3"/>
      </w:pPr>
      <w:r>
        <w:t>TURB07 Variable-speed conservative advection and CFL enforcement</w:t>
      </w:r>
    </w:p>
    <w:p>
      <w:pPr/>
      <w:r>
        <w:t>What is tested  Finite-volume fluxes on nonuniform segments with spatially varying u_parallel, v_A, tube area, and density, together with local and global stable-step calculations.</w:t>
      </w:r>
    </w:p>
    <w:p>
      <w:pPr/>
      <w:r>
        <w:t>Why it is tested  Real Parker and SWMF field lines are nonuniform. A method that works only on a uniform line can violate wave-action or energy balance near strong gradients.</w:t>
      </w:r>
    </w:p>
    <w:p>
      <w:pPr/>
      <w:r>
        <w:t>How it is tested  Use a manufactured variable-coefficient solution with known source and boundary flux. Compare the measured residual, refine the line, and deliberately request steps below and above the computed CFL limit.</w:t>
      </w:r>
    </w:p>
    <w:p>
      <w:pPr/>
      <w:r>
        <w:t>Expected result  The conservative residual converges to zero; the stable-step estimate is MPI invariant; safe steps pass; and unsafe steps subcycle or return an explicit error without corrupting state.</w:t>
      </w:r>
    </w:p>
    <w:p>
      <w:pPr>
        <w:pStyle w:val="Heading3"/>
      </w:pPr>
      <w:r>
        <w:t>TURB08 Inner and outer turbulence boundary policies</w:t>
      </w:r>
    </w:p>
    <w:p>
      <w:pPr/>
      <w:r>
        <w:t>What is tested  Specified incoming energy, specified incoming flux, fixed reservoir, transparent outflow, and invalid mixed boundary configurations for both wave branches.</w:t>
      </w:r>
    </w:p>
    <w:p>
      <w:pPr/>
      <w:r>
        <w:t>Why it is tested  Hidden or stale boundary values can dominate a long heliospheric run and make results dependent on initialization order or restart location.</w:t>
      </w:r>
    </w:p>
    <w:p>
      <w:pPr/>
      <w:r>
        <w:t>How it is tested  Drive one branch through each end of a short line with sentinel values, reverse magnetic polarity and field-line orientation, restart midway, and compare the boundary energy ledger with analytic flux integrals.</w:t>
      </w:r>
    </w:p>
    <w:p>
      <w:pPr/>
      <w:r>
        <w:t>Expected result  Only incoming characteristics are prescribed; outgoing characteristics leave without reflection unless requested; polarity/orientation changes do not change physical behavior; and restart preserves the boundary contract.</w:t>
      </w:r>
    </w:p>
    <w:p>
      <w:pPr>
        <w:pStyle w:val="Heading3"/>
      </w:pPr>
      <w:r>
        <w:t>TURB09 Reflection branch exchange</w:t>
      </w:r>
    </w:p>
    <w:p>
      <w:pPr/>
      <w:r>
        <w:t>What is tested  Conversion between E+ and E- caused by Alfven-speed gradients, including optional frequency suppression.</w:t>
      </w:r>
    </w:p>
    <w:p>
      <w:pPr/>
      <w:r>
        <w:t>Why it is tested  Reflection should redistribute energy between propagation branches without changing total wave energy before other source or dissipation terms are applied.</w:t>
      </w:r>
    </w:p>
    <w:p>
      <w:pPr/>
      <w:r>
        <w:t>How it is tested  Use constant-v_A, constant-gradient, and sign-reversed-gradient fixtures. Advance reflection alone, compare with the analytic two-state exchange solution, and refine the time step.</w:t>
      </w:r>
    </w:p>
    <w:p>
      <w:pPr/>
      <w:r>
        <w:t>Expected result  Constant v_A produces no reflection; branch changes have equal and opposite totals; energy remains nonnegative; and the temporal error converges at the advertised order.</w:t>
      </w:r>
    </w:p>
    <w:p>
      <w:pPr>
        <w:pStyle w:val="Heading3"/>
      </w:pPr>
      <w:r>
        <w:t>TURB10 Nonlinear cascade and dissipation budget</w:t>
      </w:r>
    </w:p>
    <w:p>
      <w:pPr/>
      <w:r>
        <w:t>What is tested  Kolmogorov/IK nonlinear transfer, cross-helicity modulation, perpendicular correlation-length dependence, two-sweep IMEX behavior, and partition of dissipated energy.</w:t>
      </w:r>
    </w:p>
    <w:p>
      <w:pPr/>
      <w:r>
        <w:t>Why it is tested  Cascade sets the wave amplitude at resonant scales and is the principal sink in the self-consistent model. Incorrect sign or normalization can generate energy or erase one branch spuriously.</w:t>
      </w:r>
    </w:p>
    <w:p>
      <w:pPr/>
      <w:r>
        <w:t>How it is tested  Run isolated spectra with known power laws and balanced or highly imbalanced branches. Compare instantaneous transfer rates with an independent formula, verify conservative bin-to-bin transfer, and integrate decay over a step-refinement sequence.</w:t>
      </w:r>
    </w:p>
    <w:p>
      <w:pPr/>
      <w:r>
        <w:t>Expected result  Internal spectral transfers sum to zero, physical dissipation is nonnegative, branch energies remain nonnegative, electron/ion heating fractions sum to the removed energy, and refined solutions converge.</w:t>
      </w:r>
    </w:p>
    <w:p>
      <w:pPr>
        <w:pStyle w:val="Heading3"/>
      </w:pPr>
      <w:r>
        <w:t>TURB11 Independent particle-streaming growth-rate benchmark</w:t>
      </w:r>
    </w:p>
    <w:p>
      <w:pPr/>
      <w:r>
        <w:t>What is tested  The accumulated-flux calculation of gamma+ and gamma- and its dependence on momentum bins, resonance, particle direction, species, and Alfven speed.</w:t>
      </w:r>
    </w:p>
    <w:p>
      <w:pPr/>
      <w:r>
        <w:t>Why it is tested  The existing growth-rate validation calls production routines but must also be compared with an implementation that does not share indexing or accumulation code.</w:t>
      </w:r>
    </w:p>
    <w:p>
      <w:pPr/>
      <w:r>
        <w:t>How it is tested  Populate analytic isotropic, beam, and counterstreaming distributions. Compute growth using production accumulation and a separate direct quadrature over the prescribed distribution; test bin edges and both magnetic polarities.</w:t>
      </w:r>
    </w:p>
    <w:p>
      <w:pPr/>
      <w:r>
        <w:t>Expected result  Isotropic populations give the expected zero/net-balanced growth, beam signs select the physically correct branch, and integrated growth agrees with independent quadrature within discretization error.</w:t>
      </w:r>
    </w:p>
    <w:p>
      <w:pPr>
        <w:pStyle w:val="Heading3"/>
      </w:pPr>
      <w:r>
        <w:t>TURB12 Resonance mapping and coefficient closure</w:t>
      </w:r>
    </w:p>
    <w:p>
      <w:pPr/>
      <w:r>
        <w:t>What is tested  Mapping among particle momentum and pitch angle, resonant wave number, propagation branch, spectral energy, Dmumu, lambda_parallel, and kappa_parallel.</w:t>
      </w:r>
    </w:p>
    <w:p>
      <w:pPr/>
      <w:r>
        <w:t>Why it is tested  All three production movers consume different reductions of the same turbulence. A resonance or unit inconsistency would make their supposedly matched configurations physically inequivalent.</w:t>
      </w:r>
    </w:p>
    <w:p>
      <w:pPr/>
      <w:r>
        <w:t>How it is tested  Evaluate a grid of species, energies, mu values, B strengths, polarities, and spectral slopes. Compare resonance indices and coefficients with independent formulas and numerical quadrature of the lambda_parallel relation.</w:t>
      </w:r>
    </w:p>
    <w:p>
      <w:pPr/>
      <w:r>
        <w:t>Expected result  Resonant bins and branches follow the documented convention; coefficients have correct SI units and symmetry; invalid resonance ranges return explicit status; and equivalent reductions close within quadrature tolerance.</w:t>
      </w:r>
    </w:p>
    <w:p>
      <w:pPr>
        <w:pStyle w:val="Heading3"/>
      </w:pPr>
      <w:r>
        <w:t>TURB13 Shock turbulence injection</w:t>
      </w:r>
    </w:p>
    <w:p>
      <w:pPr/>
      <w:r>
        <w:t>What is tested  Wave energy added when an analytic or SWCME shock sweeps a field-line interval, including branch partition, area/volume normalization, and repeated or partial crossings.</w:t>
      </w:r>
    </w:p>
    <w:p>
      <w:pPr/>
      <w:r>
        <w:t>Why it is tested  Shock-generated turbulence controls near-shock scattering and acceleration. Double counting or geometric normalization errors can dominate an SEP event simulation.</w:t>
      </w:r>
    </w:p>
    <w:p>
      <w:pPr/>
      <w:r>
        <w:t>How it is tested  Sweep a planar manufactured shock across uniform and nonuniform segments, calculate the expected intercepted energy independently, and repeat with the time step and segment size halved. Replay equivalent analytic and SWCME shock records.</w:t>
      </w:r>
    </w:p>
    <w:p>
      <w:pPr/>
      <w:r>
        <w:t>Expected result  Total injected energy equals the configured shock source, each space-time region is injected once, branch partition is correct, and analytic/SWCME paths converge to the same result.</w:t>
      </w:r>
    </w:p>
    <w:p>
      <w:pPr>
        <w:pStyle w:val="Heading3"/>
      </w:pPr>
      <w:r>
        <w:t>TURB14 Turbulence operator-order and time-splitting convergence</w:t>
      </w:r>
    </w:p>
    <w:p>
      <w:pPr/>
      <w:r>
        <w:t>What is tested  The combined ordering of boundary/shock sources, particle coupling, advection, reflection, cascade, and derived-state synchronization.</w:t>
      </w:r>
    </w:p>
    <w:p>
      <w:pPr/>
      <w:r>
        <w:t>Why it is tested  Even correct individual operators can give biased results if their order is undocumented or if one operator reads stale derived data.</w:t>
      </w:r>
    </w:p>
    <w:p>
      <w:pPr/>
      <w:r>
        <w:t>How it is tested  Run a coupled manufactured case with every operator active. Compare the production split update against a small-step reference and, if provided, Lie and symmetric Strang variants over successive time-step refinement.</w:t>
      </w:r>
    </w:p>
    <w:p>
      <w:pPr/>
      <w:r>
        <w:t>Expected result  The chosen production sequence is deterministic and documented; derived states are synchronized at every consumer boundary; and the global error converges at its claimed order.</w:t>
      </w:r>
    </w:p>
    <w:p>
      <w:pPr>
        <w:pStyle w:val="Heading3"/>
      </w:pPr>
      <w:r>
        <w:t>TURB15 Positivity floors and limiter transparency</w:t>
      </w:r>
    </w:p>
    <w:p>
      <w:pPr/>
      <w:r>
        <w:t>What is tested  Behavior near zero branch energy and under a requested particle or cascade withdrawal larger than the available wave energy.</w:t>
      </w:r>
    </w:p>
    <w:p>
      <w:pPr/>
      <w:r>
        <w:t>Why it is tested  Unreported clamping can create energy and conceal unstable coupling, while negative wave energy makes scattering coefficients nonphysical.</w:t>
      </w:r>
    </w:p>
    <w:p>
      <w:pPr/>
      <w:r>
        <w:t>How it is tested  Generate near-vacuum, one-sided, and deliberately overdrawn cases. Verify conservative withdrawal limiting, explicit status propagation, ledger correction fields, and invariance under smaller substeps.</w:t>
      </w:r>
    </w:p>
    <w:p>
      <w:pPr/>
      <w:r>
        <w:t>Expected result  No negative or nonfinite energy appears; no energy is withdrawn from an empty branch; every material limiter correction is counted; and corrections vanish under adequate resolution.</w:t>
      </w:r>
    </w:p>
    <w:p>
      <w:pPr>
        <w:pStyle w:val="Heading3"/>
      </w:pPr>
      <w:r>
        <w:t>TURB16 Field-line remap and resolution conservation</w:t>
      </w:r>
    </w:p>
    <w:p>
      <w:pPr/>
      <w:r>
        <w:t>What is tested  Conservation during segment refinement, coarsening, length change, field-line motion, and replacement by a new SWMF snapshot.</w:t>
      </w:r>
    </w:p>
    <w:p>
      <w:pPr/>
      <w:r>
        <w:t>Why it is tested  The background grid evolves independently of wave physics. Naive interpolation of energy density rather than integrated energy can create or destroy turbulence.</w:t>
      </w:r>
    </w:p>
    <w:p>
      <w:pPr/>
      <w:r>
        <w:t>How it is tested  Remap constant, linear, discontinuous, and spectral profiles between deliberately mismatched segmentations. Test split/merge cycles and a moving-line snapshot with unchanged physical tube volume.</w:t>
      </w:r>
    </w:p>
    <w:p>
      <w:pPr/>
      <w:r>
        <w:t>Expected result  Branch totals and spectral-bin totals are conserved to roundoff when no physical work term is present; reconstruction error converges; and uncovered domains follow the named boundary policy.</w:t>
      </w:r>
    </w:p>
    <w:p>
      <w:pPr>
        <w:pStyle w:val="Heading3"/>
      </w:pPr>
      <w:r>
        <w:t>TURB17 Turbulence restart and checkpoint completeness</w:t>
      </w:r>
    </w:p>
    <w:p>
      <w:pPr/>
      <w:r>
        <w:t>What is tested  Serialization of integrated/spectral energy, boundaries, operator phase, accumulated particle coupling, parameters, diagnostic totals, and source provenance.</w:t>
      </w:r>
    </w:p>
    <w:p>
      <w:pPr/>
      <w:r>
        <w:t>Why it is tested  A restart that stores only branch totals cannot reproduce a spectral calculation or a split step and may silently change particle scattering.</w:t>
      </w:r>
    </w:p>
    <w:p>
      <w:pPr/>
      <w:r>
        <w:t>How it is tested  Checkpoint before and after each operator in a short run, restart on the same and a different allowed MPI decomposition, and compare with an uninterrupted trajectory.</w:t>
      </w:r>
    </w:p>
    <w:p>
      <w:pPr/>
      <w:r>
        <w:t>Expected result  Restarted turbulence, derived coefficients, particle outputs, and energy-ledger hashes meet the declared reproducibility tolerance; incompatible checkpoint schemas fail clearly.</w:t>
      </w:r>
    </w:p>
    <w:p>
      <w:pPr>
        <w:pStyle w:val="Heading3"/>
      </w:pPr>
      <w:r>
        <w:t>TURB18 Thread and MPI reproducibility of turbulence coupling</w:t>
      </w:r>
    </w:p>
    <w:p>
      <w:pPr/>
      <w:r>
        <w:t>What is tested  Particle-flux accumulation, wave-energy exchange, operator reductions, edge synchronization, and diagnostics across worker counts, schedules, particle order, and MPI decompositions.</w:t>
      </w:r>
    </w:p>
    <w:p>
      <w:pPr/>
      <w:r>
        <w:t>Why it is tested  Shared wave arrays and floating-point reductions are natural sources of races and order-dependent scientific output.</w:t>
      </w:r>
    </w:p>
    <w:p>
      <w:pPr/>
      <w:r>
        <w:t>How it is tested  Run a fixed keyed-particle ensemble with 1/2/4/8 threads, static and dynamic schedules, reordered particles, and 1/2/4 MPI ranks. Use ThreadSanitizer where supported and compare state and ledger hashes.</w:t>
      </w:r>
    </w:p>
    <w:p>
      <w:pPr/>
      <w:r>
        <w:t>Expected result  No race is reported; deterministic fields are bitwise identical where required; reduced floating-point quantities remain within the documented bound; and no particle or segment contribution is lost or duplicated.</w:t>
      </w:r>
    </w:p>
    <w:p>
      <w:pPr>
        <w:pStyle w:val="Heading3"/>
      </w:pPr>
      <w:r>
        <w:t>TURB19 Three-mover turbulence compatibility matrix</w:t>
      </w:r>
    </w:p>
    <w:p>
      <w:pPr/>
      <w:r>
        <w:t>What is tested  Every supported combination of parker, fte-dmumu, or fte-mfp with prescribed, self-consistent integrated, self-consistent spectral, SWMF-read-only, and SWMF-initialized/local turbulence.</w:t>
      </w:r>
    </w:p>
    <w:p>
      <w:pPr/>
      <w:r>
        <w:t>Why it is tested  Turbulence source is orthogonal to mover choice, but each mover requires a specific coefficient adapter and not every feedback capability is mathematically equivalent.</w:t>
      </w:r>
    </w:p>
    <w:p>
      <w:pPr/>
      <w:r>
        <w:t>How it is tested  Enumerate the configuration matrix. For supported cells, run a short case and verify the advertised coefficient and feedback path. For unsupported feedback combinations, verify an explicit diagnostic or rejection rather than a fallback.</w:t>
      </w:r>
    </w:p>
    <w:p>
      <w:pPr/>
      <w:r>
        <w:t>Expected result  Every matrix cell has a stable supported/rejected status; supported cases use the requested turbulence source; Parker receives kappa_parallel, fte-dmumu receives Dmumu, fte-mfp receives lambda_parallel, and feedback capability is reported.</w:t>
      </w:r>
    </w:p>
    <w:p>
      <w:pPr>
        <w:pStyle w:val="Heading3"/>
      </w:pPr>
      <w:r>
        <w:t>TURB20 Standalone and SWMF-coupled turbulence driver equivalence</w:t>
      </w:r>
    </w:p>
    <w:p>
      <w:pPr/>
      <w:r>
        <w:t>What is tested  Whether identical frozen field-line, plasma, shock, particle, and wave states receive identical self-consistent updates through standalone and coupled entry points.</w:t>
      </w:r>
    </w:p>
    <w:p>
      <w:pPr/>
      <w:r>
        <w:t>Why it is tested  Separate time loops can reorder operators, overwrite imported waves, or use different time steps even when they call the same low-level functions.</w:t>
      </w:r>
    </w:p>
    <w:p>
      <w:pPr/>
      <w:r>
        <w:t>How it is tested  Record a checksum-frozen coupled input snapshot, replay it through the standalone provider, execute one and multiple turbulence steps, and compare all authoritative arrays, exchange rates, coefficients, ledgers, and metadata.</w:t>
      </w:r>
    </w:p>
    <w:p>
      <w:pPr/>
      <w:r>
        <w:t>Expected result  Both drivers produce equivalent results under the declared numerical reproducibility policy; imported read-only arrays remain unchanged; and any local-ownership handoff occurs once at the same epoch.</w:t>
      </w:r>
    </w:p>
    <w:p>
      <w:pPr>
        <w:pStyle w:val="Heading3"/>
        <w:keepNext/>
      </w:pPr>
      <w:r>
        <w:t>SRC01 Shock injection normalization</w:t>
      </w:r>
    </w:p>
    <w:p>
      <w:pPr>
        <w:keepLines w:val="0"/>
      </w:pPr>
      <w:r>
        <w:rPr>
          <w:b/>
        </w:rPr>
        <w:t xml:space="preserve">What is tested  </w:t>
      </w:r>
      <w:r>
        <w:t>Swept area, density, efficiency, spectrum, and macroparticle weights yield the requested physical source.</w:t>
      </w:r>
    </w:p>
    <w:p>
      <w:pPr>
        <w:keepLines w:val="0"/>
      </w:pPr>
      <w:r>
        <w:rPr>
          <w:b/>
        </w:rPr>
        <w:t xml:space="preserve">Why it is tested  </w:t>
      </w:r>
      <w:r>
        <w:t>Intensity validation is impossible when source normalization differs between analytic, SWCME, and SWMF paths.</w:t>
      </w:r>
    </w:p>
    <w:p>
      <w:pPr>
        <w:keepLines w:val="0"/>
      </w:pPr>
      <w:r>
        <w:rPr>
          <w:b/>
        </w:rPr>
        <w:t xml:space="preserve">How it is tested  </w:t>
      </w:r>
      <w:r>
        <w:t>Construct equivalent shock records through all providers and sum injected statistical weight across repeated fixed-seed samples.</w:t>
      </w:r>
    </w:p>
    <w:p>
      <w:pPr>
        <w:keepLines w:val="0"/>
      </w:pPr>
      <w:r>
        <w:rPr>
          <w:b/>
        </w:rPr>
        <w:t xml:space="preserve">Expected result  </w:t>
      </w:r>
      <w:r>
        <w:t>Mean total physical source matches the analytic expectation and providers agree within sampling uncertainty.</w:t>
      </w:r>
    </w:p>
    <w:p>
      <w:pPr>
        <w:pStyle w:val="Heading1"/>
        <w:keepNext/>
      </w:pPr>
      <w:r>
        <w:t>8 Build continuous integration and documentation</w:t>
      </w:r>
    </w:p>
    <w:p>
      <w:pPr>
        <w:pStyle w:val="Heading2"/>
        <w:keepNext/>
      </w:pPr>
      <w:r>
        <w:t>8.1 Build targets</w:t>
      </w:r>
    </w:p>
    <w:p>
      <w:pPr>
        <w:pStyle w:val="Code"/>
        <w:keepLines/>
        <w:spacing w:after="0"/>
      </w:pPr>
      <w:r>
        <w:t>make -j                 Build srcSEP production library and standalone executable</w:t>
      </w:r>
    </w:p>
    <w:p>
      <w:pPr>
        <w:pStyle w:val="Code"/>
      </w:pPr>
      <w:r>
        <w:t>make test-cli           Run PCLI01-PCLI12 and CLI01-CLI05</w:t>
      </w:r>
    </w:p>
    <w:p>
      <w:pPr>
        <w:pStyle w:val="Code"/>
        <w:keepLines/>
        <w:spacing w:after="0"/>
      </w:pPr>
      <w:r>
        <w:t>make test-list          List registered standalone component tests</w:t>
      </w:r>
    </w:p>
    <w:p>
      <w:pPr>
        <w:pStyle w:val="Code"/>
        <w:keepLines/>
        <w:spacing w:after="0"/>
      </w:pPr>
      <w:r>
        <w:t>make test-case CASE=FTED03</w:t>
      </w:r>
    </w:p>
    <w:p>
      <w:pPr>
        <w:pStyle w:val="Code"/>
        <w:keepLines/>
        <w:spacing w:after="0"/>
      </w:pPr>
      <w:r>
        <w:t>make test-group GROUP=mover:fte-dmumu</w:t>
      </w:r>
    </w:p>
    <w:p>
      <w:pPr>
        <w:pStyle w:val="Code"/>
        <w:keepLines/>
        <w:spacing w:after="0"/>
      </w:pPr>
      <w:r>
        <w:t>make -j test            Run the default complete standalone regression suite</w:t>
      </w:r>
    </w:p>
    <w:p>
      <w:pPr>
        <w:pStyle w:val="Code"/>
        <w:keepLines/>
        <w:spacing w:after="0"/>
      </w:pPr>
      <w:r>
        <w:t>make test-sanitizer     Run ASan and UBSan test campaigns</w:t>
      </w:r>
    </w:p>
    <w:p>
      <w:pPr>
        <w:pStyle w:val="Code"/>
        <w:keepLines/>
        <w:spacing w:after="0"/>
      </w:pPr>
      <w:r>
        <w:t>make test-mpi           Run selected field-line MPI and reproducibility cases</w:t>
      </w:r>
    </w:p>
    <w:p>
      <w:pPr>
        <w:pStyle w:val="Code"/>
        <w:keepLines/>
        <w:spacing w:after="0"/>
      </w:pPr>
      <w:r>
        <w:t>make test-stress        Run expensive stochastic convergence cases</w:t>
      </w:r>
    </w:p>
    <w:p>
      <w:pPr>
        <w:pStyle w:val="Code"/>
      </w:pPr>
      <w:r>
        <w:t>make test-turbulence    Run TURB01-TURB20 in integrated and spectral configurations</w:t>
      </w:r>
    </w:p>
    <w:p>
      <w:pPr>
        <w:spacing w:after="20"/>
      </w:pPr>
    </w:p>
    <w:p>
      <w:pPr>
        <w:keepLines w:val="0"/>
      </w:pPr>
      <w:r>
        <w:t>The default make test target should remain bounded enough for routine development. Large particle-count statistical tests belong to test-stress or scheduled CI. A failure in any child command must propagate to make.</w:t>
      </w:r>
    </w:p>
    <w:p>
      <w:pPr>
        <w:pStyle w:val="Heading2"/>
        <w:keepNext/>
      </w:pPr>
      <w:r>
        <w:t>8.2 Continuous integration matrix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232"/>
            <w:shd w:fill="17365D"/>
            <w:tcMar>
              <w:top w:w="90" w:type="dxa"/>
              <w:start w:w="110" w:type="dxa"/>
              <w:bottom w:w="90" w:type="dxa"/>
              <w:end w:w="110" w:type="dxa"/>
            </w:tcMar>
            <w:vAlign w:val="center"/>
          </w:tcPr>
          <w:p>
            <w:pPr>
              <w:spacing w:after="0"/>
              <w:jc w:val="center"/>
            </w:pPr>
            <w:r>
              <w:rPr>
                <w:b/>
                <w:color w:val="FFFFFF"/>
                <w:sz w:val="16"/>
              </w:rPr>
              <w:t>Configuration</w:t>
            </w:r>
          </w:p>
        </w:tc>
        <w:tc>
          <w:tcPr>
            <w:tcW w:type="dxa" w:w="7560"/>
            <w:shd w:fill="17365D"/>
            <w:tcMar>
              <w:top w:w="90" w:type="dxa"/>
              <w:start w:w="110" w:type="dxa"/>
              <w:bottom w:w="90" w:type="dxa"/>
              <w:end w:w="110" w:type="dxa"/>
            </w:tcMar>
            <w:vAlign w:val="center"/>
          </w:tcPr>
          <w:p>
            <w:pPr>
              <w:spacing w:after="0"/>
              <w:jc w:val="center"/>
            </w:pPr>
            <w:r>
              <w:rPr>
                <w:b/>
                <w:color w:val="FFFFFF"/>
                <w:sz w:val="16"/>
              </w:rPr>
              <w:t>Required checks</w:t>
            </w:r>
          </w:p>
        </w:tc>
      </w:tr>
      <w:tr>
        <w:trPr>
          <w:cantSplit/>
        </w:trPr>
        <w:tc>
          <w:tcPr>
            <w:tcW w:type="dxa" w:w="2232"/>
            <w:tcMar>
              <w:top w:w="90" w:type="dxa"/>
              <w:start w:w="110" w:type="dxa"/>
              <w:bottom w:w="90" w:type="dxa"/>
              <w:end w:w="110" w:type="dxa"/>
            </w:tcMar>
            <w:vAlign w:val="center"/>
          </w:tcPr>
          <w:p>
            <w:pPr>
              <w:spacing w:after="0"/>
            </w:pPr>
            <w:r>
              <w:rPr>
                <w:sz w:val="16"/>
              </w:rPr>
              <w:t>Strict serial</w:t>
            </w:r>
          </w:p>
        </w:tc>
        <w:tc>
          <w:tcPr>
            <w:tcW w:type="dxa" w:w="7560"/>
            <w:tcMar>
              <w:top w:w="90" w:type="dxa"/>
              <w:start w:w="110" w:type="dxa"/>
              <w:bottom w:w="90" w:type="dxa"/>
              <w:end w:w="110" w:type="dxa"/>
            </w:tcMar>
            <w:vAlign w:val="center"/>
          </w:tcPr>
          <w:p>
            <w:pPr>
              <w:spacing w:after="0"/>
            </w:pPr>
            <w:r>
              <w:rPr>
                <w:sz w:val="16"/>
              </w:rPr>
              <w:t>All component tests with warnings treated as errors</w:t>
            </w:r>
          </w:p>
        </w:tc>
      </w:tr>
      <w:tr>
        <w:trPr>
          <w:cantSplit/>
        </w:trPr>
        <w:tc>
          <w:tcPr>
            <w:tcW w:type="dxa" w:w="2232"/>
            <w:shd w:fill="EAF1F8"/>
            <w:tcMar>
              <w:top w:w="90" w:type="dxa"/>
              <w:start w:w="110" w:type="dxa"/>
              <w:bottom w:w="90" w:type="dxa"/>
              <w:end w:w="110" w:type="dxa"/>
            </w:tcMar>
            <w:vAlign w:val="center"/>
          </w:tcPr>
          <w:p>
            <w:pPr>
              <w:spacing w:after="0"/>
            </w:pPr>
            <w:r>
              <w:rPr>
                <w:sz w:val="16"/>
              </w:rPr>
              <w:t>Sanitizer</w:t>
            </w:r>
          </w:p>
        </w:tc>
        <w:tc>
          <w:tcPr>
            <w:tcW w:type="dxa" w:w="7560"/>
            <w:shd w:fill="EAF1F8"/>
            <w:tcMar>
              <w:top w:w="90" w:type="dxa"/>
              <w:start w:w="110" w:type="dxa"/>
              <w:bottom w:w="90" w:type="dxa"/>
              <w:end w:w="110" w:type="dxa"/>
            </w:tcMar>
            <w:vAlign w:val="center"/>
          </w:tcPr>
          <w:p>
            <w:pPr>
              <w:spacing w:after="0"/>
            </w:pPr>
            <w:r>
              <w:rPr>
                <w:sz w:val="16"/>
              </w:rPr>
              <w:t>Address and undefined-behavior sanitizers for all three movers and injection</w:t>
            </w:r>
          </w:p>
        </w:tc>
      </w:tr>
      <w:tr>
        <w:trPr>
          <w:cantSplit/>
        </w:trPr>
        <w:tc>
          <w:tcPr>
            <w:tcW w:type="dxa" w:w="2232"/>
            <w:tcMar>
              <w:top w:w="90" w:type="dxa"/>
              <w:start w:w="110" w:type="dxa"/>
              <w:bottom w:w="90" w:type="dxa"/>
              <w:end w:w="110" w:type="dxa"/>
            </w:tcMar>
            <w:vAlign w:val="center"/>
          </w:tcPr>
          <w:p>
            <w:pPr>
              <w:spacing w:after="0"/>
            </w:pPr>
            <w:r>
              <w:rPr>
                <w:sz w:val="16"/>
              </w:rPr>
              <w:t>MPI</w:t>
            </w:r>
          </w:p>
        </w:tc>
        <w:tc>
          <w:tcPr>
            <w:tcW w:type="dxa" w:w="7560"/>
            <w:tcMar>
              <w:top w:w="90" w:type="dxa"/>
              <w:start w:w="110" w:type="dxa"/>
              <w:bottom w:w="90" w:type="dxa"/>
              <w:end w:w="110" w:type="dxa"/>
            </w:tcMar>
            <w:vAlign w:val="center"/>
          </w:tcPr>
          <w:p>
            <w:pPr>
              <w:spacing w:after="0"/>
            </w:pPr>
            <w:r>
              <w:rPr>
                <w:sz w:val="16"/>
              </w:rPr>
              <w:t>Two and four ranks with field-line edge synchronization and decomposition tests</w:t>
            </w:r>
          </w:p>
        </w:tc>
      </w:tr>
      <w:tr>
        <w:trPr>
          <w:cantSplit/>
        </w:trPr>
        <w:tc>
          <w:tcPr>
            <w:tcW w:type="dxa" w:w="2232"/>
            <w:shd w:fill="EAF1F8"/>
            <w:tcMar>
              <w:top w:w="90" w:type="dxa"/>
              <w:start w:w="110" w:type="dxa"/>
              <w:bottom w:w="90" w:type="dxa"/>
              <w:end w:w="110" w:type="dxa"/>
            </w:tcMar>
            <w:vAlign w:val="center"/>
          </w:tcPr>
          <w:p>
            <w:pPr>
              <w:spacing w:after="0"/>
            </w:pPr>
            <w:r>
              <w:rPr>
                <w:sz w:val="16"/>
              </w:rPr>
              <w:t>Threaded</w:t>
            </w:r>
          </w:p>
        </w:tc>
        <w:tc>
          <w:tcPr>
            <w:tcW w:type="dxa" w:w="7560"/>
            <w:shd w:fill="EAF1F8"/>
            <w:tcMar>
              <w:top w:w="90" w:type="dxa"/>
              <w:start w:w="110" w:type="dxa"/>
              <w:bottom w:w="90" w:type="dxa"/>
              <w:end w:w="110" w:type="dxa"/>
            </w:tcMar>
            <w:vAlign w:val="center"/>
          </w:tcPr>
          <w:p>
            <w:pPr>
              <w:spacing w:after="0"/>
            </w:pPr>
            <w:r>
              <w:rPr>
                <w:sz w:val="16"/>
              </w:rPr>
              <w:t>One two four and eight workers with schedule and particle-order variation</w:t>
            </w:r>
          </w:p>
        </w:tc>
      </w:tr>
      <w:tr>
        <w:trPr>
          <w:cantSplit/>
        </w:trPr>
        <w:tc>
          <w:tcPr>
            <w:tcW w:type="dxa" w:w="2232"/>
            <w:tcMar>
              <w:top w:w="90" w:type="dxa"/>
              <w:start w:w="110" w:type="dxa"/>
              <w:bottom w:w="90" w:type="dxa"/>
              <w:end w:w="110" w:type="dxa"/>
            </w:tcMar>
            <w:vAlign w:val="center"/>
          </w:tcPr>
          <w:p>
            <w:pPr>
              <w:spacing w:after="0"/>
            </w:pPr>
            <w:r>
              <w:rPr>
                <w:sz w:val="16"/>
              </w:rPr>
              <w:t>Analytic background</w:t>
            </w:r>
          </w:p>
        </w:tc>
        <w:tc>
          <w:tcPr>
            <w:tcW w:type="dxa" w:w="7560"/>
            <w:tcMar>
              <w:top w:w="90" w:type="dxa"/>
              <w:start w:w="110" w:type="dxa"/>
              <w:bottom w:w="90" w:type="dxa"/>
              <w:end w:w="110" w:type="dxa"/>
            </w:tcMar>
            <w:vAlign w:val="center"/>
          </w:tcPr>
          <w:p>
            <w:pPr>
              <w:spacing w:after="0"/>
            </w:pPr>
            <w:r>
              <w:rPr>
                <w:sz w:val="16"/>
              </w:rPr>
              <w:t>All three movers with prescribed turbulence</w:t>
            </w:r>
          </w:p>
        </w:tc>
      </w:tr>
      <w:tr>
        <w:trPr>
          <w:cantSplit/>
        </w:trPr>
        <w:tc>
          <w:tcPr>
            <w:tcW w:type="dxa" w:w="2232"/>
            <w:shd w:fill="EAF1F8"/>
            <w:tcMar>
              <w:top w:w="90" w:type="dxa"/>
              <w:start w:w="110" w:type="dxa"/>
              <w:bottom w:w="90" w:type="dxa"/>
              <w:end w:w="110" w:type="dxa"/>
            </w:tcMar>
            <w:vAlign w:val="center"/>
          </w:tcPr>
          <w:p>
            <w:pPr>
              <w:spacing w:after="0"/>
            </w:pPr>
            <w:r>
              <w:rPr>
                <w:sz w:val="16"/>
              </w:rPr>
              <w:t>SWCME background</w:t>
            </w:r>
          </w:p>
        </w:tc>
        <w:tc>
          <w:tcPr>
            <w:tcW w:type="dxa" w:w="7560"/>
            <w:shd w:fill="EAF1F8"/>
            <w:tcMar>
              <w:top w:w="90" w:type="dxa"/>
              <w:start w:w="110" w:type="dxa"/>
              <w:bottom w:w="90" w:type="dxa"/>
              <w:end w:w="110" w:type="dxa"/>
            </w:tcMar>
            <w:vAlign w:val="center"/>
          </w:tcPr>
          <w:p>
            <w:pPr>
              <w:spacing w:after="0"/>
            </w:pPr>
            <w:r>
              <w:rPr>
                <w:sz w:val="16"/>
              </w:rPr>
              <w:t>Snapshot and source integration plus all compatible movers</w:t>
            </w:r>
          </w:p>
        </w:tc>
      </w:tr>
      <w:tr>
        <w:trPr>
          <w:cantSplit/>
        </w:trPr>
        <w:tc>
          <w:tcPr>
            <w:tcW w:type="dxa" w:w="2232"/>
            <w:tcMar>
              <w:top w:w="90" w:type="dxa"/>
              <w:start w:w="110" w:type="dxa"/>
              <w:bottom w:w="90" w:type="dxa"/>
              <w:end w:w="110" w:type="dxa"/>
            </w:tcMar>
            <w:vAlign w:val="center"/>
          </w:tcPr>
          <w:p>
            <w:pPr>
              <w:spacing w:after="0"/>
            </w:pPr>
            <w:r>
              <w:rPr>
                <w:sz w:val="16"/>
              </w:rPr>
              <w:t>Mock SWMF replay</w:t>
            </w:r>
          </w:p>
        </w:tc>
        <w:tc>
          <w:tcPr>
            <w:tcW w:type="dxa" w:w="7560"/>
            <w:tcMar>
              <w:top w:w="90" w:type="dxa"/>
              <w:start w:w="110" w:type="dxa"/>
              <w:bottom w:w="90" w:type="dxa"/>
              <w:end w:w="110" w:type="dxa"/>
            </w:tcMar>
            <w:vAlign w:val="center"/>
          </w:tcPr>
          <w:p>
            <w:pPr>
              <w:spacing w:after="0"/>
            </w:pPr>
            <w:r>
              <w:rPr>
                <w:sz w:val="16"/>
              </w:rPr>
              <w:t>Imported geometry plasma IMF and turbulence preservation</w:t>
            </w:r>
          </w:p>
        </w:tc>
      </w:tr>
      <w:tr>
        <w:trPr>
          <w:cantSplit/>
        </w:trPr>
        <w:tc>
          <w:tcPr>
            <w:tcW w:type="dxa" w:w="2232"/>
            <w:shd w:fill="EAF1F8"/>
            <w:tcMar>
              <w:top w:w="90" w:type="dxa"/>
              <w:start w:w="110" w:type="dxa"/>
              <w:bottom w:w="90" w:type="dxa"/>
              <w:end w:w="110" w:type="dxa"/>
            </w:tcMar>
            <w:vAlign w:val="center"/>
          </w:tcPr>
          <w:p>
            <w:pPr>
              <w:spacing w:after="0"/>
            </w:pPr>
            <w:r>
              <w:rPr>
                <w:sz w:val="16"/>
              </w:rPr>
              <w:t>Coverage</w:t>
            </w:r>
          </w:p>
        </w:tc>
        <w:tc>
          <w:tcPr>
            <w:tcW w:type="dxa" w:w="7560"/>
            <w:shd w:fill="EAF1F8"/>
            <w:tcMar>
              <w:top w:w="90" w:type="dxa"/>
              <w:start w:w="110" w:type="dxa"/>
              <w:bottom w:w="90" w:type="dxa"/>
              <w:end w:w="110" w:type="dxa"/>
            </w:tcMar>
            <w:vAlign w:val="center"/>
          </w:tcPr>
          <w:p>
            <w:pPr>
              <w:spacing w:after="0"/>
            </w:pPr>
            <w:r>
              <w:rPr>
                <w:sz w:val="16"/>
              </w:rPr>
              <w:t>Production line and branch thresholds with excluded generated and external code documented</w:t>
            </w:r>
          </w:p>
        </w:tc>
      </w:tr>
      <w:tr>
        <w:tc>
          <w:tcPr>
            <w:tcW w:type="dxa" w:w="4997"/>
          </w:tcPr>
          <w:p>
            <w:r>
              <w:t>Self-consistent integrated turbulence</w:t>
            </w:r>
          </w:p>
        </w:tc>
        <w:tc>
          <w:tcPr>
            <w:tcW w:type="dxa" w:w="4997"/>
          </w:tcPr>
          <w:p>
            <w:r>
              <w:t>TURB01-TURB20 with all enabled operators and compatible movers</w:t>
            </w:r>
          </w:p>
        </w:tc>
      </w:tr>
      <w:tr>
        <w:tc>
          <w:tcPr>
            <w:tcW w:type="dxa" w:w="4997"/>
          </w:tcPr>
          <w:p>
            <w:r>
              <w:t>Self-consistent spectral turbulence</w:t>
            </w:r>
          </w:p>
        </w:tc>
        <w:tc>
          <w:tcPr>
            <w:tcW w:type="dxa" w:w="4997"/>
          </w:tcPr>
          <w:p>
            <w:r>
              <w:t>Projection closure, spectral advection/reflection/cascade/coupling, restart, and scaling</w:t>
            </w:r>
          </w:p>
        </w:tc>
      </w:tr>
      <w:tr>
        <w:tc>
          <w:tcPr>
            <w:tcW w:type="dxa" w:w="4997"/>
          </w:tcPr>
          <w:p>
            <w:r>
              <w:t>Turbulence validation</w:t>
            </w:r>
          </w:p>
        </w:tc>
        <w:tc>
          <w:tcPr>
            <w:tcW w:type="dxa" w:w="4997"/>
          </w:tcPr>
          <w:p>
            <w:r>
              <w:t>TV01-TV08; manufactured cases in routine CI and observational/cross-model cases in scheduled campaigns</w:t>
            </w:r>
          </w:p>
        </w:tc>
      </w:tr>
      <w:tr>
        <w:tc>
          <w:tcPr>
            <w:tcW w:type="dxa" w:w="4997"/>
          </w:tcPr>
          <w:p>
            <w:r>
              <w:t>Existing production CLI compatibility</w:t>
            </w:r>
          </w:p>
        </w:tc>
        <w:tc>
          <w:tcPr>
            <w:tcW w:type="dxa" w:w="4997"/>
          </w:tcPr>
          <w:p>
            <w:r>
              <w:t>PCLI01-PCLI12 on parser-unit and bounded application harnesses; help/no-argument snapshots, aliases, errors, application to physics state, legacy TestManager, and representative option matrix</w:t>
            </w:r>
          </w:p>
        </w:tc>
      </w:tr>
    </w:tbl>
    <w:p>
      <w:pPr>
        <w:spacing w:after="20"/>
      </w:pPr>
    </w:p>
    <w:p>
      <w:pPr>
        <w:pStyle w:val="Heading2"/>
        <w:keepNext/>
      </w:pPr>
      <w:r>
        <w:t>8.3 Required documentation</w:t>
      </w:r>
    </w:p>
    <w:p>
      <w:pPr>
        <w:spacing w:after="60"/>
        <w:ind w:left="360" w:hanging="288"/>
      </w:pPr>
      <w:r>
        <w:t>•  README.md describes the scientific scope, coordinate and reference-frame conventions, supported providers, three mover equations, configuration examples, and limitations.</w:t>
      </w:r>
    </w:p>
    <w:p>
      <w:pPr>
        <w:spacing w:after="60"/>
        <w:ind w:left="360" w:hanging="288"/>
      </w:pPr>
      <w:r>
        <w:t>•  test/README.md documents make -j test and make test-cli; every existing production CLI option, default, alias and deprecation; additive test-selection options; test groups; evidence files; exit codes; and how to add a registered test. CLI help and README examples are checked against the parser in DOC03/PCLI02.</w:t>
      </w:r>
    </w:p>
    <w:p>
      <w:pPr>
        <w:spacing w:after="60"/>
        <w:ind w:left="360" w:hanging="288"/>
      </w:pPr>
      <w:r>
        <w:t>•  transport/README.md defines the common state, substep order, boundary policies, reproducibility policy, and coefficient units.</w:t>
      </w:r>
    </w:p>
    <w:p>
      <w:pPr/>
      <w:r>
        <w:t>•  turbulence/README.md defines turbulence-source modes, branch and polarity conventions, authoritative storage and SI units, integrated/spectral representations, operator equations and ordering, boundary conditions, coupling ledgers, restart schema, CLI examples, diagnostics, limitations, and the TURB/TV validation matrix.</w:t>
      </w:r>
    </w:p>
    <w:p>
      <w:pPr>
        <w:spacing w:after="60"/>
        <w:ind w:left="360" w:hanging="288"/>
      </w:pPr>
      <w:r>
        <w:t>•  Each mover file contains a concise physics contract, input and output units, numerical scheme, stability limits, and references to its verification cases.</w:t>
      </w:r>
    </w:p>
    <w:p>
      <w:pPr>
        <w:spacing w:after="60"/>
        <w:ind w:left="360" w:hanging="288"/>
      </w:pPr>
      <w:r>
        <w:t>•  migration_manifest.md maps removed 3-D symbols to the destination application and maps historical field-line movers to canonical movers or coefficient providers.</w:t>
      </w:r>
    </w:p>
    <w:p>
      <w:pPr>
        <w:pStyle w:val="Heading1"/>
        <w:keepNext/>
      </w:pPr>
      <w:r>
        <w:t>9 Migration risks and controls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880"/>
            <w:shd w:fill="17365D"/>
            <w:tcMar>
              <w:top w:w="90" w:type="dxa"/>
              <w:start w:w="110" w:type="dxa"/>
              <w:bottom w:w="90" w:type="dxa"/>
              <w:end w:w="110" w:type="dxa"/>
            </w:tcMar>
            <w:vAlign w:val="center"/>
          </w:tcPr>
          <w:p>
            <w:pPr>
              <w:spacing w:after="0"/>
              <w:jc w:val="center"/>
            </w:pPr>
            <w:r>
              <w:rPr>
                <w:b/>
                <w:color w:val="FFFFFF"/>
                <w:sz w:val="15"/>
              </w:rPr>
              <w:t>Risk</w:t>
            </w:r>
          </w:p>
        </w:tc>
        <w:tc>
          <w:tcPr>
            <w:tcW w:type="dxa" w:w="4680"/>
            <w:shd w:fill="17365D"/>
            <w:tcMar>
              <w:top w:w="90" w:type="dxa"/>
              <w:start w:w="110" w:type="dxa"/>
              <w:bottom w:w="90" w:type="dxa"/>
              <w:end w:w="110" w:type="dxa"/>
            </w:tcMar>
            <w:vAlign w:val="center"/>
          </w:tcPr>
          <w:p>
            <w:pPr>
              <w:spacing w:after="0"/>
              <w:jc w:val="center"/>
            </w:pPr>
            <w:r>
              <w:rPr>
                <w:b/>
                <w:color w:val="FFFFFF"/>
                <w:sz w:val="15"/>
              </w:rPr>
              <w:t>Control</w:t>
            </w:r>
          </w:p>
        </w:tc>
        <w:tc>
          <w:tcPr>
            <w:tcW w:type="dxa" w:w="2232"/>
            <w:shd w:fill="17365D"/>
            <w:tcMar>
              <w:top w:w="90" w:type="dxa"/>
              <w:start w:w="110" w:type="dxa"/>
              <w:bottom w:w="90" w:type="dxa"/>
              <w:end w:w="110" w:type="dxa"/>
            </w:tcMar>
            <w:vAlign w:val="center"/>
          </w:tcPr>
          <w:p>
            <w:pPr>
              <w:spacing w:after="0"/>
              <w:jc w:val="center"/>
            </w:pPr>
            <w:r>
              <w:rPr>
                <w:b/>
                <w:color w:val="FFFFFF"/>
                <w:sz w:val="15"/>
              </w:rPr>
              <w:t>Evidence</w:t>
            </w:r>
          </w:p>
        </w:tc>
      </w:tr>
      <w:tr>
        <w:trPr>
          <w:cantSplit/>
        </w:trPr>
        <w:tc>
          <w:tcPr>
            <w:tcW w:type="dxa" w:w="2880"/>
            <w:tcMar>
              <w:top w:w="90" w:type="dxa"/>
              <w:start w:w="110" w:type="dxa"/>
              <w:bottom w:w="90" w:type="dxa"/>
              <w:end w:w="110" w:type="dxa"/>
            </w:tcMar>
            <w:vAlign w:val="center"/>
          </w:tcPr>
          <w:p>
            <w:pPr>
              <w:spacing w:after="0"/>
              <w:jc w:val="center"/>
            </w:pPr>
            <w:r>
              <w:rPr>
                <w:sz w:val="15"/>
              </w:rPr>
              <w:t>Removing a symbol still required by AMPS configuration</w:t>
            </w:r>
          </w:p>
        </w:tc>
        <w:tc>
          <w:tcPr>
            <w:tcW w:type="dxa" w:w="4680"/>
            <w:tcMar>
              <w:top w:w="90" w:type="dxa"/>
              <w:start w:w="110" w:type="dxa"/>
              <w:bottom w:w="90" w:type="dxa"/>
              <w:end w:w="110" w:type="dxa"/>
            </w:tcMar>
            <w:vAlign w:val="center"/>
          </w:tcPr>
          <w:p>
            <w:pPr>
              <w:spacing w:after="0"/>
            </w:pPr>
            <w:r>
              <w:rPr>
                <w:sz w:val="15"/>
              </w:rPr>
              <w:t>Compile the current macro matrix before and after each removal and retain a one-release alias only when necessary</w:t>
            </w:r>
          </w:p>
        </w:tc>
        <w:tc>
          <w:tcPr>
            <w:tcW w:type="dxa" w:w="2232"/>
            <w:tcMar>
              <w:top w:w="90" w:type="dxa"/>
              <w:start w:w="110" w:type="dxa"/>
              <w:bottom w:w="90" w:type="dxa"/>
              <w:end w:w="110" w:type="dxa"/>
            </w:tcMar>
            <w:vAlign w:val="center"/>
          </w:tcPr>
          <w:p>
            <w:pPr>
              <w:spacing w:after="0"/>
            </w:pPr>
            <w:r>
              <w:rPr>
                <w:sz w:val="15"/>
              </w:rPr>
              <w:t>Native build matrix and public-symbol inventory</w:t>
            </w:r>
          </w:p>
        </w:tc>
      </w:tr>
      <w:tr>
        <w:trPr>
          <w:cantSplit/>
        </w:trPr>
        <w:tc>
          <w:tcPr>
            <w:tcW w:type="dxa" w:w="2880"/>
            <w:shd w:fill="EAF1F8"/>
            <w:tcMar>
              <w:top w:w="90" w:type="dxa"/>
              <w:start w:w="110" w:type="dxa"/>
              <w:bottom w:w="90" w:type="dxa"/>
              <w:end w:w="110" w:type="dxa"/>
            </w:tcMar>
            <w:vAlign w:val="center"/>
          </w:tcPr>
          <w:p>
            <w:pPr>
              <w:spacing w:after="0"/>
              <w:jc w:val="center"/>
            </w:pPr>
            <w:r>
              <w:rPr>
                <w:sz w:val="15"/>
              </w:rPr>
              <w:t>Confusing three-dimensional line geometry with three-dimensional particle motion</w:t>
            </w:r>
          </w:p>
        </w:tc>
        <w:tc>
          <w:tcPr>
            <w:tcW w:type="dxa" w:w="4680"/>
            <w:shd w:fill="EAF1F8"/>
            <w:tcMar>
              <w:top w:w="90" w:type="dxa"/>
              <w:start w:w="110" w:type="dxa"/>
              <w:bottom w:w="90" w:type="dxa"/>
              <w:end w:w="110" w:type="dxa"/>
            </w:tcMar>
            <w:vAlign w:val="center"/>
          </w:tcPr>
          <w:p>
            <w:pPr>
              <w:spacing w:after="0"/>
            </w:pPr>
            <w:r>
              <w:rPr>
                <w:sz w:val="15"/>
              </w:rPr>
              <w:t>Keep Vec3 geometry and SWMF line import behind FieldLineState while banning Cartesian particle advance</w:t>
            </w:r>
          </w:p>
        </w:tc>
        <w:tc>
          <w:tcPr>
            <w:tcW w:type="dxa" w:w="2232"/>
            <w:shd w:fill="EAF1F8"/>
            <w:tcMar>
              <w:top w:w="90" w:type="dxa"/>
              <w:start w:w="110" w:type="dxa"/>
              <w:bottom w:w="90" w:type="dxa"/>
              <w:end w:w="110" w:type="dxa"/>
            </w:tcMar>
            <w:vAlign w:val="center"/>
          </w:tcPr>
          <w:p>
            <w:pPr>
              <w:spacing w:after="0"/>
            </w:pPr>
            <w:r>
              <w:rPr>
                <w:sz w:val="15"/>
              </w:rPr>
              <w:t>SCOPE02 and SCOPE03</w:t>
            </w:r>
          </w:p>
        </w:tc>
      </w:tr>
      <w:tr>
        <w:trPr>
          <w:cantSplit/>
        </w:trPr>
        <w:tc>
          <w:tcPr>
            <w:tcW w:type="dxa" w:w="2880"/>
            <w:tcMar>
              <w:top w:w="90" w:type="dxa"/>
              <w:start w:w="110" w:type="dxa"/>
              <w:bottom w:w="90" w:type="dxa"/>
              <w:end w:w="110" w:type="dxa"/>
            </w:tcMar>
            <w:vAlign w:val="center"/>
          </w:tcPr>
          <w:p>
            <w:pPr>
              <w:spacing w:after="0"/>
              <w:jc w:val="center"/>
            </w:pPr>
            <w:r>
              <w:rPr>
                <w:sz w:val="15"/>
              </w:rPr>
              <w:t>Changing physics while renaming movers</w:t>
            </w:r>
          </w:p>
        </w:tc>
        <w:tc>
          <w:tcPr>
            <w:tcW w:type="dxa" w:w="4680"/>
            <w:tcMar>
              <w:top w:w="90" w:type="dxa"/>
              <w:start w:w="110" w:type="dxa"/>
              <w:bottom w:w="90" w:type="dxa"/>
              <w:end w:w="110" w:type="dxa"/>
            </w:tcMar>
            <w:vAlign w:val="center"/>
          </w:tcPr>
          <w:p>
            <w:pPr>
              <w:spacing w:after="0"/>
            </w:pPr>
            <w:r>
              <w:rPr>
                <w:sz w:val="15"/>
              </w:rPr>
              <w:t>First add canonical wrappers around current behavior then change one kernel at a time under focused tests</w:t>
            </w:r>
          </w:p>
        </w:tc>
        <w:tc>
          <w:tcPr>
            <w:tcW w:type="dxa" w:w="2232"/>
            <w:tcMar>
              <w:top w:w="90" w:type="dxa"/>
              <w:start w:w="110" w:type="dxa"/>
              <w:bottom w:w="90" w:type="dxa"/>
              <w:end w:w="110" w:type="dxa"/>
            </w:tcMar>
            <w:vAlign w:val="center"/>
          </w:tcPr>
          <w:p>
            <w:pPr>
              <w:spacing w:after="0"/>
            </w:pPr>
            <w:r>
              <w:rPr>
                <w:sz w:val="15"/>
              </w:rPr>
              <w:t>Baseline hashes and per-step commits</w:t>
            </w:r>
          </w:p>
        </w:tc>
      </w:tr>
      <w:tr>
        <w:trPr>
          <w:cantSplit/>
        </w:trPr>
        <w:tc>
          <w:tcPr>
            <w:tcW w:type="dxa" w:w="2880"/>
            <w:shd w:fill="EAF1F8"/>
            <w:tcMar>
              <w:top w:w="90" w:type="dxa"/>
              <w:start w:w="110" w:type="dxa"/>
              <w:bottom w:w="90" w:type="dxa"/>
              <w:end w:w="110" w:type="dxa"/>
            </w:tcMar>
            <w:vAlign w:val="center"/>
          </w:tcPr>
          <w:p>
            <w:pPr>
              <w:spacing w:after="0"/>
              <w:jc w:val="center"/>
            </w:pPr>
            <w:r>
              <w:rPr>
                <w:sz w:val="15"/>
              </w:rPr>
              <w:t>Parker name ambiguity</w:t>
            </w:r>
          </w:p>
        </w:tc>
        <w:tc>
          <w:tcPr>
            <w:tcW w:type="dxa" w:w="4680"/>
            <w:shd w:fill="EAF1F8"/>
            <w:tcMar>
              <w:top w:w="90" w:type="dxa"/>
              <w:start w:w="110" w:type="dxa"/>
              <w:bottom w:w="90" w:type="dxa"/>
              <w:end w:w="110" w:type="dxa"/>
            </w:tcMar>
            <w:vAlign w:val="center"/>
          </w:tcPr>
          <w:p>
            <w:pPr>
              <w:spacing w:after="0"/>
            </w:pPr>
            <w:r>
              <w:rPr>
                <w:sz w:val="15"/>
              </w:rPr>
              <w:t>Document Parker as the isotropic transport equation and name the analytic IMF provider separately</w:t>
            </w:r>
          </w:p>
        </w:tc>
        <w:tc>
          <w:tcPr>
            <w:tcW w:type="dxa" w:w="2232"/>
            <w:shd w:fill="EAF1F8"/>
            <w:tcMar>
              <w:top w:w="90" w:type="dxa"/>
              <w:start w:w="110" w:type="dxa"/>
              <w:bottom w:w="90" w:type="dxa"/>
              <w:end w:w="110" w:type="dxa"/>
            </w:tcMar>
            <w:vAlign w:val="center"/>
          </w:tcPr>
          <w:p>
            <w:pPr>
              <w:spacing w:after="0"/>
            </w:pPr>
            <w:r>
              <w:rPr>
                <w:sz w:val="15"/>
              </w:rPr>
              <w:t>CLI help and configuration schema tests</w:t>
            </w:r>
          </w:p>
        </w:tc>
      </w:tr>
      <w:tr>
        <w:trPr>
          <w:cantSplit/>
        </w:trPr>
        <w:tc>
          <w:tcPr>
            <w:tcW w:type="dxa" w:w="2880"/>
            <w:tcMar>
              <w:top w:w="90" w:type="dxa"/>
              <w:start w:w="110" w:type="dxa"/>
              <w:bottom w:w="90" w:type="dxa"/>
              <w:end w:w="110" w:type="dxa"/>
            </w:tcMar>
            <w:vAlign w:val="center"/>
          </w:tcPr>
          <w:p>
            <w:pPr>
              <w:spacing w:after="0"/>
              <w:jc w:val="center"/>
            </w:pPr>
            <w:r>
              <w:rPr>
                <w:sz w:val="15"/>
              </w:rPr>
              <w:t>FTE movers become mathematically redundant</w:t>
            </w:r>
          </w:p>
        </w:tc>
        <w:tc>
          <w:tcPr>
            <w:tcW w:type="dxa" w:w="4680"/>
            <w:tcMar>
              <w:top w:w="90" w:type="dxa"/>
              <w:start w:w="110" w:type="dxa"/>
              <w:bottom w:w="90" w:type="dxa"/>
              <w:end w:w="110" w:type="dxa"/>
            </w:tcMar>
            <w:vAlign w:val="center"/>
          </w:tcPr>
          <w:p>
            <w:pPr>
              <w:spacing w:after="0"/>
            </w:pPr>
            <w:r>
              <w:rPr>
                <w:sz w:val="15"/>
              </w:rPr>
              <w:t>Keep fte-dmumu continuous and fte-mfp event driven with separately tested closure definitions</w:t>
            </w:r>
          </w:p>
        </w:tc>
        <w:tc>
          <w:tcPr>
            <w:tcW w:type="dxa" w:w="2232"/>
            <w:tcMar>
              <w:top w:w="90" w:type="dxa"/>
              <w:start w:w="110" w:type="dxa"/>
              <w:bottom w:w="90" w:type="dxa"/>
              <w:end w:w="110" w:type="dxa"/>
            </w:tcMar>
            <w:vAlign w:val="center"/>
          </w:tcPr>
          <w:p>
            <w:pPr>
              <w:spacing w:after="0"/>
            </w:pPr>
            <w:r>
              <w:rPr>
                <w:sz w:val="15"/>
              </w:rPr>
              <w:t>FTED and FTEM distribution tests</w:t>
            </w:r>
          </w:p>
        </w:tc>
      </w:tr>
      <w:tr>
        <w:trPr>
          <w:cantSplit/>
        </w:trPr>
        <w:tc>
          <w:tcPr>
            <w:tcW w:type="dxa" w:w="2880"/>
            <w:shd w:fill="EAF1F8"/>
            <w:tcMar>
              <w:top w:w="90" w:type="dxa"/>
              <w:start w:w="110" w:type="dxa"/>
              <w:bottom w:w="90" w:type="dxa"/>
              <w:end w:w="110" w:type="dxa"/>
            </w:tcMar>
            <w:vAlign w:val="center"/>
          </w:tcPr>
          <w:p>
            <w:pPr>
              <w:spacing w:after="0"/>
              <w:jc w:val="center"/>
            </w:pPr>
            <w:r>
              <w:rPr>
                <w:sz w:val="15"/>
              </w:rPr>
              <w:t>Test mode changes global production state</w:t>
            </w:r>
          </w:p>
        </w:tc>
        <w:tc>
          <w:tcPr>
            <w:tcW w:type="dxa" w:w="4680"/>
            <w:shd w:fill="EAF1F8"/>
            <w:tcMar>
              <w:top w:w="90" w:type="dxa"/>
              <w:start w:w="110" w:type="dxa"/>
              <w:bottom w:w="90" w:type="dxa"/>
              <w:end w:w="110" w:type="dxa"/>
            </w:tcMar>
            <w:vAlign w:val="center"/>
          </w:tcPr>
          <w:p>
            <w:pPr>
              <w:spacing w:after="0"/>
            </w:pPr>
            <w:r>
              <w:rPr>
                <w:sz w:val="15"/>
              </w:rPr>
              <w:t>Parse before initialization and run mutating tests in isolated fixtures or subprocesses</w:t>
            </w:r>
          </w:p>
        </w:tc>
        <w:tc>
          <w:tcPr>
            <w:tcW w:type="dxa" w:w="2232"/>
            <w:shd w:fill="EAF1F8"/>
            <w:tcMar>
              <w:top w:w="90" w:type="dxa"/>
              <w:start w:w="110" w:type="dxa"/>
              <w:bottom w:w="90" w:type="dxa"/>
              <w:end w:w="110" w:type="dxa"/>
            </w:tcMar>
            <w:vAlign w:val="center"/>
          </w:tcPr>
          <w:p>
            <w:pPr>
              <w:spacing w:after="0"/>
            </w:pPr>
            <w:r>
              <w:rPr>
                <w:sz w:val="15"/>
              </w:rPr>
              <w:t>CLI02 CLI05 and repeated-order tests</w:t>
            </w:r>
          </w:p>
        </w:tc>
      </w:tr>
      <w:tr>
        <w:trPr>
          <w:cantSplit/>
        </w:trPr>
        <w:tc>
          <w:tcPr>
            <w:tcW w:type="dxa" w:w="2880"/>
            <w:tcMar>
              <w:top w:w="90" w:type="dxa"/>
              <w:start w:w="110" w:type="dxa"/>
              <w:bottom w:w="90" w:type="dxa"/>
              <w:end w:w="110" w:type="dxa"/>
            </w:tcMar>
            <w:vAlign w:val="center"/>
          </w:tcPr>
          <w:p>
            <w:pPr>
              <w:spacing w:after="0"/>
              <w:jc w:val="center"/>
            </w:pPr>
            <w:r>
              <w:rPr>
                <w:sz w:val="15"/>
              </w:rPr>
              <w:t>SWMF behavior cannot be tested standalone</w:t>
            </w:r>
          </w:p>
        </w:tc>
        <w:tc>
          <w:tcPr>
            <w:tcW w:type="dxa" w:w="4680"/>
            <w:tcMar>
              <w:top w:w="90" w:type="dxa"/>
              <w:start w:w="110" w:type="dxa"/>
              <w:bottom w:w="90" w:type="dxa"/>
              <w:end w:w="110" w:type="dxa"/>
            </w:tcMar>
            <w:vAlign w:val="center"/>
          </w:tcPr>
          <w:p>
            <w:pPr>
              <w:spacing w:after="0"/>
            </w:pPr>
            <w:r>
              <w:rPr>
                <w:sz w:val="15"/>
              </w:rPr>
              <w:t>Replay checksum-frozen field-line snapshots through the same provider adapter and retain a small coupled harness</w:t>
            </w:r>
          </w:p>
        </w:tc>
        <w:tc>
          <w:tcPr>
            <w:tcW w:type="dxa" w:w="2232"/>
            <w:tcMar>
              <w:top w:w="90" w:type="dxa"/>
              <w:start w:w="110" w:type="dxa"/>
              <w:bottom w:w="90" w:type="dxa"/>
              <w:end w:w="110" w:type="dxa"/>
            </w:tcMar>
            <w:vAlign w:val="center"/>
          </w:tcPr>
          <w:p>
            <w:pPr>
              <w:spacing w:after="0"/>
            </w:pPr>
            <w:r>
              <w:rPr>
                <w:sz w:val="15"/>
              </w:rPr>
              <w:t>INT02</w:t>
            </w:r>
          </w:p>
        </w:tc>
      </w:tr>
      <w:tr>
        <w:trPr>
          <w:cantSplit/>
        </w:trPr>
        <w:tc>
          <w:tcPr>
            <w:tcW w:type="dxa" w:w="2880"/>
            <w:shd w:fill="EAF1F8"/>
            <w:tcMar>
              <w:top w:w="90" w:type="dxa"/>
              <w:start w:w="110" w:type="dxa"/>
              <w:bottom w:w="90" w:type="dxa"/>
              <w:end w:w="110" w:type="dxa"/>
            </w:tcMar>
            <w:vAlign w:val="center"/>
          </w:tcPr>
          <w:p>
            <w:pPr>
              <w:spacing w:after="0"/>
              <w:jc w:val="center"/>
            </w:pPr>
            <w:r>
              <w:rPr>
                <w:sz w:val="15"/>
              </w:rPr>
              <w:t>Monte Carlo tests become flaky</w:t>
            </w:r>
          </w:p>
        </w:tc>
        <w:tc>
          <w:tcPr>
            <w:tcW w:type="dxa" w:w="4680"/>
            <w:shd w:fill="EAF1F8"/>
            <w:tcMar>
              <w:top w:w="90" w:type="dxa"/>
              <w:start w:w="110" w:type="dxa"/>
              <w:bottom w:w="90" w:type="dxa"/>
              <w:end w:w="110" w:type="dxa"/>
            </w:tcMar>
            <w:vAlign w:val="center"/>
          </w:tcPr>
          <w:p>
            <w:pPr>
              <w:spacing w:after="0"/>
            </w:pPr>
            <w:r>
              <w:rPr>
                <w:sz w:val="15"/>
              </w:rPr>
              <w:t>Use fixed keyed streams confidence-aware thresholds repeat controls and stored metrics</w:t>
            </w:r>
          </w:p>
        </w:tc>
        <w:tc>
          <w:tcPr>
            <w:tcW w:type="dxa" w:w="2232"/>
            <w:shd w:fill="EAF1F8"/>
            <w:tcMar>
              <w:top w:w="90" w:type="dxa"/>
              <w:start w:w="110" w:type="dxa"/>
              <w:bottom w:w="90" w:type="dxa"/>
              <w:end w:w="110" w:type="dxa"/>
            </w:tcMar>
            <w:vAlign w:val="center"/>
          </w:tcPr>
          <w:p>
            <w:pPr>
              <w:spacing w:after="0"/>
            </w:pPr>
            <w:r>
              <w:rPr>
                <w:sz w:val="15"/>
              </w:rPr>
              <w:t>PAR04 and stress campaign</w:t>
            </w:r>
          </w:p>
        </w:tc>
      </w:tr>
      <w:tr>
        <w:trPr>
          <w:cantSplit/>
        </w:trPr>
        <w:tc>
          <w:tcPr>
            <w:tcW w:type="dxa" w:w="2880"/>
            <w:tcMar>
              <w:top w:w="90" w:type="dxa"/>
              <w:start w:w="110" w:type="dxa"/>
              <w:bottom w:w="90" w:type="dxa"/>
              <w:end w:w="110" w:type="dxa"/>
            </w:tcMar>
            <w:vAlign w:val="center"/>
          </w:tcPr>
          <w:p>
            <w:pPr>
              <w:spacing w:after="0"/>
              <w:jc w:val="center"/>
            </w:pPr>
            <w:r>
              <w:rPr>
                <w:sz w:val="15"/>
              </w:rPr>
              <w:t>Wave coupling remains order dependent</w:t>
            </w:r>
          </w:p>
        </w:tc>
        <w:tc>
          <w:tcPr>
            <w:tcW w:type="dxa" w:w="4680"/>
            <w:tcMar>
              <w:top w:w="90" w:type="dxa"/>
              <w:start w:w="110" w:type="dxa"/>
              <w:bottom w:w="90" w:type="dxa"/>
              <w:end w:w="110" w:type="dxa"/>
            </w:tcMar>
            <w:vAlign w:val="center"/>
          </w:tcPr>
          <w:p>
            <w:pPr>
              <w:spacing w:after="0"/>
            </w:pPr>
            <w:r>
              <w:rPr>
                <w:sz w:val="15"/>
              </w:rPr>
              <w:t>Use local accumulation deterministic reduction and explicit energy budgets</w:t>
            </w:r>
          </w:p>
        </w:tc>
        <w:tc>
          <w:tcPr>
            <w:tcW w:type="dxa" w:w="2232"/>
            <w:tcMar>
              <w:top w:w="90" w:type="dxa"/>
              <w:start w:w="110" w:type="dxa"/>
              <w:bottom w:w="90" w:type="dxa"/>
              <w:end w:w="110" w:type="dxa"/>
            </w:tcMar>
            <w:vAlign w:val="center"/>
          </w:tcPr>
          <w:p>
            <w:pPr>
              <w:spacing w:after="0"/>
            </w:pPr>
            <w:r>
              <w:rPr>
                <w:sz w:val="15"/>
              </w:rPr>
              <w:t>PAR02 PAR03 and TURB02</w:t>
            </w:r>
          </w:p>
        </w:tc>
      </w:tr>
      <w:tr>
        <w:trPr>
          <w:cantSplit/>
        </w:trPr>
        <w:tc>
          <w:tcPr>
            <w:tcW w:type="dxa" w:w="2880"/>
            <w:shd w:fill="EAF1F8"/>
            <w:tcMar>
              <w:top w:w="90" w:type="dxa"/>
              <w:start w:w="110" w:type="dxa"/>
              <w:bottom w:w="90" w:type="dxa"/>
              <w:end w:w="110" w:type="dxa"/>
            </w:tcMar>
            <w:vAlign w:val="center"/>
          </w:tcPr>
          <w:p>
            <w:pPr>
              <w:spacing w:after="0"/>
              <w:jc w:val="center"/>
            </w:pPr>
            <w:r>
              <w:rPr>
                <w:sz w:val="15"/>
              </w:rPr>
              <w:t>Historical formulas are lost</w:t>
            </w:r>
          </w:p>
        </w:tc>
        <w:tc>
          <w:tcPr>
            <w:tcW w:type="dxa" w:w="4680"/>
            <w:shd w:fill="EAF1F8"/>
            <w:tcMar>
              <w:top w:w="90" w:type="dxa"/>
              <w:start w:w="110" w:type="dxa"/>
              <w:bottom w:w="90" w:type="dxa"/>
              <w:end w:w="110" w:type="dxa"/>
            </w:tcMar>
            <w:vAlign w:val="center"/>
          </w:tcPr>
          <w:p>
            <w:pPr>
              <w:spacing w:after="0"/>
            </w:pPr>
            <w:r>
              <w:rPr>
                <w:sz w:val="15"/>
              </w:rPr>
              <w:t>Move formulas that remain scientifically needed into named coefficient providers with independent tests before deleting mover wrappers</w:t>
            </w:r>
          </w:p>
        </w:tc>
        <w:tc>
          <w:tcPr>
            <w:tcW w:type="dxa" w:w="2232"/>
            <w:shd w:fill="EAF1F8"/>
            <w:tcMar>
              <w:top w:w="90" w:type="dxa"/>
              <w:start w:w="110" w:type="dxa"/>
              <w:bottom w:w="90" w:type="dxa"/>
              <w:end w:w="110" w:type="dxa"/>
            </w:tcMar>
            <w:vAlign w:val="center"/>
          </w:tcPr>
          <w:p>
            <w:pPr>
              <w:spacing w:after="0"/>
            </w:pPr>
            <w:r>
              <w:rPr>
                <w:sz w:val="15"/>
              </w:rPr>
              <w:t>Migration manifest and coefficient tests</w:t>
            </w:r>
          </w:p>
        </w:tc>
      </w:tr>
      <w:tr>
        <w:tc>
          <w:tcPr>
            <w:tcW w:type="dxa" w:w="3331"/>
          </w:tcPr>
          <w:p>
            <w:r>
              <w:t>Existing production CLI regresses while the test registry is added</w:t>
            </w:r>
          </w:p>
        </w:tc>
        <w:tc>
          <w:tcPr>
            <w:tcW w:type="dxa" w:w="3331"/>
          </w:tcPr>
          <w:p>
            <w:r>
              <w:t>Freeze current defaults/options/aliases and test parser state, applied physics state, help, logs, exit paths, and representative bounded runs before refactoring</w:t>
            </w:r>
          </w:p>
        </w:tc>
        <w:tc>
          <w:tcPr>
            <w:tcW w:type="dxa" w:w="3331"/>
          </w:tcPr>
          <w:p>
            <w:r>
              <w:t>PCLI01-PCLI12, make test-cli, and reviewed before/after CLI transcript</w:t>
            </w:r>
          </w:p>
        </w:tc>
      </w:tr>
    </w:tbl>
    <w:p>
      <w:pPr>
        <w:spacing w:after="20"/>
      </w:pPr>
    </w:p>
    <w:p>
      <w:pPr>
        <w:pStyle w:val="Heading1"/>
        <w:keepNext/>
      </w:pPr>
      <w:r>
        <w:t>10 Completion criteria and recommended commit sequence</w:t>
      </w:r>
    </w:p>
    <w:p>
      <w:pPr>
        <w:pStyle w:val="Heading2"/>
        <w:keepNext/>
      </w:pPr>
      <w:r>
        <w:t>10.1 Definition of completion</w:t>
      </w:r>
    </w:p>
    <w:p>
      <w:pPr>
        <w:spacing w:after="60"/>
        <w:ind w:left="360" w:hanging="288"/>
      </w:pPr>
      <w:r>
        <w:t>•  The executable lists exactly parker, fte-dmumu, and fte-mfp as production movers.</w:t>
      </w:r>
    </w:p>
    <w:p>
      <w:pPr>
        <w:spacing w:after="60"/>
        <w:ind w:left="360" w:hanging="288"/>
      </w:pPr>
      <w:r>
        <w:t>•  No production source or build target contains a full three-dimensional particle mover or perpendicular spatial displacement.</w:t>
      </w:r>
    </w:p>
    <w:p>
      <w:pPr>
        <w:spacing w:after="60"/>
        <w:ind w:left="360" w:hanging="288"/>
      </w:pPr>
      <w:r>
        <w:t>•  Three-dimensional magnetic-field-line geometry and SWMF field-line import remain operational.</w:t>
      </w:r>
    </w:p>
    <w:p>
      <w:pPr>
        <w:spacing w:after="60"/>
        <w:ind w:left="360" w:hanging="288"/>
      </w:pPr>
      <w:r>
        <w:t>•  The three movers use one timestamped background snapshot, common cooling and focusing kernels, consistent units, and explicit coefficient providers.</w:t>
      </w:r>
    </w:p>
    <w:p>
      <w:pPr>
        <w:spacing w:after="60"/>
        <w:ind w:left="360" w:hanging="288"/>
      </w:pPr>
      <w:r>
        <w:t>•  Prescribed, self-consistent, and SWMF turbulence have unambiguous ownership and drive the selected mover through the same interface.</w:t>
      </w:r>
    </w:p>
    <w:p>
      <w:r>
        <w:t>•  The existing production CLI remains functional: PCLI01-PCLI12 pass, no-argument defaults and current aliases are preserved or explicitly deprecated, parsed selections reach the actual physics state, help exits without initialization, and representative option combinations complete bounded runs.</w:t>
      </w:r>
    </w:p>
    <w:p>
      <w:pPr>
        <w:spacing w:after="60"/>
        <w:ind w:left="360" w:hanging="288"/>
      </w:pPr>
      <w:r>
        <w:t>•  The standalone executable can list and run one test, one group, or all tests, and returns a trustworthy status code.</w:t>
      </w:r>
    </w:p>
    <w:p>
      <w:pPr>
        <w:spacing w:after="60"/>
        <w:ind w:left="360" w:hanging="288"/>
      </w:pPr>
      <w:r>
        <w:t>•  The SWMF-coupled library never invokes the standalone test registry automatically.</w:t>
      </w:r>
    </w:p>
    <w:p>
      <w:pPr>
        <w:spacing w:after="60"/>
        <w:ind w:left="360" w:hanging="288"/>
      </w:pPr>
      <w:r>
        <w:t>•  Strict-warning, sanitizer, MPI, thread reproducibility, restart, and complete regression campaigns pass.</w:t>
      </w:r>
    </w:p>
    <w:p>
      <w:pPr>
        <w:spacing w:after="60"/>
        <w:ind w:left="360" w:hanging="288"/>
      </w:pPr>
      <w:r>
        <w:t>•  Source archives exclude binaries, coverage files, generated validation output, and nested archives.</w:t>
      </w:r>
    </w:p>
    <w:p>
      <w:pPr>
        <w:spacing w:after="60"/>
        <w:ind w:left="360" w:hanging="288"/>
      </w:pPr>
      <w:r>
        <w:t>•  Numerical verification is complete before observational skill claims are made.</w:t>
      </w:r>
    </w:p>
    <w:p>
      <w:pPr>
        <w:pStyle w:val="Heading2"/>
        <w:keepNext/>
      </w:pPr>
      <w:r>
        <w:t>10.2 Recommended commit sequence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1008"/>
            <w:shd w:fill="17365D"/>
            <w:tcMar>
              <w:top w:w="90" w:type="dxa"/>
              <w:start w:w="110" w:type="dxa"/>
              <w:bottom w:w="90" w:type="dxa"/>
              <w:end w:w="110" w:type="dxa"/>
            </w:tcMar>
            <w:vAlign w:val="center"/>
          </w:tcPr>
          <w:p>
            <w:pPr>
              <w:spacing w:after="0"/>
              <w:jc w:val="center"/>
            </w:pPr>
            <w:r>
              <w:rPr>
                <w:b/>
                <w:color w:val="FFFFFF"/>
                <w:sz w:val="17"/>
              </w:rPr>
              <w:t>Order</w:t>
            </w:r>
          </w:p>
        </w:tc>
        <w:tc>
          <w:tcPr>
            <w:tcW w:type="dxa" w:w="8784"/>
            <w:shd w:fill="17365D"/>
            <w:tcMar>
              <w:top w:w="90" w:type="dxa"/>
              <w:start w:w="110" w:type="dxa"/>
              <w:bottom w:w="90" w:type="dxa"/>
              <w:end w:w="110" w:type="dxa"/>
            </w:tcMar>
            <w:vAlign w:val="center"/>
          </w:tcPr>
          <w:p>
            <w:pPr>
              <w:spacing w:after="0"/>
              <w:jc w:val="center"/>
            </w:pPr>
            <w:r>
              <w:rPr>
                <w:b/>
                <w:color w:val="FFFFFF"/>
                <w:sz w:val="17"/>
              </w:rPr>
              <w:t>Commit subject</w:t>
            </w:r>
          </w:p>
        </w:tc>
      </w:tr>
      <w:tr>
        <w:trPr>
          <w:cantSplit/>
        </w:trPr>
        <w:tc>
          <w:tcPr>
            <w:tcW w:type="dxa" w:w="1008"/>
            <w:tcMar>
              <w:top w:w="90" w:type="dxa"/>
              <w:start w:w="110" w:type="dxa"/>
              <w:bottom w:w="90" w:type="dxa"/>
              <w:end w:w="110" w:type="dxa"/>
            </w:tcMar>
            <w:vAlign w:val="center"/>
          </w:tcPr>
          <w:p>
            <w:pPr>
              <w:spacing w:after="0"/>
            </w:pPr>
            <w:r>
              <w:rPr>
                <w:sz w:val="17"/>
              </w:rPr>
              <w:t>1</w:t>
            </w:r>
          </w:p>
        </w:tc>
        <w:tc>
          <w:tcPr>
            <w:tcW w:type="dxa" w:w="8784"/>
            <w:tcMar>
              <w:top w:w="90" w:type="dxa"/>
              <w:start w:w="110" w:type="dxa"/>
              <w:bottom w:w="90" w:type="dxa"/>
              <w:end w:w="110" w:type="dxa"/>
            </w:tcMar>
            <w:vAlign w:val="center"/>
          </w:tcPr>
          <w:p>
            <w:r>
              <w:t>test(cli): capture existing srcSEP production command-line contract</w:t>
            </w:r>
          </w:p>
        </w:tc>
      </w:tr>
      <w:tr>
        <w:tc>
          <w:tcPr>
            <w:tcW w:type="dxa" w:w="4997"/>
          </w:tcPr>
          <w:p>
            <w:r>
              <w:t>2</w:t>
            </w:r>
          </w:p>
        </w:tc>
        <w:tc>
          <w:tcPr>
            <w:tcW w:type="dxa" w:w="4997"/>
          </w:tcPr>
          <w:p>
            <w:r>
              <w:t>feat(cli): add selectable test registry without breaking production controls</w:t>
            </w:r>
          </w:p>
        </w:tc>
      </w:tr>
      <w:tr>
        <w:trPr>
          <w:cantSplit/>
        </w:trPr>
        <w:tc>
          <w:tcPr>
            <w:tcW w:type="dxa" w:w="1008"/>
            <w:shd w:fill="EAF1F8"/>
            <w:tcMar>
              <w:top w:w="90" w:type="dxa"/>
              <w:start w:w="110" w:type="dxa"/>
              <w:bottom w:w="90" w:type="dxa"/>
              <w:end w:w="110" w:type="dxa"/>
            </w:tcMar>
            <w:vAlign w:val="center"/>
          </w:tcPr>
          <w:p>
            <w:r>
              <w:t>3</w:t>
            </w:r>
          </w:p>
        </w:tc>
        <w:tc>
          <w:tcPr>
            <w:tcW w:type="dxa" w:w="8784"/>
            <w:shd w:fill="EAF1F8"/>
            <w:tcMar>
              <w:top w:w="90" w:type="dxa"/>
              <w:start w:w="110" w:type="dxa"/>
              <w:bottom w:w="90" w:type="dxa"/>
              <w:end w:w="110" w:type="dxa"/>
            </w:tcMar>
            <w:vAlign w:val="center"/>
          </w:tcPr>
          <w:p>
            <w:pPr>
              <w:spacing w:after="0"/>
            </w:pPr>
            <w:r>
              <w:rPr>
                <w:sz w:val="17"/>
              </w:rPr>
              <w:t>fix: publish immutable background state before particle advance</w:t>
            </w:r>
          </w:p>
        </w:tc>
      </w:tr>
      <w:tr>
        <w:trPr>
          <w:cantSplit/>
        </w:trPr>
        <w:tc>
          <w:tcPr>
            <w:tcW w:type="dxa" w:w="1008"/>
            <w:tcMar>
              <w:top w:w="90" w:type="dxa"/>
              <w:start w:w="110" w:type="dxa"/>
              <w:bottom w:w="90" w:type="dxa"/>
              <w:end w:w="110" w:type="dxa"/>
            </w:tcMar>
            <w:vAlign w:val="center"/>
          </w:tcPr>
          <w:p>
            <w:r>
              <w:t>4</w:t>
            </w:r>
          </w:p>
        </w:tc>
        <w:tc>
          <w:tcPr>
            <w:tcW w:type="dxa" w:w="8784"/>
            <w:tcMar>
              <w:top w:w="90" w:type="dxa"/>
              <w:start w:w="110" w:type="dxa"/>
              <w:bottom w:w="90" w:type="dxa"/>
              <w:end w:w="110" w:type="dxa"/>
            </w:tcMar>
            <w:vAlign w:val="center"/>
          </w:tcPr>
          <w:p>
            <w:pPr>
              <w:spacing w:after="0"/>
            </w:pPr>
            <w:r>
              <w:rPr>
                <w:sz w:val="17"/>
              </w:rPr>
              <w:t>fix: correct flux tube volume and injection units</w:t>
            </w:r>
          </w:p>
        </w:tc>
      </w:tr>
      <w:tr>
        <w:trPr>
          <w:cantSplit/>
        </w:trPr>
        <w:tc>
          <w:tcPr>
            <w:tcW w:type="dxa" w:w="1008"/>
            <w:shd w:fill="EAF1F8"/>
            <w:tcMar>
              <w:top w:w="90" w:type="dxa"/>
              <w:start w:w="110" w:type="dxa"/>
              <w:bottom w:w="90" w:type="dxa"/>
              <w:end w:w="110" w:type="dxa"/>
            </w:tcMar>
            <w:vAlign w:val="center"/>
          </w:tcPr>
          <w:p>
            <w:r>
              <w:t>5</w:t>
            </w:r>
          </w:p>
        </w:tc>
        <w:tc>
          <w:tcPr>
            <w:tcW w:type="dxa" w:w="8784"/>
            <w:shd w:fill="EAF1F8"/>
            <w:tcMar>
              <w:top w:w="90" w:type="dxa"/>
              <w:start w:w="110" w:type="dxa"/>
              <w:bottom w:w="90" w:type="dxa"/>
              <w:end w:w="110" w:type="dxa"/>
            </w:tcMar>
            <w:vAlign w:val="center"/>
          </w:tcPr>
          <w:p>
            <w:pPr>
              <w:spacing w:after="0"/>
            </w:pPr>
            <w:r>
              <w:rPr>
                <w:sz w:val="17"/>
              </w:rPr>
              <w:t>refactor: add three-mover production registry and capabilities</w:t>
            </w:r>
          </w:p>
        </w:tc>
      </w:tr>
      <w:tr>
        <w:trPr>
          <w:cantSplit/>
        </w:trPr>
        <w:tc>
          <w:tcPr>
            <w:tcW w:type="dxa" w:w="1008"/>
            <w:tcMar>
              <w:top w:w="90" w:type="dxa"/>
              <w:start w:w="110" w:type="dxa"/>
              <w:bottom w:w="90" w:type="dxa"/>
              <w:end w:w="110" w:type="dxa"/>
            </w:tcMar>
            <w:vAlign w:val="center"/>
          </w:tcPr>
          <w:p>
            <w:r>
              <w:t>6</w:t>
            </w:r>
          </w:p>
        </w:tc>
        <w:tc>
          <w:tcPr>
            <w:tcW w:type="dxa" w:w="8784"/>
            <w:tcMar>
              <w:top w:w="90" w:type="dxa"/>
              <w:start w:w="110" w:type="dxa"/>
              <w:bottom w:w="90" w:type="dxa"/>
              <w:end w:w="110" w:type="dxa"/>
            </w:tcMar>
            <w:vAlign w:val="center"/>
          </w:tcPr>
          <w:p>
            <w:pPr>
              <w:spacing w:after="0"/>
            </w:pPr>
            <w:r>
              <w:rPr>
                <w:sz w:val="17"/>
              </w:rPr>
              <w:t>refactor: transfer and remove full 3D particle movers</w:t>
            </w:r>
          </w:p>
        </w:tc>
      </w:tr>
      <w:tr>
        <w:trPr>
          <w:cantSplit/>
        </w:trPr>
        <w:tc>
          <w:tcPr>
            <w:tcW w:type="dxa" w:w="1008"/>
            <w:shd w:fill="EAF1F8"/>
            <w:tcMar>
              <w:top w:w="90" w:type="dxa"/>
              <w:start w:w="110" w:type="dxa"/>
              <w:bottom w:w="90" w:type="dxa"/>
              <w:end w:w="110" w:type="dxa"/>
            </w:tcMar>
            <w:vAlign w:val="center"/>
          </w:tcPr>
          <w:p>
            <w:r>
              <w:t>7</w:t>
            </w:r>
          </w:p>
        </w:tc>
        <w:tc>
          <w:tcPr>
            <w:tcW w:type="dxa" w:w="8784"/>
            <w:shd w:fill="EAF1F8"/>
            <w:tcMar>
              <w:top w:w="90" w:type="dxa"/>
              <w:start w:w="110" w:type="dxa"/>
              <w:bottom w:w="90" w:type="dxa"/>
              <w:end w:w="110" w:type="dxa"/>
            </w:tcMar>
            <w:vAlign w:val="center"/>
          </w:tcPr>
          <w:p>
            <w:pPr>
              <w:spacing w:after="0"/>
            </w:pPr>
            <w:r>
              <w:rPr>
                <w:sz w:val="17"/>
              </w:rPr>
              <w:t>refactor: extract shared field-line transport kernels</w:t>
            </w:r>
          </w:p>
        </w:tc>
      </w:tr>
      <w:tr>
        <w:trPr>
          <w:cantSplit/>
        </w:trPr>
        <w:tc>
          <w:tcPr>
            <w:tcW w:type="dxa" w:w="1008"/>
            <w:tcMar>
              <w:top w:w="90" w:type="dxa"/>
              <w:start w:w="110" w:type="dxa"/>
              <w:bottom w:w="90" w:type="dxa"/>
              <w:end w:w="110" w:type="dxa"/>
            </w:tcMar>
            <w:vAlign w:val="center"/>
          </w:tcPr>
          <w:p>
            <w:r>
              <w:t>8</w:t>
            </w:r>
          </w:p>
        </w:tc>
        <w:tc>
          <w:tcPr>
            <w:tcW w:type="dxa" w:w="8784"/>
            <w:tcMar>
              <w:top w:w="90" w:type="dxa"/>
              <w:start w:w="110" w:type="dxa"/>
              <w:bottom w:w="90" w:type="dxa"/>
              <w:end w:w="110" w:type="dxa"/>
            </w:tcMar>
            <w:vAlign w:val="center"/>
          </w:tcPr>
          <w:p>
            <w:pPr>
              <w:spacing w:after="0"/>
            </w:pPr>
            <w:r>
              <w:rPr>
                <w:sz w:val="17"/>
              </w:rPr>
              <w:t>feat: consolidate the Parker production mover</w:t>
            </w:r>
          </w:p>
        </w:tc>
      </w:tr>
      <w:tr>
        <w:trPr>
          <w:cantSplit/>
        </w:trPr>
        <w:tc>
          <w:tcPr>
            <w:tcW w:type="dxa" w:w="1008"/>
            <w:shd w:fill="EAF1F8"/>
            <w:tcMar>
              <w:top w:w="90" w:type="dxa"/>
              <w:start w:w="110" w:type="dxa"/>
              <w:bottom w:w="90" w:type="dxa"/>
              <w:end w:w="110" w:type="dxa"/>
            </w:tcMar>
            <w:vAlign w:val="center"/>
          </w:tcPr>
          <w:p>
            <w:r>
              <w:t>9</w:t>
            </w:r>
          </w:p>
        </w:tc>
        <w:tc>
          <w:tcPr>
            <w:tcW w:type="dxa" w:w="8784"/>
            <w:shd w:fill="EAF1F8"/>
            <w:tcMar>
              <w:top w:w="90" w:type="dxa"/>
              <w:start w:w="110" w:type="dxa"/>
              <w:bottom w:w="90" w:type="dxa"/>
              <w:end w:w="110" w:type="dxa"/>
            </w:tcMar>
            <w:vAlign w:val="center"/>
          </w:tcPr>
          <w:p>
            <w:pPr>
              <w:spacing w:after="0"/>
            </w:pPr>
            <w:r>
              <w:rPr>
                <w:sz w:val="17"/>
              </w:rPr>
              <w:t>feat: consolidate the Dmumu focused transport mover</w:t>
            </w:r>
          </w:p>
        </w:tc>
      </w:tr>
      <w:tr>
        <w:trPr>
          <w:cantSplit/>
        </w:trPr>
        <w:tc>
          <w:tcPr>
            <w:tcW w:type="dxa" w:w="1008"/>
            <w:tcMar>
              <w:top w:w="90" w:type="dxa"/>
              <w:start w:w="110" w:type="dxa"/>
              <w:bottom w:w="90" w:type="dxa"/>
              <w:end w:w="110" w:type="dxa"/>
            </w:tcMar>
            <w:vAlign w:val="center"/>
          </w:tcPr>
          <w:p>
            <w:r>
              <w:t>10</w:t>
            </w:r>
          </w:p>
        </w:tc>
        <w:tc>
          <w:tcPr>
            <w:tcW w:type="dxa" w:w="8784"/>
            <w:tcMar>
              <w:top w:w="90" w:type="dxa"/>
              <w:start w:w="110" w:type="dxa"/>
              <w:bottom w:w="90" w:type="dxa"/>
              <w:end w:w="110" w:type="dxa"/>
            </w:tcMar>
            <w:vAlign w:val="center"/>
          </w:tcPr>
          <w:p>
            <w:pPr>
              <w:spacing w:after="0"/>
            </w:pPr>
            <w:r>
              <w:rPr>
                <w:sz w:val="17"/>
              </w:rPr>
              <w:t>feat: consolidate the mean-free-path focused transport mover</w:t>
            </w:r>
          </w:p>
        </w:tc>
      </w:tr>
      <w:tr>
        <w:trPr>
          <w:cantSplit/>
        </w:trPr>
        <w:tc>
          <w:tcPr>
            <w:tcW w:type="dxa" w:w="1008"/>
            <w:shd w:fill="EAF1F8"/>
            <w:tcMar>
              <w:top w:w="90" w:type="dxa"/>
              <w:start w:w="110" w:type="dxa"/>
              <w:bottom w:w="90" w:type="dxa"/>
              <w:end w:w="110" w:type="dxa"/>
            </w:tcMar>
            <w:vAlign w:val="center"/>
          </w:tcPr>
          <w:p>
            <w:r>
              <w:t>11</w:t>
            </w:r>
          </w:p>
        </w:tc>
        <w:tc>
          <w:tcPr>
            <w:tcW w:type="dxa" w:w="8784"/>
            <w:shd w:fill="EAF1F8"/>
            <w:tcMar>
              <w:top w:w="90" w:type="dxa"/>
              <w:start w:w="110" w:type="dxa"/>
              <w:bottom w:w="90" w:type="dxa"/>
              <w:end w:w="110" w:type="dxa"/>
            </w:tcMar>
            <w:vAlign w:val="center"/>
          </w:tcPr>
          <w:p>
            <w:pPr>
              <w:spacing w:after="0"/>
            </w:pPr>
            <w:r>
              <w:rPr>
                <w:sz w:val="17"/>
              </w:rPr>
              <w:t>refactor: unify transport coefficient providers</w:t>
            </w:r>
          </w:p>
        </w:tc>
      </w:tr>
      <w:tr>
        <w:trPr>
          <w:cantSplit/>
        </w:trPr>
        <w:tc>
          <w:tcPr>
            <w:tcW w:type="dxa" w:w="1008"/>
            <w:tcMar>
              <w:top w:w="90" w:type="dxa"/>
              <w:start w:w="110" w:type="dxa"/>
              <w:bottom w:w="90" w:type="dxa"/>
              <w:end w:w="110" w:type="dxa"/>
            </w:tcMar>
            <w:vAlign w:val="center"/>
          </w:tcPr>
          <w:p>
            <w:r>
              <w:t>12</w:t>
            </w:r>
          </w:p>
        </w:tc>
        <w:tc>
          <w:tcPr>
            <w:tcW w:type="dxa" w:w="8784"/>
            <w:tcMar>
              <w:top w:w="90" w:type="dxa"/>
              <w:start w:w="110" w:type="dxa"/>
              <w:bottom w:w="90" w:type="dxa"/>
              <w:end w:w="110" w:type="dxa"/>
            </w:tcMar>
            <w:vAlign w:val="center"/>
          </w:tcPr>
          <w:p>
            <w:pPr>
              <w:spacing w:after="0"/>
            </w:pPr>
            <w:r>
              <w:rPr>
                <w:sz w:val="17"/>
              </w:rPr>
              <w:t>fix: enforce turbulence ownership and energy accounting</w:t>
            </w:r>
          </w:p>
        </w:tc>
      </w:tr>
      <w:tr>
        <w:trPr>
          <w:cantSplit/>
        </w:trPr>
        <w:tc>
          <w:tcPr>
            <w:tcW w:type="dxa" w:w="1008"/>
            <w:shd w:fill="EAF1F8"/>
            <w:tcMar>
              <w:top w:w="90" w:type="dxa"/>
              <w:start w:w="110" w:type="dxa"/>
              <w:bottom w:w="90" w:type="dxa"/>
              <w:end w:w="110" w:type="dxa"/>
            </w:tcMar>
            <w:vAlign w:val="center"/>
          </w:tcPr>
          <w:p>
            <w:r>
              <w:t>13</w:t>
            </w:r>
          </w:p>
        </w:tc>
        <w:tc>
          <w:tcPr>
            <w:tcW w:type="dxa" w:w="8784"/>
            <w:shd w:fill="EAF1F8"/>
            <w:tcMar>
              <w:top w:w="90" w:type="dxa"/>
              <w:start w:w="110" w:type="dxa"/>
              <w:bottom w:w="90" w:type="dxa"/>
              <w:end w:w="110" w:type="dxa"/>
            </w:tcMar>
            <w:vAlign w:val="center"/>
          </w:tcPr>
          <w:p>
            <w:pPr>
              <w:spacing w:after="0"/>
            </w:pPr>
            <w:r>
              <w:rPr>
                <w:sz w:val="17"/>
              </w:rPr>
              <w:t>fix: make particle-wave accumulation reproducible</w:t>
            </w:r>
          </w:p>
        </w:tc>
      </w:tr>
      <w:tr>
        <w:trPr>
          <w:cantSplit/>
        </w:trPr>
        <w:tc>
          <w:tcPr>
            <w:tcW w:type="dxa" w:w="1008"/>
            <w:tcMar>
              <w:top w:w="90" w:type="dxa"/>
              <w:start w:w="110" w:type="dxa"/>
              <w:bottom w:w="90" w:type="dxa"/>
              <w:end w:w="110" w:type="dxa"/>
            </w:tcMar>
            <w:vAlign w:val="center"/>
          </w:tcPr>
          <w:p>
            <w:r>
              <w:t>14</w:t>
            </w:r>
          </w:p>
        </w:tc>
        <w:tc>
          <w:tcPr>
            <w:tcW w:type="dxa" w:w="8784"/>
            <w:tcMar>
              <w:top w:w="90" w:type="dxa"/>
              <w:start w:w="110" w:type="dxa"/>
              <w:bottom w:w="90" w:type="dxa"/>
              <w:end w:w="110" w:type="dxa"/>
            </w:tcMar>
            <w:vAlign w:val="center"/>
          </w:tcPr>
          <w:p>
            <w:pPr>
              <w:spacing w:after="0"/>
            </w:pPr>
            <w:r>
              <w:rPr>
                <w:sz w:val="17"/>
              </w:rPr>
              <w:t>test: complete mover component and cross-model regression cases</w:t>
            </w:r>
          </w:p>
        </w:tc>
      </w:tr>
      <w:tr>
        <w:trPr>
          <w:cantSplit/>
        </w:trPr>
        <w:tc>
          <w:tcPr>
            <w:tcW w:type="dxa" w:w="1008"/>
            <w:shd w:fill="EAF1F8"/>
            <w:tcMar>
              <w:top w:w="90" w:type="dxa"/>
              <w:start w:w="110" w:type="dxa"/>
              <w:bottom w:w="90" w:type="dxa"/>
              <w:end w:w="110" w:type="dxa"/>
            </w:tcMar>
            <w:vAlign w:val="center"/>
          </w:tcPr>
          <w:p>
            <w:r>
              <w:t>15</w:t>
            </w:r>
          </w:p>
        </w:tc>
        <w:tc>
          <w:tcPr>
            <w:tcW w:type="dxa" w:w="8784"/>
            <w:shd w:fill="EAF1F8"/>
            <w:tcMar>
              <w:top w:w="90" w:type="dxa"/>
              <w:start w:w="110" w:type="dxa"/>
              <w:bottom w:w="90" w:type="dxa"/>
              <w:end w:w="110" w:type="dxa"/>
            </w:tcMar>
            <w:vAlign w:val="center"/>
          </w:tcPr>
          <w:p>
            <w:pPr>
              <w:spacing w:after="0"/>
            </w:pPr>
            <w:r>
              <w:rPr>
                <w:sz w:val="17"/>
              </w:rPr>
              <w:t>docs: document field-line-only scope movers and test commands</w:t>
            </w:r>
          </w:p>
        </w:tc>
      </w:tr>
      <w:tr>
        <w:trPr>
          <w:cantSplit/>
        </w:trPr>
        <w:tc>
          <w:tcPr>
            <w:tcW w:type="dxa" w:w="1008"/>
            <w:tcMar>
              <w:top w:w="90" w:type="dxa"/>
              <w:start w:w="110" w:type="dxa"/>
              <w:bottom w:w="90" w:type="dxa"/>
              <w:end w:w="110" w:type="dxa"/>
            </w:tcMar>
            <w:vAlign w:val="center"/>
          </w:tcPr>
          <w:p>
            <w:r>
              <w:t>16</w:t>
            </w:r>
          </w:p>
        </w:tc>
        <w:tc>
          <w:tcPr>
            <w:tcW w:type="dxa" w:w="8784"/>
            <w:tcMar>
              <w:top w:w="90" w:type="dxa"/>
              <w:start w:w="110" w:type="dxa"/>
              <w:bottom w:w="90" w:type="dxa"/>
              <w:end w:w="110" w:type="dxa"/>
            </w:tcMar>
            <w:vAlign w:val="center"/>
          </w:tcPr>
          <w:p>
            <w:pPr>
              <w:spacing w:after="0"/>
            </w:pPr>
            <w:r>
              <w:rPr>
                <w:sz w:val="17"/>
              </w:rPr>
              <w:t>chore: remove compatibility code and generated artifacts</w:t>
            </w:r>
          </w:p>
        </w:tc>
      </w:tr>
    </w:tbl>
    <w:p>
      <w:pPr>
        <w:spacing w:after="20"/>
      </w:pPr>
    </w:p>
    <w:p>
      <w:pPr>
        <w:pStyle w:val="Heading2"/>
        <w:keepNext/>
      </w:pPr>
      <w:r>
        <w:t>10.3 Recommended first implementation milestone</w:t>
      </w:r>
    </w:p>
    <w:p>
      <w:pPr>
        <w:keepLines w:val="0"/>
      </w:pPr>
      <w:r>
        <w:t>The first milestone should include Steps 0 through 5: preserve the baseline and current production CLI, add the selectable test registry to that CLI, correct background timing and shared dimensional errors, introduce the three-mover registry, and remove the full three-dimensional movers. PCLI01-PCLI12 must pass before and after each CLI/mover-selection change. The second milestone implements Steps 6 through 12, where physics kernels and turbulence ownership are corrected. The final milestone completes the test catalog, documentation, numerical verification, and observational campaign.</w:t>
      </w:r>
    </w:p>
    <w:p>
      <w:pPr>
        <w:pStyle w:val="Heading2"/>
        <w:keepNext/>
      </w:pPr>
      <w:r>
        <w:t>10.4 First milestone handoff package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880"/>
            <w:shd w:fill="17365D"/>
            <w:tcMar>
              <w:top w:w="90" w:type="dxa"/>
              <w:start w:w="110" w:type="dxa"/>
              <w:bottom w:w="90" w:type="dxa"/>
              <w:end w:w="110" w:type="dxa"/>
            </w:tcMar>
            <w:vAlign w:val="center"/>
          </w:tcPr>
          <w:p>
            <w:pPr>
              <w:spacing w:after="0"/>
              <w:jc w:val="center"/>
            </w:pPr>
            <w:r>
              <w:rPr>
                <w:b/>
                <w:color w:val="FFFFFF"/>
                <w:sz w:val="17"/>
              </w:rPr>
              <w:t>Deliverable</w:t>
            </w:r>
          </w:p>
        </w:tc>
        <w:tc>
          <w:tcPr>
            <w:tcW w:type="dxa" w:w="6912"/>
            <w:shd w:fill="17365D"/>
            <w:tcMar>
              <w:top w:w="90" w:type="dxa"/>
              <w:start w:w="110" w:type="dxa"/>
              <w:bottom w:w="90" w:type="dxa"/>
              <w:end w:w="110" w:type="dxa"/>
            </w:tcMar>
            <w:vAlign w:val="center"/>
          </w:tcPr>
          <w:p>
            <w:pPr>
              <w:spacing w:after="0"/>
              <w:jc w:val="center"/>
            </w:pPr>
            <w:r>
              <w:rPr>
                <w:b/>
                <w:color w:val="FFFFFF"/>
                <w:sz w:val="17"/>
              </w:rPr>
              <w:t>Required evidence</w:t>
            </w:r>
          </w:p>
        </w:tc>
      </w:tr>
      <w:tr>
        <w:trPr>
          <w:cantSplit/>
        </w:trPr>
        <w:tc>
          <w:tcPr>
            <w:tcW w:type="dxa" w:w="2880"/>
            <w:tcMar>
              <w:top w:w="90" w:type="dxa"/>
              <w:start w:w="110" w:type="dxa"/>
              <w:bottom w:w="90" w:type="dxa"/>
              <w:end w:w="110" w:type="dxa"/>
            </w:tcMar>
            <w:vAlign w:val="center"/>
          </w:tcPr>
          <w:p>
            <w:pPr>
              <w:spacing w:after="0"/>
            </w:pPr>
            <w:r>
              <w:rPr>
                <w:sz w:val="17"/>
              </w:rPr>
              <w:t>Baseline and transfer manifest</w:t>
            </w:r>
          </w:p>
        </w:tc>
        <w:tc>
          <w:tcPr>
            <w:tcW w:type="dxa" w:w="6912"/>
            <w:tcMar>
              <w:top w:w="90" w:type="dxa"/>
              <w:start w:w="110" w:type="dxa"/>
              <w:bottom w:w="90" w:type="dxa"/>
              <w:end w:w="110" w:type="dxa"/>
            </w:tcMar>
            <w:vAlign w:val="center"/>
          </w:tcPr>
          <w:p>
            <w:pPr>
              <w:spacing w:after="0"/>
            </w:pPr>
            <w:r>
              <w:rPr>
                <w:sz w:val="17"/>
              </w:rPr>
              <w:t>Tagged source revision, native build matrix, current test results, output hashes, and a destination commit for every transferred 3-D symbol</w:t>
            </w:r>
          </w:p>
        </w:tc>
      </w:tr>
      <w:tr>
        <w:trPr>
          <w:cantSplit/>
        </w:trPr>
        <w:tc>
          <w:tcPr>
            <w:tcW w:type="dxa" w:w="2880"/>
            <w:shd w:fill="EAF1F8"/>
            <w:tcMar>
              <w:top w:w="90" w:type="dxa"/>
              <w:start w:w="110" w:type="dxa"/>
              <w:bottom w:w="90" w:type="dxa"/>
              <w:end w:w="110" w:type="dxa"/>
            </w:tcMar>
            <w:vAlign w:val="center"/>
          </w:tcPr>
          <w:p>
            <w:pPr>
              <w:spacing w:after="0"/>
            </w:pPr>
            <w:r>
              <w:rPr>
                <w:sz w:val="17"/>
              </w:rPr>
              <w:t>Standalone component-test CLI</w:t>
            </w:r>
          </w:p>
        </w:tc>
        <w:tc>
          <w:tcPr>
            <w:tcW w:type="dxa" w:w="6912"/>
            <w:shd w:fill="EAF1F8"/>
            <w:tcMar>
              <w:top w:w="90" w:type="dxa"/>
              <w:start w:w="110" w:type="dxa"/>
              <w:bottom w:w="90" w:type="dxa"/>
              <w:end w:w="110" w:type="dxa"/>
            </w:tcMar>
            <w:vAlign w:val="center"/>
          </w:tcPr>
          <w:p>
            <w:r>
              <w:t>PCLI01-PCLI12 prove the existing production controls remain functional; successful list, single-case, group, and complete-suite commands; JSON evidence; documented exit codes; legacy TestManager disposition; and proof that the coupled library cannot parse process options or enter test mode</w:t>
            </w:r>
          </w:p>
        </w:tc>
      </w:tr>
      <w:tr>
        <w:trPr>
          <w:cantSplit/>
        </w:trPr>
        <w:tc>
          <w:tcPr>
            <w:tcW w:type="dxa" w:w="2880"/>
            <w:tcMar>
              <w:top w:w="90" w:type="dxa"/>
              <w:start w:w="110" w:type="dxa"/>
              <w:bottom w:w="90" w:type="dxa"/>
              <w:end w:w="110" w:type="dxa"/>
            </w:tcMar>
            <w:vAlign w:val="center"/>
          </w:tcPr>
          <w:p>
            <w:pPr>
              <w:spacing w:after="0"/>
            </w:pPr>
            <w:r>
              <w:rPr>
                <w:sz w:val="17"/>
              </w:rPr>
              <w:t>Shared background contract</w:t>
            </w:r>
          </w:p>
        </w:tc>
        <w:tc>
          <w:tcPr>
            <w:tcW w:type="dxa" w:w="6912"/>
            <w:tcMar>
              <w:top w:w="90" w:type="dxa"/>
              <w:start w:w="110" w:type="dxa"/>
              <w:bottom w:w="90" w:type="dxa"/>
              <w:end w:w="110" w:type="dxa"/>
            </w:tcMar>
            <w:vAlign w:val="center"/>
          </w:tcPr>
          <w:p>
            <w:pPr>
              <w:spacing w:after="0"/>
            </w:pPr>
            <w:r>
              <w:rPr>
                <w:sz w:val="17"/>
              </w:rPr>
              <w:t>Analytic, SWCME, and mock-SWMF fixtures that preserve epoch, provider identity, field-line generation, units, and imported plasma values</w:t>
            </w:r>
          </w:p>
        </w:tc>
      </w:tr>
      <w:tr>
        <w:trPr>
          <w:cantSplit/>
        </w:trPr>
        <w:tc>
          <w:tcPr>
            <w:tcW w:type="dxa" w:w="2880"/>
            <w:shd w:fill="EAF1F8"/>
            <w:tcMar>
              <w:top w:w="90" w:type="dxa"/>
              <w:start w:w="110" w:type="dxa"/>
              <w:bottom w:w="90" w:type="dxa"/>
              <w:end w:w="110" w:type="dxa"/>
            </w:tcMar>
            <w:vAlign w:val="center"/>
          </w:tcPr>
          <w:p>
            <w:pPr>
              <w:spacing w:after="0"/>
            </w:pPr>
            <w:r>
              <w:rPr>
                <w:sz w:val="17"/>
              </w:rPr>
              <w:t>Three-mover production API</w:t>
            </w:r>
          </w:p>
        </w:tc>
        <w:tc>
          <w:tcPr>
            <w:tcW w:type="dxa" w:w="6912"/>
            <w:shd w:fill="EAF1F8"/>
            <w:tcMar>
              <w:top w:w="90" w:type="dxa"/>
              <w:start w:w="110" w:type="dxa"/>
              <w:bottom w:w="90" w:type="dxa"/>
              <w:end w:w="110" w:type="dxa"/>
            </w:tcMar>
            <w:vAlign w:val="center"/>
          </w:tcPr>
          <w:p>
            <w:pPr>
              <w:spacing w:after="0"/>
            </w:pPr>
            <w:r>
              <w:rPr>
                <w:sz w:val="17"/>
              </w:rPr>
              <w:t>Only parker, fte-dmumu, and fte-mfp are advertised; capability descriptors are tested; unsupported historical names fail or issue a time-limited warning</w:t>
            </w:r>
          </w:p>
        </w:tc>
      </w:tr>
      <w:tr>
        <w:trPr>
          <w:cantSplit/>
        </w:trPr>
        <w:tc>
          <w:tcPr>
            <w:tcW w:type="dxa" w:w="2880"/>
            <w:tcMar>
              <w:top w:w="90" w:type="dxa"/>
              <w:start w:w="110" w:type="dxa"/>
              <w:bottom w:w="90" w:type="dxa"/>
              <w:end w:w="110" w:type="dxa"/>
            </w:tcMar>
            <w:vAlign w:val="center"/>
          </w:tcPr>
          <w:p>
            <w:pPr>
              <w:spacing w:after="0"/>
            </w:pPr>
            <w:r>
              <w:rPr>
                <w:sz w:val="17"/>
              </w:rPr>
              <w:t>Field-line-only build</w:t>
            </w:r>
          </w:p>
        </w:tc>
        <w:tc>
          <w:tcPr>
            <w:tcW w:type="dxa" w:w="6912"/>
            <w:tcMar>
              <w:top w:w="90" w:type="dxa"/>
              <w:start w:w="110" w:type="dxa"/>
              <w:bottom w:w="90" w:type="dxa"/>
              <w:end w:w="110" w:type="dxa"/>
            </w:tcMar>
            <w:vAlign w:val="center"/>
          </w:tcPr>
          <w:p>
            <w:pPr>
              <w:spacing w:after="0"/>
            </w:pPr>
            <w:r>
              <w:rPr>
                <w:sz w:val="17"/>
              </w:rPr>
              <w:t>No transferred full-3-D mover object or selector is linked, while 3-D field-line geometry, shock intersections, SWMF import, and field-line sampling continue to pass</w:t>
            </w:r>
          </w:p>
        </w:tc>
      </w:tr>
    </w:tbl>
    <w:p>
      <w:pPr>
        <w:spacing w:after="20"/>
      </w:pPr>
    </w:p>
    <w:p>
      <w:pPr>
        <w:keepLines w:val="0"/>
      </w:pPr>
      <w:r>
        <w:rPr>
          <w:b/>
        </w:rPr>
        <w:t xml:space="preserve">Start gate  </w:t>
      </w:r>
      <w:r>
        <w:t>Begin the second milestone only after all five handoff deliverables are reviewable in one clean revision and make -j test succeeds through the standalone executable. This gate prevents later mover consolidation from masking transfer, timing, unit, or CLI defects.</w:t>
      </w:r>
    </w:p>
    <w:p>
      <w:r>
        <w:br w:type="page"/>
      </w:r>
    </w:p>
    <w:p>
      <w:pPr>
        <w:pStyle w:val="Heading1"/>
      </w:pPr>
      <w:r>
        <w:t>11 Self-consistent Alfven-turbulence improvement and validation</w:t>
      </w:r>
    </w:p>
    <w:p>
      <w:r>
        <w:t>This section makes the existing self-consistent Alfven-turbulence model a first-class part of the srcSEP improvement plan. The model remains in srcSEP because it evolves wave energy and its interaction with SEP particles along magnetic field lines. Removing full three-dimensional particle movers does not remove this field-line turbulence physics.</w:t>
      </w:r>
    </w:p>
    <w:p>
      <w:pPr>
        <w:pStyle w:val="Heading2"/>
      </w:pPr>
      <w:r>
        <w:t>11.1 Production role and supported choices</w:t>
      </w:r>
    </w:p>
    <w:p>
      <w:r>
        <w:t>Turbulence selection is independent of production-mover selection. The user selects one mover and one turbulence source. The provider then supplies the coefficient representation required by that mover, while the turbulence driver controls whether and how wave state evolves.</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fill="D9EAF7"/>
          </w:tcPr>
          <w:p>
            <w:r>
              <w:t>Turbulence choice</w:t>
            </w:r>
          </w:p>
        </w:tc>
        <w:tc>
          <w:tcPr>
            <w:tcW w:type="dxa" w:w="2498"/>
            <w:shd w:fill="D9EAF7"/>
          </w:tcPr>
          <w:p>
            <w:r>
              <w:t>Authoritative state</w:t>
            </w:r>
          </w:p>
        </w:tc>
        <w:tc>
          <w:tcPr>
            <w:tcW w:type="dxa" w:w="2498"/>
            <w:shd w:fill="D9EAF7"/>
          </w:tcPr>
          <w:p>
            <w:r>
              <w:t>Evolution and feedback</w:t>
            </w:r>
          </w:p>
        </w:tc>
        <w:tc>
          <w:tcPr>
            <w:tcW w:type="dxa" w:w="2498"/>
            <w:shd w:fill="D9EAF7"/>
          </w:tcPr>
          <w:p>
            <w:r>
              <w:t>Production meaning</w:t>
            </w:r>
          </w:p>
        </w:tc>
      </w:tr>
      <w:tr>
        <w:tc>
          <w:tcPr>
            <w:tcW w:type="dxa" w:w="2498"/>
          </w:tcPr>
          <w:p>
            <w:r>
              <w:t>Prescribed</w:t>
            </w:r>
          </w:p>
        </w:tc>
        <w:tc>
          <w:tcPr>
            <w:tcW w:type="dxa" w:w="2498"/>
          </w:tcPr>
          <w:p>
            <w:r>
              <w:t>Configured profile or coefficient</w:t>
            </w:r>
          </w:p>
        </w:tc>
        <w:tc>
          <w:tcPr>
            <w:tcW w:type="dxa" w:w="2498"/>
          </w:tcPr>
          <w:p>
            <w:r>
              <w:t>No wave evolution; no particle feedback</w:t>
            </w:r>
          </w:p>
        </w:tc>
        <w:tc>
          <w:tcPr>
            <w:tcW w:type="dxa" w:w="2498"/>
          </w:tcPr>
          <w:p>
            <w:r>
              <w:t>Controlled analytic or empirical scattering</w:t>
            </w:r>
          </w:p>
        </w:tc>
      </w:tr>
      <w:tr>
        <w:tc>
          <w:tcPr>
            <w:tcW w:type="dxa" w:w="2498"/>
          </w:tcPr>
          <w:p>
            <w:r>
              <w:t>Self-consistent integrated</w:t>
            </w:r>
          </w:p>
        </w:tc>
        <w:tc>
          <w:tcPr>
            <w:tcW w:type="dxa" w:w="2498"/>
          </w:tcPr>
          <w:p>
            <w:r>
              <w:t>Segment E+ and E- [J]</w:t>
            </w:r>
          </w:p>
        </w:tc>
        <w:tc>
          <w:tcPr>
            <w:tcW w:type="dxa" w:w="2498"/>
          </w:tcPr>
          <w:p>
            <w:r>
              <w:t>Advection, reflection, cascade, shock source, optional particle feedback</w:t>
            </w:r>
          </w:p>
        </w:tc>
        <w:tc>
          <w:tcPr>
            <w:tcW w:type="dxa" w:w="2498"/>
          </w:tcPr>
          <w:p>
            <w:r>
              <w:t>Efficient branch-integrated local evolution</w:t>
            </w:r>
          </w:p>
        </w:tc>
      </w:tr>
      <w:tr>
        <w:tc>
          <w:tcPr>
            <w:tcW w:type="dxa" w:w="2498"/>
          </w:tcPr>
          <w:p>
            <w:r>
              <w:t>Self-consistent spectral</w:t>
            </w:r>
          </w:p>
        </w:tc>
        <w:tc>
          <w:tcPr>
            <w:tcW w:type="dxa" w:w="2498"/>
          </w:tcPr>
          <w:p>
            <w:r>
              <w:t>E+(k) and E-(k) [J per log-k bin]</w:t>
            </w:r>
          </w:p>
        </w:tc>
        <w:tc>
          <w:tcPr>
            <w:tcW w:type="dxa" w:w="2498"/>
          </w:tcPr>
          <w:p>
            <w:r>
              <w:t>Spectral advection, reflection, cascade, shock source, resonant feedback</w:t>
            </w:r>
          </w:p>
        </w:tc>
        <w:tc>
          <w:tcPr>
            <w:tcW w:type="dxa" w:w="2498"/>
          </w:tcPr>
          <w:p>
            <w:r>
              <w:t>Wave-number-resolved production evolution</w:t>
            </w:r>
          </w:p>
        </w:tc>
      </w:tr>
      <w:tr>
        <w:tc>
          <w:tcPr>
            <w:tcW w:type="dxa" w:w="2498"/>
          </w:tcPr>
          <w:p>
            <w:r>
              <w:t>SWMF read-only</w:t>
            </w:r>
          </w:p>
        </w:tc>
        <w:tc>
          <w:tcPr>
            <w:tcW w:type="dxa" w:w="2498"/>
          </w:tcPr>
          <w:p>
            <w:r>
              <w:t>Imported SWMF wave variables</w:t>
            </w:r>
          </w:p>
        </w:tc>
        <w:tc>
          <w:tcPr>
            <w:tcW w:type="dxa" w:w="2498"/>
          </w:tcPr>
          <w:p>
            <w:r>
              <w:t>Never changed by srcSEP</w:t>
            </w:r>
          </w:p>
        </w:tc>
        <w:tc>
          <w:tcPr>
            <w:tcW w:type="dxa" w:w="2498"/>
          </w:tcPr>
          <w:p>
            <w:r>
              <w:t>Use external turbulence exactly as supplied</w:t>
            </w:r>
          </w:p>
        </w:tc>
      </w:tr>
      <w:tr>
        <w:tc>
          <w:tcPr>
            <w:tcW w:type="dxa" w:w="2498"/>
          </w:tcPr>
          <w:p>
            <w:r>
              <w:t>SWMF initial then local</w:t>
            </w:r>
          </w:p>
        </w:tc>
        <w:tc>
          <w:tcPr>
            <w:tcW w:type="dxa" w:w="2498"/>
          </w:tcPr>
          <w:p>
            <w:r>
              <w:t>Locally owned copy after a recorded handoff</w:t>
            </w:r>
          </w:p>
        </w:tc>
        <w:tc>
          <w:tcPr>
            <w:tcW w:type="dxa" w:w="2498"/>
          </w:tcPr>
          <w:p>
            <w:r>
              <w:t>srcSEP evolution begins after handoff</w:t>
            </w:r>
          </w:p>
        </w:tc>
        <w:tc>
          <w:tcPr>
            <w:tcW w:type="dxa" w:w="2498"/>
          </w:tcPr>
          <w:p>
            <w:r>
              <w:t>Continue an SWMF state beyond the coupled/import interval</w:t>
            </w:r>
          </w:p>
        </w:tc>
      </w:tr>
    </w:tbl>
    <w:p>
      <w:r>
        <w:t>Preserve the current --turbulence-model integrated|wave-number-resolved option and its documented shortcuts because it selects representation. Add a separate --turbulence-source prescribed|self-consistent|swmf-read-only|swmf-initial-local option only when ownership/source selection is implemented. Also preserve and regression-test the existing --coupling, --cascade, --reflection, --particle-mover, injection-count, spectral-output, and TestManager controls. Effective-configuration output must distinguish source from representation and state whether particle feedback is disabled, reduced, or fully resonant. An unsupported combination is rejected; no existing option is repurposed silently.</w:t>
      </w:r>
    </w:p>
    <w:p>
      <w:pPr>
        <w:pStyle w:val="Heading2"/>
      </w:pPr>
      <w:r>
        <w:t>11.2 Target interfaces and state contract</w:t>
      </w:r>
    </w:p>
    <w:p>
      <w:r>
        <w:t>Create a TurbulenceProvider interface that returns an immutable turbulence view for the same epoch, field-line generation, segment, and background provenance as the particle step. Create a separate TurbulenceEvolutionDriver that alone may mutate locally owned wave state. This separation prevents a coefficient query from unexpectedly evolving or overwriting turbulence.</w:t>
      </w:r>
    </w:p>
    <w:p>
      <w:r>
        <w:t>•  TurbulenceStateView: source mode, representation, owner, epoch, field-line generation, branch energies, optional spectrum, derived cross helicity, validity range, and provenance.</w:t>
      </w:r>
    </w:p>
    <w:p>
      <w:r>
        <w:t>•  TurbulenceCoefficientView: kappa_parallel, Dmumu and its derivative, lambda_parallel, validity status, resonant wave number/branch, and the assumptions used in any conversion.</w:t>
      </w:r>
    </w:p>
    <w:p>
      <w:r>
        <w:t>•  TurbulenceExchangeAccumulator: thread-local particle streaming, resonant counts, branch-resolved particle energy change, and diagnostic weights; no pointer to mutable global wave storage.</w:t>
      </w:r>
    </w:p>
    <w:p>
      <w:r>
        <w:t>•  TurbulenceEnergyLedger: signed boundary, shock, particle, reflection, cascade, dissipation, limiter, remap, and final-balance terms for each branch and for the total.</w:t>
      </w:r>
    </w:p>
    <w:p>
      <w:r>
        <w:t>•  TurbulenceCheckpoint: authoritative state plus boundary history, spectral grid, operator phase, source parameters, accumulated exchanges, and schema version.</w:t>
      </w:r>
    </w:p>
    <w:p>
      <w:pPr>
        <w:pStyle w:val="Heading2"/>
      </w:pPr>
      <w:r>
        <w:t>11.3 Physics and numerical improvement sequence</w:t>
      </w:r>
    </w:p>
    <w:p>
      <w:r>
        <w:rPr>
          <w:b/>
        </w:rPr>
        <w:t xml:space="preserve">A. Freeze and document the baseline.  </w:t>
      </w:r>
      <w:r>
        <w:t>Record current radial profiles, integrated and spectral energies, enabled operators, time-step calculations, growth rates, energy budgets, and outputs for small deterministic fixtures before changing the implementation.</w:t>
      </w:r>
    </w:p>
    <w:p>
      <w:r>
        <w:rPr>
          <w:b/>
        </w:rPr>
        <w:t xml:space="preserve">B. Establish units and ownership.  </w:t>
      </w:r>
      <w:r>
        <w:t>Declare cell-integrated energy [J] versus density [J m^-3], the segment-volume definition, branch/polarity conventions, and the authoritative state for each source mode. Remove implicit dual writes.</w:t>
      </w:r>
    </w:p>
    <w:p>
      <w:r>
        <w:rPr>
          <w:b/>
        </w:rPr>
        <w:t xml:space="preserve">C. Separate source selection from mover selection.  </w:t>
      </w:r>
      <w:r>
        <w:t>Build the provider/evolution interfaces and a compatibility matrix. Preserve prescribed and SWMF choices while making both self-consistent representations independently selectable.</w:t>
      </w:r>
    </w:p>
    <w:p>
      <w:r>
        <w:rPr>
          <w:b/>
        </w:rPr>
        <w:t xml:space="preserve">D. Consolidate initialization and boundaries.  </w:t>
      </w:r>
      <w:r>
        <w:t>Use one initialization path for physical normalization and spectrum construction. Replace static captured boundary values with explicit, restartable characteristic boundary policies.</w:t>
      </w:r>
    </w:p>
    <w:p>
      <w:r>
        <w:rPr>
          <w:b/>
        </w:rPr>
        <w:t xml:space="preserve">E. Stabilize advection.  </w:t>
      </w:r>
      <w:r>
        <w:t>Use conservative finite-volume fluxes on nonuniform field-line segments, calculate global CFL limits, subcycle when allowed, and report rejected or limited steps.</w:t>
      </w:r>
    </w:p>
    <w:p>
      <w:r>
        <w:rPr>
          <w:b/>
        </w:rPr>
        <w:t xml:space="preserve">F. Stabilize reflection and cascade.  </w:t>
      </w:r>
      <w:r>
        <w:t>Make branch exchange conservative, keep spectral transfer separate from physical dissipation, preserve positivity, and expose heating/dissipation partitions in the ledger.</w:t>
      </w:r>
    </w:p>
    <w:p>
      <w:r>
        <w:rPr>
          <w:b/>
        </w:rPr>
        <w:t xml:space="preserve">G. Rebuild particle-wave coupling.  </w:t>
      </w:r>
      <w:r>
        <w:t>Use independent resonance mapping, thread-local accumulation, deterministic reductions, availability-limited withdrawal, and equal-and-opposite particle/wave energy accounting.</w:t>
      </w:r>
    </w:p>
    <w:p>
      <w:r>
        <w:rPr>
          <w:b/>
        </w:rPr>
        <w:t xml:space="preserve">H. Integrate shock-generated turbulence.  </w:t>
      </w:r>
      <w:r>
        <w:t>Normalize injection by swept flux-tube volume and time, prevent repeat injection, and use the same shock record consumed by particle injection.</w:t>
      </w:r>
    </w:p>
    <w:p>
      <w:r>
        <w:rPr>
          <w:b/>
        </w:rPr>
        <w:t xml:space="preserve">I. Define operator splitting.  </w:t>
      </w:r>
      <w:r>
        <w:t>Centralize the full update in one driver. Freeze the initial Lie ordering for compatibility, provide a symmetric option if justified, and establish time-splitting convergence before changing the production default.</w:t>
      </w:r>
    </w:p>
    <w:p>
      <w:r>
        <w:rPr>
          <w:b/>
        </w:rPr>
        <w:t xml:space="preserve">J. Support evolving grids and restart.  </w:t>
      </w:r>
      <w:r>
        <w:t>Conservatively remap authoritative wave state when segment geometry changes; serialize all state needed to resume at any operator boundary; reject incompatible schemas.</w:t>
      </w:r>
    </w:p>
    <w:p>
      <w:r>
        <w:rPr>
          <w:b/>
        </w:rPr>
        <w:t xml:space="preserve">K. Add diagnostics and provenance.  </w:t>
      </w:r>
      <w:r>
        <w:t>Output W+, W-, sigma_c, spectral slope, correlation length, effective Dmumu/lambda/kappa, every energy-ledger term, limiter counts, source mode, parameters, input checksum, and operator version.</w:t>
      </w:r>
    </w:p>
    <w:p>
      <w:r>
        <w:rPr>
          <w:b/>
        </w:rPr>
        <w:t xml:space="preserve">L. Close verification and validation.  </w:t>
      </w:r>
      <w:r>
        <w:t>Pass TURB01-TURB20 first, then TV01-TV04 numerical/cross-model comparisons, and only then TV05-TV08 observational and event-level skill assessments.</w:t>
      </w:r>
    </w:p>
    <w:p>
      <w:pPr>
        <w:pStyle w:val="Heading2"/>
      </w:pPr>
      <w:r>
        <w:t>11.4 Mover compatibility and feedback contract</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fill="D9EAF7"/>
          </w:tcPr>
          <w:p>
            <w:r>
              <w:t>Mover</w:t>
            </w:r>
          </w:p>
        </w:tc>
        <w:tc>
          <w:tcPr>
            <w:tcW w:type="dxa" w:w="2498"/>
            <w:shd w:fill="D9EAF7"/>
          </w:tcPr>
          <w:p>
            <w:r>
              <w:t>Coefficient consumed</w:t>
            </w:r>
          </w:p>
        </w:tc>
        <w:tc>
          <w:tcPr>
            <w:tcW w:type="dxa" w:w="2498"/>
            <w:shd w:fill="D9EAF7"/>
          </w:tcPr>
          <w:p>
            <w:r>
              <w:t>Self-consistent feedback</w:t>
            </w:r>
          </w:p>
        </w:tc>
        <w:tc>
          <w:tcPr>
            <w:tcW w:type="dxa" w:w="2498"/>
            <w:shd w:fill="D9EAF7"/>
          </w:tcPr>
          <w:p>
            <w:r>
              <w:t>Required evidence</w:t>
            </w:r>
          </w:p>
        </w:tc>
      </w:tr>
      <w:tr>
        <w:tc>
          <w:tcPr>
            <w:tcW w:type="dxa" w:w="2498"/>
          </w:tcPr>
          <w:p>
            <w:r>
              <w:t>parker</w:t>
            </w:r>
          </w:p>
        </w:tc>
        <w:tc>
          <w:tcPr>
            <w:tcW w:type="dxa" w:w="2498"/>
          </w:tcPr>
          <w:p>
            <w:r>
              <w:t>kappa_parallel derived from the selected turbulence closure</w:t>
            </w:r>
          </w:p>
        </w:tc>
        <w:tc>
          <w:tcPr>
            <w:tcW w:type="dxa" w:w="2498"/>
          </w:tcPr>
          <w:p>
            <w:r>
              <w:t>None or an explicitly named reduced streaming closure; never implied</w:t>
            </w:r>
          </w:p>
        </w:tc>
        <w:tc>
          <w:tcPr>
            <w:tcW w:type="dxa" w:w="2498"/>
          </w:tcPr>
          <w:p>
            <w:r>
              <w:t>Coefficient quadrature, no-scattering and diffusion benchmarks, mode metadata</w:t>
            </w:r>
          </w:p>
        </w:tc>
      </w:tr>
      <w:tr>
        <w:tc>
          <w:tcPr>
            <w:tcW w:type="dxa" w:w="2498"/>
          </w:tcPr>
          <w:p>
            <w:r>
              <w:t>fte-dmumu</w:t>
            </w:r>
          </w:p>
        </w:tc>
        <w:tc>
          <w:tcPr>
            <w:tcW w:type="dxa" w:w="2498"/>
          </w:tcPr>
          <w:p>
            <w:r>
              <w:t>Dmu-mu and derivative evaluated from integrated or resonant spectral state</w:t>
            </w:r>
          </w:p>
        </w:tc>
        <w:tc>
          <w:tcPr>
            <w:tcW w:type="dxa" w:w="2498"/>
          </w:tcPr>
          <w:p>
            <w:r>
              <w:t>Branch-resolved streaming/growth accumulation</w:t>
            </w:r>
          </w:p>
        </w:tc>
        <w:tc>
          <w:tcPr>
            <w:tcW w:type="dxa" w:w="2498"/>
          </w:tcPr>
          <w:p>
            <w:r>
              <w:t>Resonance, growth-rate, energy-closure, and pitch-angle convergence tests</w:t>
            </w:r>
          </w:p>
        </w:tc>
      </w:tr>
      <w:tr>
        <w:tc>
          <w:tcPr>
            <w:tcW w:type="dxa" w:w="2498"/>
          </w:tcPr>
          <w:p>
            <w:r>
              <w:t>fte-mfp</w:t>
            </w:r>
          </w:p>
        </w:tc>
        <w:tc>
          <w:tcPr>
            <w:tcW w:type="dxa" w:w="2498"/>
          </w:tcPr>
          <w:p>
            <w:r>
              <w:t>lambda_parallel and event rate derived from the selected turbulence closure</w:t>
            </w:r>
          </w:p>
        </w:tc>
        <w:tc>
          <w:tcPr>
            <w:tcW w:type="dxa" w:w="2498"/>
          </w:tcPr>
          <w:p>
            <w:r>
              <w:t>Branch-resolved energy exchange at events and/or path accumulation, explicitly selected</w:t>
            </w:r>
          </w:p>
        </w:tc>
        <w:tc>
          <w:tcPr>
            <w:tcW w:type="dxa" w:w="2498"/>
          </w:tcPr>
          <w:p>
            <w:r>
              <w:t>Waiting-time, wave-frame, coefficient-closure, and energy-ledger tests</w:t>
            </w:r>
          </w:p>
        </w:tc>
      </w:tr>
    </w:tbl>
    <w:p>
      <w:pPr>
        <w:pStyle w:val="Heading2"/>
      </w:pPr>
      <w:r>
        <w:t>11.5 Verification test priority and execution</w:t>
      </w:r>
    </w:p>
    <w:p>
      <w:r>
        <w:t>The TURB01-TURB20 cases in Section 7.8 are ordered by dependency. Run ownership, units, initialization, and representation tests before operator tests; run isolated operators before coupled splitting; and run deterministic serial cases before MPI, restart, and driver-equivalence cases. A failure in a prerequisite blocks dependent validation.</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fill="D9EAF7"/>
          </w:tcPr>
          <w:p>
            <w:r>
              <w:t>Priority</w:t>
            </w:r>
          </w:p>
        </w:tc>
        <w:tc>
          <w:tcPr>
            <w:tcW w:type="dxa" w:w="2498"/>
            <w:shd w:fill="D9EAF7"/>
          </w:tcPr>
          <w:p>
            <w:r>
              <w:t>Tests</w:t>
            </w:r>
          </w:p>
        </w:tc>
        <w:tc>
          <w:tcPr>
            <w:tcW w:type="dxa" w:w="2498"/>
            <w:shd w:fill="D9EAF7"/>
          </w:tcPr>
          <w:p>
            <w:r>
              <w:t>Purpose</w:t>
            </w:r>
          </w:p>
        </w:tc>
        <w:tc>
          <w:tcPr>
            <w:tcW w:type="dxa" w:w="2498"/>
            <w:shd w:fill="D9EAF7"/>
          </w:tcPr>
          <w:p>
            <w:r>
              <w:t>Gate</w:t>
            </w:r>
          </w:p>
        </w:tc>
      </w:tr>
      <w:tr>
        <w:tc>
          <w:tcPr>
            <w:tcW w:type="dxa" w:w="2498"/>
          </w:tcPr>
          <w:p>
            <w:r>
              <w:t>P0 state contract</w:t>
            </w:r>
          </w:p>
        </w:tc>
        <w:tc>
          <w:tcPr>
            <w:tcW w:type="dxa" w:w="2498"/>
          </w:tcPr>
          <w:p>
            <w:r>
              <w:t>TURB01, TURB03-TURB05</w:t>
            </w:r>
          </w:p>
        </w:tc>
        <w:tc>
          <w:tcPr>
            <w:tcW w:type="dxa" w:w="2498"/>
          </w:tcPr>
          <w:p>
            <w:r>
              <w:t>Ownership, units, initialization, integrated/spectral closure</w:t>
            </w:r>
          </w:p>
        </w:tc>
        <w:tc>
          <w:tcPr>
            <w:tcW w:type="dxa" w:w="2498"/>
          </w:tcPr>
          <w:p>
            <w:r>
              <w:t>Required before evolution operators</w:t>
            </w:r>
          </w:p>
        </w:tc>
      </w:tr>
      <w:tr>
        <w:tc>
          <w:tcPr>
            <w:tcW w:type="dxa" w:w="2498"/>
          </w:tcPr>
          <w:p>
            <w:r>
              <w:t>P1 isolated physics</w:t>
            </w:r>
          </w:p>
        </w:tc>
        <w:tc>
          <w:tcPr>
            <w:tcW w:type="dxa" w:w="2498"/>
          </w:tcPr>
          <w:p>
            <w:r>
              <w:t>TURB06-TURB13</w:t>
            </w:r>
          </w:p>
        </w:tc>
        <w:tc>
          <w:tcPr>
            <w:tcW w:type="dxa" w:w="2498"/>
          </w:tcPr>
          <w:p>
            <w:r>
              <w:t>Advection, CFL, boundaries, reflection, cascade, growth, resonance, shock source</w:t>
            </w:r>
          </w:p>
        </w:tc>
        <w:tc>
          <w:tcPr>
            <w:tcW w:type="dxa" w:w="2498"/>
          </w:tcPr>
          <w:p>
            <w:r>
              <w:t>Required before combined stepping</w:t>
            </w:r>
          </w:p>
        </w:tc>
      </w:tr>
      <w:tr>
        <w:tc>
          <w:tcPr>
            <w:tcW w:type="dxa" w:w="2498"/>
          </w:tcPr>
          <w:p>
            <w:r>
              <w:t>P2 coupled numerics</w:t>
            </w:r>
          </w:p>
        </w:tc>
        <w:tc>
          <w:tcPr>
            <w:tcW w:type="dxa" w:w="2498"/>
          </w:tcPr>
          <w:p>
            <w:r>
              <w:t>TURB02, TURB14-TURB16</w:t>
            </w:r>
          </w:p>
        </w:tc>
        <w:tc>
          <w:tcPr>
            <w:tcW w:type="dxa" w:w="2498"/>
          </w:tcPr>
          <w:p>
            <w:r>
              <w:t>Energy closure, splitting, positivity, evolving-grid remap</w:t>
            </w:r>
          </w:p>
        </w:tc>
        <w:tc>
          <w:tcPr>
            <w:tcW w:type="dxa" w:w="2498"/>
          </w:tcPr>
          <w:p>
            <w:r>
              <w:t>Required before long runs</w:t>
            </w:r>
          </w:p>
        </w:tc>
      </w:tr>
      <w:tr>
        <w:tc>
          <w:tcPr>
            <w:tcW w:type="dxa" w:w="2498"/>
          </w:tcPr>
          <w:p>
            <w:r>
              <w:t>P3 production integrity</w:t>
            </w:r>
          </w:p>
        </w:tc>
        <w:tc>
          <w:tcPr>
            <w:tcW w:type="dxa" w:w="2498"/>
          </w:tcPr>
          <w:p>
            <w:r>
              <w:t>TURB17-TURB20</w:t>
            </w:r>
          </w:p>
        </w:tc>
        <w:tc>
          <w:tcPr>
            <w:tcW w:type="dxa" w:w="2498"/>
          </w:tcPr>
          <w:p>
            <w:r>
              <w:t>Restart, parallel reproducibility, mover matrix, driver equivalence</w:t>
            </w:r>
          </w:p>
        </w:tc>
        <w:tc>
          <w:tcPr>
            <w:tcW w:type="dxa" w:w="2498"/>
          </w:tcPr>
          <w:p>
            <w:r>
              <w:t>Required before observational campaigns</w:t>
            </w:r>
          </w:p>
        </w:tc>
      </w:tr>
    </w:tbl>
    <w:p>
      <w:r>
        <w:t>Focused command: ./amps --tests turbulence --test-format text --test-output test_output/turbulence. Routine target: make test-turbulence. Stress variants add high spectral resolution, many field lines, large particle counts, multiple seeds, thread schedules, and MPI decompositions. All cases write machine-readable metrics and fail the process when a required assertion fails.</w:t>
      </w:r>
    </w:p>
    <w:p>
      <w:pPr>
        <w:pStyle w:val="Heading2"/>
      </w:pPr>
      <w:r>
        <w:t>11.6 Scientific validation campaign</w:t>
      </w:r>
    </w:p>
    <w:p>
      <w:r>
        <w:t>The following cases distinguish code verification from scientific validation. TV01-TV03 test equations and numerical implementation. TV04 tests agreement with an external heliospheric turbulence model under matched inputs. TV05-TV07 test individual observable consequences. TV08 measures end-to-end SEP skill and the incremental value of self-consistent turbulence.</w:t>
      </w:r>
    </w:p>
    <w:p>
      <w:pPr>
        <w:pStyle w:val="Heading3"/>
      </w:pPr>
      <w:r>
        <w:t>TV01 Manufactured turbulence-transport solution</w:t>
      </w:r>
    </w:p>
    <w:p>
      <w:r>
        <w:rPr>
          <w:b/>
        </w:rPr>
        <w:t xml:space="preserve">What is tested  </w:t>
      </w:r>
      <w:r>
        <w:t>The complete advection-reflection-cascade driver against a field-line solution constructed with analytic source terms.</w:t>
      </w:r>
    </w:p>
    <w:p>
      <w:r>
        <w:rPr>
          <w:b/>
        </w:rPr>
        <w:t xml:space="preserve">Why it is tested  </w:t>
      </w:r>
      <w:r>
        <w:t>Component tests can miss cancellation or stale-state errors that appear only when all operators are active.</w:t>
      </w:r>
    </w:p>
    <w:p>
      <w:r>
        <w:rPr>
          <w:b/>
        </w:rPr>
        <w:t xml:space="preserve">How it is tested  </w:t>
      </w:r>
      <w:r>
        <w:t>Prescribe smooth u_parallel(s,t), v_A(s,t), tube area, E+(s,t), E-(s,t), and optionally E(k,s,t). Derive forcing terms independently, run at three or more spatial and temporal resolutions, and calculate L1, L2, and conservation residuals.</w:t>
      </w:r>
    </w:p>
    <w:p>
      <w:r>
        <w:rPr>
          <w:b/>
        </w:rPr>
        <w:t xml:space="preserve">Expected result  </w:t>
      </w:r>
      <w:r>
        <w:t>Observed convergence matches the documented order, total balance closes after including manufactured sources, and integrated/spectral diagnostics remain synchronized. Failure means a numerical implementation defect, not poor physical calibration.</w:t>
      </w:r>
    </w:p>
    <w:p>
      <w:pPr>
        <w:pStyle w:val="Heading3"/>
      </w:pPr>
      <w:r>
        <w:t>TV02 Integrated versus wave-number-resolved common-limit comparison</w:t>
      </w:r>
    </w:p>
    <w:p>
      <w:r>
        <w:rPr>
          <w:b/>
        </w:rPr>
        <w:t xml:space="preserve">What is tested  </w:t>
      </w:r>
      <w:r>
        <w:t>Whether the integrated and spectral models agree when initialized with the same Kolmogorov spectrum and reduced with identical closure assumptions.</w:t>
      </w:r>
    </w:p>
    <w:p>
      <w:r>
        <w:rPr>
          <w:b/>
        </w:rPr>
        <w:t xml:space="preserve">Why it is tested  </w:t>
      </w:r>
      <w:r>
        <w:t>The two representations should differ only where spectral physics is intentionally retained. Unexplained differences indicate normalization or operator inconsistency.</w:t>
      </w:r>
    </w:p>
    <w:p>
      <w:r>
        <w:rPr>
          <w:b/>
        </w:rPr>
        <w:t xml:space="preserve">How it is tested  </w:t>
      </w:r>
      <w:r>
        <w:t>Disable resonance-localized forcing and configure matched branch totals, cascade coefficients, boundaries, and effective correlation scale. Compare radial W+/W-, cross helicity, dissipated energy, and coefficients after successive resolution refinement.</w:t>
      </w:r>
    </w:p>
    <w:p>
      <w:r>
        <w:rPr>
          <w:b/>
        </w:rPr>
        <w:t xml:space="preserve">Expected result  </w:t>
      </w:r>
      <w:r>
        <w:t>The common observables converge to a predeclared agreement band. Remaining differences must scale with a named spectral approximation; otherwise the representations are not interchangeable.</w:t>
      </w:r>
    </w:p>
    <w:p>
      <w:pPr>
        <w:pStyle w:val="Heading3"/>
      </w:pPr>
      <w:r>
        <w:t>TV03 Independent one-dimensional turbulence solver benchmark</w:t>
      </w:r>
    </w:p>
    <w:p>
      <w:r>
        <w:rPr>
          <w:b/>
        </w:rPr>
        <w:t xml:space="preserve">What is tested  </w:t>
      </w:r>
      <w:r>
        <w:t>srcSEP wave evolution against a small independent finite-volume/reference solver that shares no production flux, indexing, boundary, or reduction code.</w:t>
      </w:r>
    </w:p>
    <w:p>
      <w:r>
        <w:rPr>
          <w:b/>
        </w:rPr>
        <w:t xml:space="preserve">Why it is tested  </w:t>
      </w:r>
      <w:r>
        <w:t>A production routine used as its own reference cannot expose correlated implementation errors.</w:t>
      </w:r>
    </w:p>
    <w:p>
      <w:r>
        <w:rPr>
          <w:b/>
        </w:rPr>
        <w:t xml:space="preserve">How it is tested  </w:t>
      </w:r>
      <w:r>
        <w:t>Export one frozen Parker-line background and configuration. Solve the same branch transport, reflection, and cascade equations with a high-resolution independent runner, then compare profiles, characteristic travel times, integrated energy, boundary flux, and dissipation over time.</w:t>
      </w:r>
    </w:p>
    <w:p>
      <w:r>
        <w:rPr>
          <w:b/>
        </w:rPr>
        <w:t xml:space="preserve">Expected result  </w:t>
      </w:r>
      <w:r>
        <w:t>Differences decrease with resolution and satisfy preregistered profile and budget tolerances. A mismatch localizes whether the issue is equation interpretation, boundary treatment, or implementation.</w:t>
      </w:r>
    </w:p>
    <w:p>
      <w:pPr>
        <w:pStyle w:val="Heading3"/>
      </w:pPr>
      <w:r>
        <w:t>TV04 SWMF or AWSoM-R turbulence replay</w:t>
      </w:r>
    </w:p>
    <w:p>
      <w:r>
        <w:rPr>
          <w:b/>
        </w:rPr>
        <w:t xml:space="preserve">What is tested  </w:t>
      </w:r>
      <w:r>
        <w:t>Self-consistent srcSEP turbulence against SWMF/AWSoM-R wave-energy output sampled along the same magnetic field line or against a frozen SWMF field-line time history.</w:t>
      </w:r>
    </w:p>
    <w:p>
      <w:r>
        <w:rPr>
          <w:b/>
        </w:rPr>
        <w:t xml:space="preserve">Why it is tested  </w:t>
      </w:r>
      <w:r>
        <w:t>This tests whether srcSEP can reproduce or meaningfully continue an externally modeled heliospheric turbulence state and validates the handoff contract.</w:t>
      </w:r>
    </w:p>
    <w:p>
      <w:r>
        <w:rPr>
          <w:b/>
        </w:rPr>
        <w:t xml:space="preserve">How it is tested  </w:t>
      </w:r>
      <w:r>
        <w:t>Obtain field-line geometry, plasma density and velocity, magnetic field, and outward/inward wave-energy variables from the same SWMF/AWSoM-R run. Match definitions, units, boundaries, and cadence; initialize srcSEP at a common epoch; compare radial/time profiles and repeat in read-only and initial-then-local modes.</w:t>
      </w:r>
    </w:p>
    <w:p>
      <w:r>
        <w:rPr>
          <w:b/>
        </w:rPr>
        <w:t xml:space="preserve">Expected result  </w:t>
      </w:r>
      <w:r>
        <w:t>Read-only replay is exact after documented variable conversion. Local evolution preserves the handoff state at t0 and differences thereafter are attributable to explicitly different equations or coefficients. This comparison validates coupling consistency, not observational truth.</w:t>
      </w:r>
    </w:p>
    <w:p>
      <w:pPr>
        <w:pStyle w:val="Heading3"/>
      </w:pPr>
      <w:r>
        <w:t>TV05 Observed radial turbulence evolution</w:t>
      </w:r>
    </w:p>
    <w:p>
      <w:r>
        <w:rPr>
          <w:b/>
        </w:rPr>
        <w:t xml:space="preserve">What is tested  </w:t>
      </w:r>
      <w:r>
        <w:t>Radial trends of magnetic fluctuation energy, outward/inward imbalance or normalized cross helicity, correlation scale, and inertial-range spectral slope from the inner heliosphere to 1 AU.</w:t>
      </w:r>
    </w:p>
    <w:p>
      <w:r>
        <w:rPr>
          <w:b/>
        </w:rPr>
        <w:t xml:space="preserve">Why it is tested  </w:t>
      </w:r>
      <w:r>
        <w:t>The self-consistent model must reproduce the background turbulence that controls SEP scattering before it is judged by SEP-event output.</w:t>
      </w:r>
    </w:p>
    <w:p>
      <w:r>
        <w:rPr>
          <w:b/>
        </w:rPr>
        <w:t xml:space="preserve">How it is tested  </w:t>
      </w:r>
      <w:r>
        <w:t>Use calibrated magnetic-field and plasma products from Parker Solar Probe FIELDS/SWEAP, Solar Orbiter MAG/SWA, Helios 1/2, and Wind or OMNI near 1 AU. Select quiet solar-wind intervals by speed, polarity, transient exclusion, and averaging scale. Compute observational quantities with the same definitions and filters used for model output, then compare radial bins and uncertainty intervals.</w:t>
      </w:r>
    </w:p>
    <w:p>
      <w:r>
        <w:rPr>
          <w:b/>
        </w:rPr>
        <w:t xml:space="preserve">Expected result  </w:t>
      </w:r>
      <w:r>
        <w:t>The model reproduces the sign and approximate magnitude of radial slopes, reasonable branch imbalance, correlation scale, and spectral slope within observational variability. Agreement supports background realism; disagreement identifies boundary, reflection, or cascade calibration needs and must not be hidden by SEP source tuning.</w:t>
      </w:r>
    </w:p>
    <w:p>
      <w:pPr>
        <w:pStyle w:val="Heading3"/>
      </w:pPr>
      <w:r>
        <w:t>TV06 Turbulence-derived SEP scattering constraints</w:t>
      </w:r>
    </w:p>
    <w:p>
      <w:r>
        <w:rPr>
          <w:b/>
        </w:rPr>
        <w:t xml:space="preserve">What is tested  </w:t>
      </w:r>
      <w:r>
        <w:t>Dmu-mu(mu,p,r), parallel mean free path, and kappa_parallel derived from modeled turbulence against empirical or event-inferred scattering constraints.</w:t>
      </w:r>
    </w:p>
    <w:p>
      <w:r>
        <w:rPr>
          <w:b/>
        </w:rPr>
        <w:t xml:space="preserve">Why it is tested  </w:t>
      </w:r>
      <w:r>
        <w:t>A turbulence field can match total fluctuation power while placing the wrong power at resonant scales, producing incorrect SEP transport.</w:t>
      </w:r>
    </w:p>
    <w:p>
      <w:r>
        <w:rPr>
          <w:b/>
        </w:rPr>
        <w:t xml:space="preserve">How it is tested  </w:t>
      </w:r>
      <w:r>
        <w:t>For selected heliocentric intervals, calculate coefficients from measured spectra using the same declared resonance/QLT closure and from model spectra. Compare mu dependence, rigidity dependence, radial dependence, and integral lambda_parallel. Include published inversion ranges as uncertain constraints rather than exact truth.</w:t>
      </w:r>
    </w:p>
    <w:p>
      <w:r>
        <w:rPr>
          <w:b/>
        </w:rPr>
        <w:t xml:space="preserve">Expected result  </w:t>
      </w:r>
      <w:r>
        <w:t>Modeled coefficients overlap credible observational/inversion ranges and reproduce expected trends. This is a closure validation; failure can arise from the turbulence spectrum, resonance approximation, or inversion assumptions and must be diagnosed separately.</w:t>
      </w:r>
    </w:p>
    <w:p>
      <w:pPr>
        <w:pStyle w:val="Heading3"/>
      </w:pPr>
      <w:r>
        <w:t>TV07 SEP streaming and wave-growth event validation</w:t>
      </w:r>
    </w:p>
    <w:p>
      <w:r>
        <w:rPr>
          <w:b/>
        </w:rPr>
        <w:t xml:space="preserve">What is tested  </w:t>
      </w:r>
      <w:r>
        <w:t>The sign, location, timing, and magnitude of particle-driven wave amplification and its feedback on SEP anisotropy and scattering near a connected shock or intense streaming interval.</w:t>
      </w:r>
    </w:p>
    <w:p>
      <w:r>
        <w:rPr>
          <w:b/>
        </w:rPr>
        <w:t xml:space="preserve">Why it is tested  </w:t>
      </w:r>
      <w:r>
        <w:t>Particle-wave feedback is the defining difference between prescribed and self-consistent turbulence and should be tested directly where suitable observations exist.</w:t>
      </w:r>
    </w:p>
    <w:p>
      <w:r>
        <w:rPr>
          <w:b/>
        </w:rPr>
        <w:t xml:space="preserve">How it is tested  </w:t>
      </w:r>
      <w:r>
        <w:t>Select an event with magnetic-field spectra, plasma, energetic-particle intensity, energy spectra, and pitch-angle/anisotropy coverage from the same spacecraft. Drive all modes with the same field line, shock, and particle source. Compare wave-power enhancement at resonant frequencies, branch preference, onset relative to SEP streaming, anisotropy reduction, and energy-ledger exchange.</w:t>
      </w:r>
    </w:p>
    <w:p>
      <w:r>
        <w:rPr>
          <w:b/>
        </w:rPr>
        <w:t xml:space="preserve">Expected result  </w:t>
      </w:r>
      <w:r>
        <w:t>The model predicts the observed qualitative branch/sign response and timing and improves preregistered quantitative metrics without violating particle-wave energy closure. A better SEP intensity alone is insufficient if the modeled wave response has the wrong sign or timing.</w:t>
      </w:r>
    </w:p>
    <w:p>
      <w:pPr>
        <w:pStyle w:val="Heading3"/>
      </w:pPr>
      <w:r>
        <w:t>TV08 End-to-end multi-event turbulence skill and added value</w:t>
      </w:r>
    </w:p>
    <w:p>
      <w:r>
        <w:rPr>
          <w:b/>
        </w:rPr>
        <w:t xml:space="preserve">What is tested  </w:t>
      </w:r>
      <w:r>
        <w:t>SEP onset, peak intensity, fluence, decay, spectrum, and anisotropy across prescribed, SWMF-read-only, self-consistent integrated, and self-consistent spectral turbulence choices.</w:t>
      </w:r>
    </w:p>
    <w:p>
      <w:r>
        <w:rPr>
          <w:b/>
        </w:rPr>
        <w:t xml:space="preserve">Why it is tested  </w:t>
      </w:r>
      <w:r>
        <w:t>The production decision should be based on reproducible predictive benefit, not on a single tuned event.</w:t>
      </w:r>
    </w:p>
    <w:p>
      <w:r>
        <w:rPr>
          <w:b/>
        </w:rPr>
        <w:t xml:space="preserve">How it is tested  </w:t>
      </w:r>
      <w:r>
        <w:t>Use a frozen training/calibration subset and held-out events spanning shock strength, connection angle, solar-wind speed, and heliocentric distance. Keep injection and background assumptions matched across turbulence modes. Report event-wise and aggregate error, reliability, runtime, limiter activity, and missing-data coverage with bootstrap intervals.</w:t>
      </w:r>
    </w:p>
    <w:p>
      <w:r>
        <w:rPr>
          <w:b/>
        </w:rPr>
        <w:t xml:space="preserve">Expected result  </w:t>
      </w:r>
      <w:r>
        <w:t>Self-consistent modes are accepted as scientifically beneficial when they improve preregistered held-out metrics or explain turbulence observables without compensating source retuning, while satisfying all numerical gates. Neutral results define the model's valid scope; degradation triggers physics review rather than threshold relaxation.</w:t>
      </w:r>
    </w:p>
    <w:p>
      <w:pPr>
        <w:pStyle w:val="Heading2"/>
      </w:pPr>
      <w:r>
        <w:t>11.7 Data provenance and comparison rules</w:t>
      </w:r>
    </w:p>
    <w:p>
      <w:r>
        <w:t>•  Every observational interval records mission, instrument, product level/version, variable names, cadence, coordinate system, download URL or persistent identifier, access date, license/acknowledgment, quality flags, and SHA-256 checksum.</w:t>
      </w:r>
    </w:p>
    <w:p>
      <w:r>
        <w:t>•  Raw data are immutable. Conversion, interval selection, gap handling, despiking, coordinate rotation, spectral estimation, and averaging are scripted and version controlled. Processed data include a manifest back to every raw file.</w:t>
      </w:r>
    </w:p>
    <w:p>
      <w:r>
        <w:t>•  Model sampling reproduces the observational cadence, window, passband, and estimator. A point value is not compared with a windowed power spectrum without an explicit forward operator.</w:t>
      </w:r>
    </w:p>
    <w:p>
      <w:r>
        <w:t>•  Thresholds and primary metrics are declared before inspecting the held-out events. Parameter calibration and evaluation events are disjoint.</w:t>
      </w:r>
    </w:p>
    <w:p>
      <w:r>
        <w:t>•  Numerical verification uses hard pass/fail tolerances. Cross-model and observational comparisons report uncertainty and meaning: agreement can support consistency or skill but cannot prove uniqueness of the turbulence closure.</w:t>
      </w:r>
    </w:p>
    <w:p>
      <w:r>
        <w:t>•  All campaigns archive the mover, turbulence mode, coefficients, injection settings, background and shock source, seeds, compiler/build identity, MPI/thread layout, input hashes, output schema, and complete energy ledgers.</w:t>
      </w:r>
    </w:p>
    <w:p>
      <w:pPr>
        <w:pStyle w:val="Heading2"/>
      </w:pPr>
      <w:r>
        <w:t>11.8 Production acceptance gates</w:t>
      </w:r>
    </w:p>
    <w:p>
      <w:r>
        <w:rPr>
          <w:b/>
        </w:rPr>
        <w:t xml:space="preserve">Gate T0 - contract.  </w:t>
      </w:r>
      <w:r>
        <w:t>Ownership, units, branch convention, authoritative representation, and coefficient adapters are documented and TURB01/TURB03-TURB05 pass.</w:t>
      </w:r>
    </w:p>
    <w:p>
      <w:r>
        <w:rPr>
          <w:b/>
        </w:rPr>
        <w:t xml:space="preserve">Gate T1 - isolated physics.  </w:t>
      </w:r>
      <w:r>
        <w:t>Advection, CFL, boundaries, reflection, cascade, growth, resonance, and shock injection pass TURB06-TURB13 with expected convergence and budgets.</w:t>
      </w:r>
    </w:p>
    <w:p>
      <w:r>
        <w:rPr>
          <w:b/>
        </w:rPr>
        <w:t xml:space="preserve">Gate T2 - coupled numerics.  </w:t>
      </w:r>
      <w:r>
        <w:t>Particle-wave energy closure, operator splitting, positivity, and field-line remap pass TURB02/TURB14-TURB16 without unreported corrections.</w:t>
      </w:r>
    </w:p>
    <w:p>
      <w:r>
        <w:rPr>
          <w:b/>
        </w:rPr>
        <w:t xml:space="preserve">Gate T3 - execution integrity.  </w:t>
      </w:r>
      <w:r>
        <w:t>Restart, thread/MPI reproducibility, three-mover compatibility, and standalone/coupled equivalence pass TURB17-TURB20.</w:t>
      </w:r>
    </w:p>
    <w:p>
      <w:r>
        <w:rPr>
          <w:b/>
        </w:rPr>
        <w:t xml:space="preserve">Gate T4 - independent verification.  </w:t>
      </w:r>
      <w:r>
        <w:t>TV01-TV03 pass with frozen reference runners, input checksums, and convergence evidence.</w:t>
      </w:r>
    </w:p>
    <w:p>
      <w:r>
        <w:rPr>
          <w:b/>
        </w:rPr>
        <w:t xml:space="preserve">Gate T5 - external consistency.  </w:t>
      </w:r>
      <w:r>
        <w:t>TV04 completes with every equation/variable-definition difference documented; read-only replay remains exact.</w:t>
      </w:r>
    </w:p>
    <w:p>
      <w:r>
        <w:rPr>
          <w:b/>
        </w:rPr>
        <w:t xml:space="preserve">Gate T6 - observational readiness.  </w:t>
      </w:r>
      <w:r>
        <w:t>TV05 and TV06 establish credible background and scattering behavior before any event-skill claim.</w:t>
      </w:r>
    </w:p>
    <w:p>
      <w:r>
        <w:rPr>
          <w:b/>
        </w:rPr>
        <w:t xml:space="preserve">Gate T7 - event validation.  </w:t>
      </w:r>
      <w:r>
        <w:t>TV07-TV08 complete with held-out cases, uncertainty, runtime, and failure/limiter reporting. Results define the validated scope of each turbulence mode.</w:t>
      </w:r>
    </w:p>
    <w:p>
      <w:pPr>
        <w:pStyle w:val="Heading2"/>
      </w:pPr>
      <w:r>
        <w:t>11.9 Recommended turbulence-focused commits</w:t>
      </w:r>
    </w:p>
    <w:tbl>
      <w:tblPr>
        <w:tblStyle w:val="TableGrid"/>
        <w:tblW w:type="auto" w:w="0"/>
        <w:tblLook w:firstColumn="1" w:firstRow="1" w:lastColumn="0" w:lastRow="0" w:noHBand="0" w:noVBand="1" w:val="04A0"/>
      </w:tblPr>
      <w:tblGrid>
        <w:gridCol w:w="4997"/>
        <w:gridCol w:w="4997"/>
      </w:tblGrid>
      <w:tr>
        <w:tc>
          <w:tcPr>
            <w:tcW w:type="dxa" w:w="4997"/>
            <w:shd w:fill="D9EAF7"/>
          </w:tcPr>
          <w:p>
            <w:r>
              <w:t>Order</w:t>
            </w:r>
          </w:p>
        </w:tc>
        <w:tc>
          <w:tcPr>
            <w:tcW w:type="dxa" w:w="4997"/>
            <w:shd w:fill="D9EAF7"/>
          </w:tcPr>
          <w:p>
            <w:r>
              <w:t>Commit subject</w:t>
            </w:r>
          </w:p>
        </w:tc>
      </w:tr>
      <w:tr>
        <w:tc>
          <w:tcPr>
            <w:tcW w:type="dxa" w:w="4997"/>
          </w:tcPr>
          <w:p>
            <w:r>
              <w:t>1</w:t>
            </w:r>
          </w:p>
        </w:tc>
        <w:tc>
          <w:tcPr>
            <w:tcW w:type="dxa" w:w="4997"/>
          </w:tcPr>
          <w:p>
            <w:r>
              <w:t>refactor(turbulence): define source modes ownership and state contract</w:t>
            </w:r>
          </w:p>
        </w:tc>
      </w:tr>
      <w:tr>
        <w:tc>
          <w:tcPr>
            <w:tcW w:type="dxa" w:w="4997"/>
          </w:tcPr>
          <w:p>
            <w:r>
              <w:t>2</w:t>
            </w:r>
          </w:p>
        </w:tc>
        <w:tc>
          <w:tcPr>
            <w:tcW w:type="dxa" w:w="4997"/>
          </w:tcPr>
          <w:p>
            <w:r>
              <w:t>fix(turbulence): standardize wave-energy units volume and branch conventions</w:t>
            </w:r>
          </w:p>
        </w:tc>
      </w:tr>
      <w:tr>
        <w:tc>
          <w:tcPr>
            <w:tcW w:type="dxa" w:w="4997"/>
          </w:tcPr>
          <w:p>
            <w:r>
              <w:t>3</w:t>
            </w:r>
          </w:p>
        </w:tc>
        <w:tc>
          <w:tcPr>
            <w:tcW w:type="dxa" w:w="4997"/>
          </w:tcPr>
          <w:p>
            <w:r>
              <w:t>refactor(turbulence): make integrated and spectral state authoritative by mode</w:t>
            </w:r>
          </w:p>
        </w:tc>
      </w:tr>
      <w:tr>
        <w:tc>
          <w:tcPr>
            <w:tcW w:type="dxa" w:w="4997"/>
          </w:tcPr>
          <w:p>
            <w:r>
              <w:t>4</w:t>
            </w:r>
          </w:p>
        </w:tc>
        <w:tc>
          <w:tcPr>
            <w:tcW w:type="dxa" w:w="4997"/>
          </w:tcPr>
          <w:p>
            <w:r>
              <w:t>fix(turbulence): make initialization and characteristic boundaries restartable</w:t>
            </w:r>
          </w:p>
        </w:tc>
      </w:tr>
      <w:tr>
        <w:tc>
          <w:tcPr>
            <w:tcW w:type="dxa" w:w="4997"/>
          </w:tcPr>
          <w:p>
            <w:r>
              <w:t>5</w:t>
            </w:r>
          </w:p>
        </w:tc>
        <w:tc>
          <w:tcPr>
            <w:tcW w:type="dxa" w:w="4997"/>
          </w:tcPr>
          <w:p>
            <w:r>
              <w:t>fix(turbulence): conserve branch energy in nonuniform advection</w:t>
            </w:r>
          </w:p>
        </w:tc>
      </w:tr>
      <w:tr>
        <w:tc>
          <w:tcPr>
            <w:tcW w:type="dxa" w:w="4997"/>
          </w:tcPr>
          <w:p>
            <w:r>
              <w:t>6</w:t>
            </w:r>
          </w:p>
        </w:tc>
        <w:tc>
          <w:tcPr>
            <w:tcW w:type="dxa" w:w="4997"/>
          </w:tcPr>
          <w:p>
            <w:r>
              <w:t>fix(turbulence): close reflection cascade and dissipation budgets</w:t>
            </w:r>
          </w:p>
        </w:tc>
      </w:tr>
      <w:tr>
        <w:tc>
          <w:tcPr>
            <w:tcW w:type="dxa" w:w="4997"/>
          </w:tcPr>
          <w:p>
            <w:r>
              <w:t>7</w:t>
            </w:r>
          </w:p>
        </w:tc>
        <w:tc>
          <w:tcPr>
            <w:tcW w:type="dxa" w:w="4997"/>
          </w:tcPr>
          <w:p>
            <w:r>
              <w:t>fix(turbulence): make particle-wave exchange conservative and reproducible</w:t>
            </w:r>
          </w:p>
        </w:tc>
      </w:tr>
      <w:tr>
        <w:tc>
          <w:tcPr>
            <w:tcW w:type="dxa" w:w="4997"/>
          </w:tcPr>
          <w:p>
            <w:r>
              <w:t>8</w:t>
            </w:r>
          </w:p>
        </w:tc>
        <w:tc>
          <w:tcPr>
            <w:tcW w:type="dxa" w:w="4997"/>
          </w:tcPr>
          <w:p>
            <w:r>
              <w:t>fix(turbulence): normalize shock wave-energy injection</w:t>
            </w:r>
          </w:p>
        </w:tc>
      </w:tr>
      <w:tr>
        <w:tc>
          <w:tcPr>
            <w:tcW w:type="dxa" w:w="4997"/>
          </w:tcPr>
          <w:p>
            <w:r>
              <w:t>9</w:t>
            </w:r>
          </w:p>
        </w:tc>
        <w:tc>
          <w:tcPr>
            <w:tcW w:type="dxa" w:w="4997"/>
          </w:tcPr>
          <w:p>
            <w:r>
              <w:t>feat(turbulence): add centralized evolution driver and operator ledger</w:t>
            </w:r>
          </w:p>
        </w:tc>
      </w:tr>
      <w:tr>
        <w:tc>
          <w:tcPr>
            <w:tcW w:type="dxa" w:w="4997"/>
          </w:tcPr>
          <w:p>
            <w:r>
              <w:t>10</w:t>
            </w:r>
          </w:p>
        </w:tc>
        <w:tc>
          <w:tcPr>
            <w:tcW w:type="dxa" w:w="4997"/>
          </w:tcPr>
          <w:p>
            <w:r>
              <w:t>feat(turbulence): add conservative remap and complete checkpoints</w:t>
            </w:r>
          </w:p>
        </w:tc>
      </w:tr>
      <w:tr>
        <w:tc>
          <w:tcPr>
            <w:tcW w:type="dxa" w:w="4997"/>
          </w:tcPr>
          <w:p>
            <w:r>
              <w:t>11</w:t>
            </w:r>
          </w:p>
        </w:tc>
        <w:tc>
          <w:tcPr>
            <w:tcW w:type="dxa" w:w="4997"/>
          </w:tcPr>
          <w:p>
            <w:r>
              <w:t>test(turbulence): implement TURB01-TURB20 verification campaign</w:t>
            </w:r>
          </w:p>
        </w:tc>
      </w:tr>
      <w:tr>
        <w:tc>
          <w:tcPr>
            <w:tcW w:type="dxa" w:w="4997"/>
          </w:tcPr>
          <w:p>
            <w:r>
              <w:t>12</w:t>
            </w:r>
          </w:p>
        </w:tc>
        <w:tc>
          <w:tcPr>
            <w:tcW w:type="dxa" w:w="4997"/>
          </w:tcPr>
          <w:p>
            <w:r>
              <w:t>validation(turbulence): add TV01-TV08 reference and observational runners</w:t>
            </w:r>
          </w:p>
        </w:tc>
      </w:tr>
      <w:tr>
        <w:tc>
          <w:tcPr>
            <w:tcW w:type="dxa" w:w="4997"/>
          </w:tcPr>
          <w:p>
            <w:r>
              <w:t>13</w:t>
            </w:r>
          </w:p>
        </w:tc>
        <w:tc>
          <w:tcPr>
            <w:tcW w:type="dxa" w:w="4997"/>
          </w:tcPr>
          <w:p>
            <w:r>
              <w:t>docs(turbulence): document physics configuration provenance and validated scope</w:t>
            </w:r>
          </w:p>
        </w:tc>
      </w:tr>
    </w:tbl>
    <w:p>
      <w:pPr>
        <w:pStyle w:val="Heading2"/>
      </w:pPr>
      <w:r>
        <w:t>11.10 Definition of completion</w:t>
      </w:r>
    </w:p>
    <w:p>
      <w:r>
        <w:t>•  Self-consistent integrated and spectral turbulence are selectable production choices and are not tied implicitly to a historical mover symbol.</w:t>
      </w:r>
    </w:p>
    <w:p>
      <w:r>
        <w:t>•  All three production movers obtain their required transport coefficient through the same declared turbulence source and conversion contracts.</w:t>
      </w:r>
    </w:p>
    <w:p>
      <w:r>
        <w:t>•  Only the turbulence evolution driver mutates locally owned wave state; SWMF-read-only data remain immutable.</w:t>
      </w:r>
    </w:p>
    <w:p>
      <w:r>
        <w:t>•  Every enabled operator is conservative with respect to its declared sources and sinks, and the per-step energy ledger closes within tolerance.</w:t>
      </w:r>
    </w:p>
    <w:p>
      <w:r>
        <w:t>•  The model is stable, positive, reproducible, restartable, and conservative on nonuniform evolving field-line grids.</w:t>
      </w:r>
    </w:p>
    <w:p>
      <w:r>
        <w:t>•  TURB01-TURB20 and TV01-TV04 pass before observational campaigns begin; TV05-TV08 publish uncertainty and the validated domain rather than only pass/fail labels.</w:t>
      </w:r>
    </w:p>
    <w:p>
      <w:r>
        <w:t>•  README, CLI help, restart schema, output metadata, data manifests, reference runners, plots, and campaign reports reproduce the selected turbulence mode and all comparison metrics.</w:t>
      </w:r>
    </w:p>
    <w:sectPr w:rsidR="00FC693F" w:rsidRPr="0006063C" w:rsidSect="00034616">
      <w:footerReference w:type="default" r:id="rId9"/>
      <w:pgSz w:w="12240" w:h="15840"/>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8352"/>
      <w:gridCol w:w="1728"/>
    </w:tblGrid>
    <w:tr>
      <w:tc>
        <w:tcPr>
          <w:tcW w:type="dxa" w:w="5040"/>
        </w:tcPr>
        <w:p>
          <w:pPr>
            <w:jc w:val="left"/>
          </w:pPr>
          <w:r>
            <w:rPr>
              <w:color w:val="5F5F5F"/>
              <w:sz w:val="16"/>
            </w:rPr>
            <w:t>srcSEP field line transport improvement plan</w:t>
          </w:r>
        </w:p>
      </w:tc>
      <w:tc>
        <w:tcPr>
          <w:tcW w:type="dxa" w:w="5040"/>
        </w:tcPr>
        <w:p>
          <w:pPr>
            <w:jc w:val="right"/>
          </w:pPr>
          <w:r>
            <w:rPr>
              <w:color w:val="5F5F5F"/>
              <w:sz w:val="16"/>
            </w:rPr>
            <w:t xml:space="preserve">Page </w:t>
          </w:r>
          <w:r>
            <w:rPr>
              <w:color w:val="5F5F5F"/>
              <w:sz w:val="16"/>
            </w:rPr>
            <w:fldChar w:fldCharType="begin"/>
            <w:instrText xml:space="preserve">PAGE</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pPr>
    <w:rPr>
      <w:rFonts w:asciiTheme="majorHAnsi" w:eastAsiaTheme="majorEastAsia" w:hAnsiTheme="majorHAnsi" w:cstheme="majorBidi" w:ascii="Aptos" w:hAnsi="Aptos"/>
      <w:i/>
      <w:iCs/>
      <w:color w:val="46464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spacing w:after="6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ind w:left="360" w:right="144"/>
    </w:pPr>
    <w:rPr>
      <w:rFonts w:ascii="Courier New" w:hAnsi="Courier New"/>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srcSEP Field Line Transport Improvement Plan</dc:title>
  <dc:subject>Three production movers and standalone component testing</dc:subject>
  <dc:creator>srcSEP development team</dc:creator>
  <cp:keywords>srcSEP, SEP, field-line transport, Parker equation, focused transport, pitch-angle diffusion, mean free path, SWMF, SWCME, testing</cp:keywords>
  <dc:description>Implementation roadmap based on the supplied source snapshot</dc:description>
  <cp:lastModifiedBy/>
  <cp:revision>1</cp:revision>
  <dcterms:created xsi:type="dcterms:W3CDTF">2013-12-23T23:15:00Z</dcterms:created>
  <dcterms:modified xsi:type="dcterms:W3CDTF">2013-12-23T23:15:00Z</dcterms:modified>
  <cp:category/>
</cp:coreProperties>
</file>