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AMPS SEP Geospace Validation Campaign</w:t>
      </w:r>
    </w:p>
    <w:p>
      <w:pPr>
        <w:jc w:val="center"/>
      </w:pPr>
      <w:r>
        <w:t>Reconciled v8 - Implemented Tests, Planned Tests, Acceptance Logic, and Reference Products</w:t>
      </w:r>
    </w:p>
    <w:p>
      <w:pPr>
        <w:jc w:val="center"/>
      </w:pPr>
      <w:r>
        <w:t>24 August 2026</w:t>
      </w:r>
    </w:p>
    <w:p>
      <w:r>
        <w:t>Scope. This revision reconciles the validation descriptions with the supplied all-test(1).tar snapshot. The archive contains 24 implemented test directories: 15 cutoff-rigidity tests (including C19) and 9 density/flux tests. Descriptions without a matching archive directory are retained as planned specifications and are labelled accordingly.</w:t>
      </w:r>
    </w:p>
    <w:p>
      <w:r>
        <w:t>Changes in this revision. Corrected the implemented-test inventory, parser/runner settings, locations, units, comparison quantities, and acceptance gates for C2-C7, C11-C12, C14, C17, F3-F5, F11-F12, F15-F16; replaced the stale seed-file appendix; and added the complete implemented C19/C19A GOES EPEAD East-West validation contract.</w:t>
      </w:r>
    </w:p>
    <w:p>
      <w:pPr>
        <w:pStyle w:val="Heading1"/>
        <w:keepNext/>
        <w:pageBreakBefore w:val="0"/>
      </w:pPr>
      <w:r>
        <w:t>1. Current archive implementation status</w:t>
      </w:r>
    </w:p>
    <w:tbl>
      <w:tblPr>
        <w:tblStyle w:val="TableGrid"/>
        <w:tblW w:type="dxa" w:w="9360"/>
        <w:jc w:val="center"/>
        <w:tblLayout w:type="fixed"/>
        <w:tblLook w:firstColumn="1" w:firstRow="1" w:lastColumn="0" w:lastRow="0" w:noHBand="0" w:noVBand="1" w:val="04A0"/>
      </w:tblPr>
      <w:tblGrid>
        <w:gridCol w:w="2500"/>
        <w:gridCol w:w="6860"/>
      </w:tblGrid>
      <w:tr>
        <w:trPr>
          <w:tblHeader w:val="true"/>
        </w:trPr>
        <w:tc>
          <w:tcPr>
            <w:tcW w:type="dxa" w:w="2500"/>
            <w:shd w:fill="D9EAF7"/>
            <w:vAlign w:val="center"/>
            <w:tcMar>
              <w:top w:w="90" w:type="dxa"/>
              <w:start w:w="110" w:type="dxa"/>
              <w:bottom w:w="90" w:type="dxa"/>
              <w:end w:w="110" w:type="dxa"/>
            </w:tcMar>
            <w:shd w:fill="D9EAF7"/>
          </w:tcPr>
          <w:p>
            <w:pPr>
              <w:spacing w:before="0" w:after="0" w:line="240" w:lineRule="auto"/>
            </w:pPr>
            <w:r>
              <w:rPr>
                <w:b/>
                <w:color w:val="1F4E78"/>
                <w:sz w:val="17"/>
              </w:rPr>
              <w:t>Archive category</w:t>
            </w:r>
          </w:p>
        </w:tc>
        <w:tc>
          <w:tcPr>
            <w:tcW w:type="dxa" w:w="6860"/>
            <w:shd w:fill="D9EAF7"/>
            <w:vAlign w:val="center"/>
            <w:tcMar>
              <w:top w:w="90" w:type="dxa"/>
              <w:start w:w="110" w:type="dxa"/>
              <w:bottom w:w="90" w:type="dxa"/>
              <w:end w:w="110" w:type="dxa"/>
            </w:tcMar>
            <w:shd w:fill="D9EAF7"/>
          </w:tcPr>
          <w:p>
            <w:pPr>
              <w:spacing w:before="0" w:after="0" w:line="240" w:lineRule="auto"/>
            </w:pPr>
            <w:r>
              <w:rPr>
                <w:b/>
                <w:color w:val="1F4E78"/>
                <w:sz w:val="17"/>
              </w:rPr>
              <w:t>Reconciled coverage</w:t>
            </w:r>
          </w:p>
        </w:tc>
      </w:tr>
      <w:tr>
        <w:tc>
          <w:tcPr>
            <w:tcW w:type="dxa" w:w="2500"/>
            <w:vAlign w:val="center"/>
            <w:tcMar>
              <w:top w:w="90" w:type="dxa"/>
              <w:start w:w="110" w:type="dxa"/>
              <w:bottom w:w="90" w:type="dxa"/>
              <w:end w:w="110" w:type="dxa"/>
            </w:tcMar>
          </w:tcPr>
          <w:p>
            <w:pPr>
              <w:spacing w:before="0" w:after="0" w:line="240" w:lineRule="auto"/>
            </w:pPr>
            <w:r>
              <w:rPr>
                <w:sz w:val="17"/>
              </w:rPr>
              <w:t>Implemented cutoff tests</w:t>
            </w:r>
          </w:p>
        </w:tc>
        <w:tc>
          <w:tcPr>
            <w:tcW w:type="dxa" w:w="6860"/>
            <w:vAlign w:val="center"/>
            <w:tcMar>
              <w:top w:w="90" w:type="dxa"/>
              <w:start w:w="110" w:type="dxa"/>
              <w:bottom w:w="90" w:type="dxa"/>
              <w:end w:w="110" w:type="dxa"/>
            </w:tcMar>
          </w:tcPr>
          <w:p>
            <w:pPr>
              <w:spacing w:before="0" w:after="0" w:line="240" w:lineRule="auto"/>
            </w:pPr>
            <w:r>
              <w:rPr>
                <w:sz w:val="17"/>
              </w:rPr>
              <w:t>C1, C2, C3, C4, C5, C6, C7, C9, C10, C11, C12, C14, C17, C18, C19</w:t>
            </w:r>
          </w:p>
        </w:tc>
      </w:tr>
      <w:tr>
        <w:tc>
          <w:tcPr>
            <w:tcW w:type="dxa" w:w="2500"/>
            <w:vAlign w:val="center"/>
            <w:tcMar>
              <w:top w:w="90" w:type="dxa"/>
              <w:start w:w="110" w:type="dxa"/>
              <w:bottom w:w="90" w:type="dxa"/>
              <w:end w:w="110" w:type="dxa"/>
            </w:tcMar>
          </w:tcPr>
          <w:p>
            <w:pPr>
              <w:spacing w:before="0" w:after="0" w:line="240" w:lineRule="auto"/>
            </w:pPr>
            <w:r>
              <w:rPr>
                <w:sz w:val="17"/>
              </w:rPr>
              <w:t>Planned cutoff descriptions</w:t>
            </w:r>
          </w:p>
        </w:tc>
        <w:tc>
          <w:tcPr>
            <w:tcW w:type="dxa" w:w="6860"/>
            <w:vAlign w:val="center"/>
            <w:tcMar>
              <w:top w:w="90" w:type="dxa"/>
              <w:start w:w="110" w:type="dxa"/>
              <w:bottom w:w="90" w:type="dxa"/>
              <w:end w:w="110" w:type="dxa"/>
            </w:tcMar>
          </w:tcPr>
          <w:p>
            <w:pPr>
              <w:spacing w:before="0" w:after="0" w:line="240" w:lineRule="auto"/>
            </w:pPr>
            <w:r>
              <w:rPr>
                <w:sz w:val="17"/>
              </w:rPr>
              <w:t>C8, C13, C15, C16, C-PARALLEL</w:t>
            </w:r>
          </w:p>
        </w:tc>
      </w:tr>
      <w:tr>
        <w:tc>
          <w:tcPr>
            <w:tcW w:type="dxa" w:w="2500"/>
            <w:vAlign w:val="center"/>
            <w:tcMar>
              <w:top w:w="90" w:type="dxa"/>
              <w:start w:w="110" w:type="dxa"/>
              <w:bottom w:w="90" w:type="dxa"/>
              <w:end w:w="110" w:type="dxa"/>
            </w:tcMar>
          </w:tcPr>
          <w:p>
            <w:pPr>
              <w:spacing w:before="0" w:after="0" w:line="240" w:lineRule="auto"/>
            </w:pPr>
            <w:r>
              <w:rPr>
                <w:sz w:val="17"/>
              </w:rPr>
              <w:t>Implemented density/flux tests</w:t>
            </w:r>
          </w:p>
        </w:tc>
        <w:tc>
          <w:tcPr>
            <w:tcW w:type="dxa" w:w="6860"/>
            <w:vAlign w:val="center"/>
            <w:tcMar>
              <w:top w:w="90" w:type="dxa"/>
              <w:start w:w="110" w:type="dxa"/>
              <w:bottom w:w="90" w:type="dxa"/>
              <w:end w:w="110" w:type="dxa"/>
            </w:tcMar>
          </w:tcPr>
          <w:p>
            <w:pPr>
              <w:spacing w:before="0" w:after="0" w:line="240" w:lineRule="auto"/>
            </w:pPr>
            <w:r>
              <w:rPr>
                <w:sz w:val="17"/>
              </w:rPr>
              <w:t>F1, F2, F3, F4, F5, F11, F12, F15, F16</w:t>
            </w:r>
          </w:p>
        </w:tc>
      </w:tr>
      <w:tr>
        <w:tc>
          <w:tcPr>
            <w:tcW w:type="dxa" w:w="2500"/>
            <w:vAlign w:val="center"/>
            <w:tcMar>
              <w:top w:w="90" w:type="dxa"/>
              <w:start w:w="110" w:type="dxa"/>
              <w:bottom w:w="90" w:type="dxa"/>
              <w:end w:w="110" w:type="dxa"/>
            </w:tcMar>
          </w:tcPr>
          <w:p>
            <w:pPr>
              <w:spacing w:before="0" w:after="0" w:line="240" w:lineRule="auto"/>
            </w:pPr>
            <w:r>
              <w:rPr>
                <w:sz w:val="17"/>
              </w:rPr>
              <w:t>Planned density/flux descriptions</w:t>
            </w:r>
          </w:p>
        </w:tc>
        <w:tc>
          <w:tcPr>
            <w:tcW w:type="dxa" w:w="6860"/>
            <w:vAlign w:val="center"/>
            <w:tcMar>
              <w:top w:w="90" w:type="dxa"/>
              <w:start w:w="110" w:type="dxa"/>
              <w:bottom w:w="90" w:type="dxa"/>
              <w:end w:w="110" w:type="dxa"/>
            </w:tcMar>
          </w:tcPr>
          <w:p>
            <w:pPr>
              <w:spacing w:before="0" w:after="0" w:line="240" w:lineRule="auto"/>
            </w:pPr>
            <w:r>
              <w:rPr>
                <w:sz w:val="17"/>
              </w:rPr>
              <w:t>F6, F7, F8, F9, F10, F13, F14, F17</w:t>
            </w:r>
          </w:p>
        </w:tc>
      </w:tr>
      <w:tr>
        <w:tc>
          <w:tcPr>
            <w:tcW w:type="dxa" w:w="2500"/>
            <w:vAlign w:val="center"/>
            <w:tcMar>
              <w:top w:w="90" w:type="dxa"/>
              <w:start w:w="110" w:type="dxa"/>
              <w:bottom w:w="90" w:type="dxa"/>
              <w:end w:w="110" w:type="dxa"/>
            </w:tcMar>
          </w:tcPr>
          <w:p>
            <w:pPr>
              <w:spacing w:before="0" w:after="0" w:line="240" w:lineRule="auto"/>
            </w:pPr>
            <w:r>
              <w:rPr>
                <w:sz w:val="17"/>
              </w:rPr>
              <w:t>Archive total</w:t>
            </w:r>
          </w:p>
        </w:tc>
        <w:tc>
          <w:tcPr>
            <w:tcW w:type="dxa" w:w="6860"/>
            <w:vAlign w:val="center"/>
            <w:tcMar>
              <w:top w:w="90" w:type="dxa"/>
              <w:start w:w="110" w:type="dxa"/>
              <w:bottom w:w="90" w:type="dxa"/>
              <w:end w:w="110" w:type="dxa"/>
            </w:tcMar>
          </w:tcPr>
          <w:p>
            <w:pPr>
              <w:spacing w:before="0" w:after="0" w:line="240" w:lineRule="auto"/>
            </w:pPr>
            <w:r>
              <w:rPr>
                <w:sz w:val="17"/>
              </w:rPr>
              <w:t>24 test directories: 15 cutoff-rigidity and 9 density/flux</w:t>
            </w:r>
          </w:p>
        </w:tc>
      </w:tr>
      <w:tr>
        <w:tc>
          <w:tcPr>
            <w:tcW w:type="dxa" w:w="2500"/>
            <w:vAlign w:val="center"/>
            <w:tcMar>
              <w:top w:w="90" w:type="dxa"/>
              <w:start w:w="110" w:type="dxa"/>
              <w:bottom w:w="90" w:type="dxa"/>
              <w:end w:w="110" w:type="dxa"/>
            </w:tcMar>
          </w:tcPr>
          <w:p>
            <w:pPr>
              <w:spacing w:before="0" w:after="0" w:line="240" w:lineRule="auto"/>
            </w:pPr>
            <w:r>
              <w:rPr>
                <w:sz w:val="17"/>
              </w:rPr>
              <w:t>Execution evidence</w:t>
            </w:r>
          </w:p>
        </w:tc>
        <w:tc>
          <w:tcPr>
            <w:tcW w:type="dxa" w:w="6860"/>
            <w:vAlign w:val="center"/>
            <w:tcMar>
              <w:top w:w="90" w:type="dxa"/>
              <w:start w:w="110" w:type="dxa"/>
              <w:bottom w:w="90" w:type="dxa"/>
              <w:end w:w="110" w:type="dxa"/>
            </w:tcMar>
          </w:tcPr>
          <w:p>
            <w:pPr>
              <w:spacing w:before="0" w:after="0" w:line="240" w:lineRule="auto"/>
            </w:pPr>
            <w:r>
              <w:rPr>
                <w:sz w:val="17"/>
              </w:rPr>
              <w:t>Static/reference checks are documented in Appendix A; full physics execution requires the AMPS executable and source tree.</w:t>
            </w:r>
          </w:p>
        </w:tc>
      </w:tr>
    </w:tbl>
    <w:p>
      <w:pPr>
        <w:pStyle w:val="Heading1"/>
        <w:keepNext/>
        <w:pageBreakBefore/>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keepNext/>
        <w:pageBreakBefore/>
      </w:pPr>
      <w:r>
        <w:t>3. Cutoff-rigidity validation tests C1-C19 (implemented and planned)</w:t>
      </w:r>
    </w:p>
    <w:p>
      <w:pPr>
        <w:pStyle w:val="Heading2"/>
        <w:keepNext/>
        <w:pageBreakBefore w:val="0"/>
      </w:pPr>
      <w:r>
        <w:t>C1. Pure dipole vertical Størmer cutoff [implemented]</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keepNext/>
        <w:pageBreakBefore w:val="0"/>
      </w:pPr>
      <w:r>
        <w:t>C2. Dipole longitude and north/south symmetry [implemented]</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dxa" w:w="9360"/>
        <w:jc w:val="center"/>
        <w:tblLayout w:type="fixed"/>
        <w:tblLook w:firstColumn="1" w:firstRow="1" w:lastColumn="0" w:lastRow="0" w:noHBand="0" w:noVBand="1" w:val="04A0"/>
      </w:tblPr>
      <w:tblGrid>
        <w:gridCol w:w="3600"/>
        <w:gridCol w:w="5760"/>
      </w:tblGrid>
      <w:tr>
        <w:trPr>
          <w:tblHeader w:val="true"/>
        </w:trPr>
        <w:tc>
          <w:tcPr>
            <w:tcW w:type="dxa" w:w="3600"/>
            <w:shd w:fill="D9EAF7"/>
            <w:vAlign w:val="center"/>
            <w:tcMar>
              <w:top w:w="90" w:type="dxa"/>
              <w:start w:w="110" w:type="dxa"/>
              <w:bottom w:w="90" w:type="dxa"/>
              <w:end w:w="110" w:type="dxa"/>
            </w:tcMar>
            <w:shd w:fill="D9EAF7"/>
          </w:tcPr>
          <w:p>
            <w:pPr>
              <w:spacing w:before="0" w:after="0" w:line="240" w:lineRule="auto"/>
            </w:pPr>
            <w:r>
              <w:rPr>
                <w:b/>
                <w:color w:val="1F4E78"/>
                <w:sz w:val="17"/>
              </w:rPr>
            </w:r>
            <w:r>
              <w:rPr>
                <w:b/>
                <w:color w:val="1F4E78"/>
                <w:sz w:val="17"/>
              </w:rPr>
              <w:t>Metric</w:t>
            </w:r>
          </w:p>
        </w:tc>
        <w:tc>
          <w:tcPr>
            <w:tcW w:type="dxa" w:w="5760"/>
            <w:shd w:fill="D9EAF7"/>
            <w:vAlign w:val="center"/>
            <w:tcMar>
              <w:top w:w="90" w:type="dxa"/>
              <w:start w:w="110" w:type="dxa"/>
              <w:bottom w:w="90" w:type="dxa"/>
              <w:end w:w="110" w:type="dxa"/>
            </w:tcMar>
            <w:shd w:fill="D9EAF7"/>
          </w:tcPr>
          <w:p>
            <w:pPr>
              <w:spacing w:before="0" w:after="0" w:line="240" w:lineRule="auto"/>
            </w:pPr>
            <w:r>
              <w:rPr>
                <w:b/>
                <w:color w:val="1F4E78"/>
                <w:sz w:val="17"/>
              </w:rPr>
            </w:r>
            <w:r>
              <w:rPr>
                <w:b/>
                <w:color w:val="1F4E78"/>
                <w:sz w:val="17"/>
              </w:rPr>
              <w:t>Expected</w:t>
            </w:r>
          </w:p>
        </w:tc>
      </w:tr>
      <w:tr>
        <w:tc>
          <w:tcPr>
            <w:tcW w:type="dxa" w:w="3600"/>
            <w:vAlign w:val="center"/>
            <w:tcMar>
              <w:top w:w="90" w:type="dxa"/>
              <w:start w:w="110" w:type="dxa"/>
              <w:bottom w:w="90" w:type="dxa"/>
              <w:end w:w="110" w:type="dxa"/>
            </w:tcMar>
          </w:tcPr>
          <w:p>
            <w:pPr>
              <w:spacing w:before="0" w:after="0" w:line="240" w:lineRule="auto"/>
            </w:pPr>
            <w:r>
              <w:rPr>
                <w:sz w:val="17"/>
              </w:rPr>
            </w:r>
            <w:r>
              <w:rPr>
                <w:b w:val="0"/>
                <w:sz w:val="17"/>
              </w:rPr>
              <w:t>max_lon(Rc)−min_lon(Rc) at fixed latitude</w:t>
            </w:r>
          </w:p>
        </w:tc>
        <w:tc>
          <w:tcPr>
            <w:tcW w:type="dxa" w:w="5760"/>
            <w:vAlign w:val="center"/>
            <w:tcMar>
              <w:top w:w="90" w:type="dxa"/>
              <w:start w:w="110" w:type="dxa"/>
              <w:bottom w:w="90" w:type="dxa"/>
              <w:end w:w="110" w:type="dxa"/>
            </w:tcMar>
          </w:tcPr>
          <w:p>
            <w:pPr>
              <w:spacing w:before="0" w:after="0" w:line="240" w:lineRule="auto"/>
            </w:pPr>
            <w:r>
              <w:rPr>
                <w:sz w:val="17"/>
              </w:rPr>
              <w:t>&lt;1% for |latitude| &lt;= 30 deg; &lt;5% at |latitude| = 60 deg (runner defaults)</w:t>
            </w:r>
          </w:p>
        </w:tc>
      </w:tr>
      <w:tr>
        <w:tc>
          <w:tcPr>
            <w:tcW w:type="dxa" w:w="3600"/>
            <w:vAlign w:val="center"/>
            <w:tcMar>
              <w:top w:w="90" w:type="dxa"/>
              <w:start w:w="110" w:type="dxa"/>
              <w:bottom w:w="90" w:type="dxa"/>
              <w:end w:w="110" w:type="dxa"/>
            </w:tcMar>
          </w:tcPr>
          <w:p>
            <w:pPr>
              <w:spacing w:before="0" w:after="0" w:line="240" w:lineRule="auto"/>
            </w:pPr>
            <w:r>
              <w:rPr>
                <w:sz w:val="17"/>
              </w:rPr>
            </w:r>
            <w:r>
              <w:rPr>
                <w:b w:val="0"/>
                <w:sz w:val="17"/>
              </w:rPr>
              <w:t>Rc(+lat)−Rc(−lat)</w:t>
            </w:r>
          </w:p>
        </w:tc>
        <w:tc>
          <w:tcPr>
            <w:tcW w:type="dxa" w:w="5760"/>
            <w:vAlign w:val="center"/>
            <w:tcMar>
              <w:top w:w="90" w:type="dxa"/>
              <w:start w:w="110" w:type="dxa"/>
              <w:bottom w:w="90" w:type="dxa"/>
              <w:end w:w="110" w:type="dxa"/>
            </w:tcMar>
          </w:tcPr>
          <w:p>
            <w:pPr>
              <w:spacing w:before="0" w:after="0" w:line="240" w:lineRule="auto"/>
            </w:pPr>
            <w:r>
              <w:rPr>
                <w:sz w:val="17"/>
              </w:rPr>
              <w:t>&lt;1% at |latitude| = 30 deg; &lt;5% at |latitude| = 60 deg (runner defaults)</w:t>
            </w:r>
          </w:p>
        </w:tc>
      </w:tr>
      <w:tr>
        <w:tc>
          <w:tcPr>
            <w:tcW w:type="dxa" w:w="3600"/>
            <w:vAlign w:val="center"/>
            <w:tcMar>
              <w:top w:w="90" w:type="dxa"/>
              <w:start w:w="110" w:type="dxa"/>
              <w:bottom w:w="90" w:type="dxa"/>
              <w:end w:w="110" w:type="dxa"/>
            </w:tcMar>
          </w:tcPr>
          <w:p>
            <w:pPr>
              <w:spacing w:before="0" w:after="0" w:line="240" w:lineRule="auto"/>
            </w:pPr>
            <w:r>
              <w:rPr>
                <w:sz w:val="17"/>
              </w:rPr>
            </w:r>
            <w:r>
              <w:rPr>
                <w:b w:val="0"/>
                <w:sz w:val="17"/>
              </w:rPr>
              <w:t>Bad outcome</w:t>
            </w:r>
          </w:p>
        </w:tc>
        <w:tc>
          <w:tcPr>
            <w:tcW w:type="dxa" w:w="5760"/>
            <w:vAlign w:val="center"/>
            <w:tcMar>
              <w:top w:w="90" w:type="dxa"/>
              <w:start w:w="110" w:type="dxa"/>
              <w:bottom w:w="90" w:type="dxa"/>
              <w:end w:w="110" w:type="dxa"/>
            </w:tcMar>
          </w:tcPr>
          <w:p>
            <w:pPr>
              <w:spacing w:before="0" w:after="0" w:line="240" w:lineRule="auto"/>
            </w:pPr>
            <w:r>
              <w:rPr>
                <w:sz w:val="17"/>
              </w:rPr>
            </w:r>
            <w:r>
              <w:rPr>
                <w:b w:val="0"/>
                <w:sz w:val="17"/>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keepNext/>
        <w:pageBreakBefore w:val="0"/>
      </w:pPr>
      <w:r>
        <w:t>C3. Penumbra and UPPER_SCAN regression [implemented]</w:t>
      </w:r>
    </w:p>
    <w:p>
      <w:pPr>
        <w:shd w:fill="FFF2CC"/>
      </w:pPr>
      <w:r>
        <w:rPr>
          <w:b/>
        </w:rPr>
        <w:t xml:space="preserve">Implementation status: </w:t>
      </w:r>
      <w:r>
        <w:t>Implemented by run_C3.py for Mode3D or GRIDLESS; BINARY is diagnostic unless --require-binary-collapse is selected.</w:t>
      </w:r>
    </w:p>
    <w:p>
      <w:r>
        <w:t>C3 validates the penumbra-safe UPPER_SCAN search at lon 0 deg, lat -60 deg, altitude 9000 km in a centered dipole. The analytical vertical Stormer cutoff is about 0.159984 GV. CUTOFF_EMIN is 1 MeV/n, corresponding to Rmin about 0.043331 GV for a proton.</w:t>
      </w:r>
    </w:p>
    <w:p>
      <w:pPr>
        <w:spacing w:before="60" w:after="120"/>
        <w:ind w:left="200" w:right="120"/>
        <w:shd w:fill="F2F2F2"/>
      </w:pPr>
      <w:r>
        <w:rPr>
          <w:rFonts w:ascii="Consolas" w:hAnsi="Consolas"/>
          <w:sz w:val="16"/>
        </w:rPr>
        <w:t>FIELD_MODEL DIPOLE</w:t>
        <w:br/>
        <w:t>CUTOFF_SAMPLING VERTICAL</w:t>
        <w:br/>
        <w:t>CUTOFF_SEARCH_ALGORITHM BINARY | UPPER_SCAN</w:t>
        <w:br/>
        <w:t>CUTOFF_UPPER_SCAN_N 200</w:t>
        <w:br/>
        <w:t>DT_TRACE 1.0 s</w:t>
        <w:br/>
        <w:t>MAX_TRACE_TIME 600 s</w:t>
        <w:br/>
        <w:t>MAX_TRACE_DISTANCE 300 Re</w:t>
      </w:r>
    </w:p>
    <w:tbl>
      <w:tblPr>
        <w:tblStyle w:val="TableGrid"/>
        <w:tblW w:type="dxa" w:w="9360"/>
        <w:tblLayout w:type="fixed"/>
        <w:tblLook w:firstColumn="1" w:firstRow="1" w:lastColumn="0" w:lastRow="0" w:noHBand="0" w:noVBand="1" w:val="04A0"/>
      </w:tblPr>
      <w:tblGrid>
        <w:gridCol w:w="3300"/>
        <w:gridCol w:w="6060"/>
      </w:tblGrid>
      <w:tr>
        <w:trPr>
          <w:tblHeader w:val="true"/>
        </w:trPr>
        <w:tc>
          <w:tcPr>
            <w:tcW w:type="dxa" w:w="3300"/>
            <w:vAlign w:val="center"/>
            <w:tcMar>
              <w:top w:w="90" w:type="dxa"/>
              <w:start w:w="110" w:type="dxa"/>
              <w:bottom w:w="90" w:type="dxa"/>
              <w:end w:w="110" w:type="dxa"/>
            </w:tcMar>
            <w:shd w:fill="D9EAF7"/>
          </w:tcPr>
          <w:p>
            <w:pPr>
              <w:spacing w:before="0" w:after="0" w:line="240" w:lineRule="auto"/>
            </w:pPr>
            <w:r>
              <w:rPr>
                <w:b/>
                <w:color w:val="1F4E78"/>
                <w:sz w:val="17"/>
              </w:rPr>
              <w:t>Check</w:t>
            </w:r>
          </w:p>
        </w:tc>
        <w:tc>
          <w:tcPr>
            <w:tcW w:type="dxa" w:w="6060"/>
            <w:vAlign w:val="center"/>
            <w:tcMar>
              <w:top w:w="90" w:type="dxa"/>
              <w:start w:w="110" w:type="dxa"/>
              <w:bottom w:w="90" w:type="dxa"/>
              <w:end w:w="110" w:type="dxa"/>
            </w:tcMar>
            <w:shd w:fill="D9EAF7"/>
          </w:tcPr>
          <w:p>
            <w:pPr>
              <w:spacing w:before="0" w:after="0" w:line="240" w:lineRule="auto"/>
            </w:pPr>
            <w:r>
              <w:rPr>
                <w:b/>
                <w:color w:val="1F4E78"/>
                <w:sz w:val="17"/>
              </w:rPr>
              <w:t>Implemented default</w:t>
            </w:r>
          </w:p>
        </w:tc>
      </w:tr>
      <w:tr>
        <w:tc>
          <w:tcPr>
            <w:tcW w:type="dxa" w:w="3300"/>
            <w:vAlign w:val="center"/>
            <w:tcMar>
              <w:top w:w="90" w:type="dxa"/>
              <w:start w:w="110" w:type="dxa"/>
              <w:bottom w:w="90" w:type="dxa"/>
              <w:end w:w="110" w:type="dxa"/>
            </w:tcMar>
          </w:tcPr>
          <w:p>
            <w:pPr>
              <w:spacing w:before="0" w:after="0" w:line="240" w:lineRule="auto"/>
            </w:pPr>
            <w:r>
              <w:rPr>
                <w:sz w:val="17"/>
              </w:rPr>
              <w:t>UPPER_SCAN lower-boundary collapse</w:t>
            </w:r>
          </w:p>
        </w:tc>
        <w:tc>
          <w:tcPr>
            <w:tcW w:type="dxa" w:w="6060"/>
            <w:vAlign w:val="center"/>
            <w:tcMar>
              <w:top w:w="90" w:type="dxa"/>
              <w:start w:w="110" w:type="dxa"/>
              <w:bottom w:w="90" w:type="dxa"/>
              <w:end w:w="110" w:type="dxa"/>
            </w:tcMar>
          </w:tcPr>
          <w:p>
            <w:pPr>
              <w:spacing w:before="0" w:after="0" w:line="240" w:lineRule="auto"/>
            </w:pPr>
            <w:r>
              <w:rPr>
                <w:sz w:val="17"/>
              </w:rPr>
              <w:t>Must not return Rc &lt; 2 Rmin.</w:t>
            </w:r>
          </w:p>
        </w:tc>
      </w:tr>
      <w:tr>
        <w:tc>
          <w:tcPr>
            <w:tcW w:type="dxa" w:w="3300"/>
            <w:vAlign w:val="center"/>
            <w:tcMar>
              <w:top w:w="90" w:type="dxa"/>
              <w:start w:w="110" w:type="dxa"/>
              <w:bottom w:w="90" w:type="dxa"/>
              <w:end w:w="110" w:type="dxa"/>
            </w:tcMar>
          </w:tcPr>
          <w:p>
            <w:pPr>
              <w:spacing w:before="0" w:after="0" w:line="240" w:lineRule="auto"/>
            </w:pPr>
            <w:r>
              <w:rPr>
                <w:sz w:val="17"/>
              </w:rPr>
              <w:t>UPPER_SCAN Stormer agreement</w:t>
            </w:r>
          </w:p>
        </w:tc>
        <w:tc>
          <w:tcPr>
            <w:tcW w:type="dxa" w:w="6060"/>
            <w:vAlign w:val="center"/>
            <w:tcMar>
              <w:top w:w="90" w:type="dxa"/>
              <w:start w:w="110" w:type="dxa"/>
              <w:bottom w:w="90" w:type="dxa"/>
              <w:end w:w="110" w:type="dxa"/>
            </w:tcMar>
          </w:tcPr>
          <w:p>
            <w:pPr>
              <w:spacing w:before="0" w:after="0" w:line="240" w:lineRule="auto"/>
            </w:pPr>
            <w:r>
              <w:rPr>
                <w:sz w:val="17"/>
              </w:rPr>
              <w:t>Absolute relative error &lt;= 0.25 at the target high-latitude points.</w:t>
            </w:r>
          </w:p>
        </w:tc>
      </w:tr>
      <w:tr>
        <w:tc>
          <w:tcPr>
            <w:tcW w:type="dxa" w:w="3300"/>
            <w:vAlign w:val="center"/>
            <w:tcMar>
              <w:top w:w="90" w:type="dxa"/>
              <w:start w:w="110" w:type="dxa"/>
              <w:bottom w:w="90" w:type="dxa"/>
              <w:end w:w="110" w:type="dxa"/>
            </w:tcMar>
          </w:tcPr>
          <w:p>
            <w:pPr>
              <w:spacing w:before="0" w:after="0" w:line="240" w:lineRule="auto"/>
            </w:pPr>
            <w:r>
              <w:rPr>
                <w:sz w:val="17"/>
              </w:rPr>
              <w:t>BINARY behavior</w:t>
            </w:r>
          </w:p>
        </w:tc>
        <w:tc>
          <w:tcPr>
            <w:tcW w:type="dxa" w:w="6060"/>
            <w:vAlign w:val="center"/>
            <w:tcMar>
              <w:top w:w="90" w:type="dxa"/>
              <w:start w:w="110" w:type="dxa"/>
              <w:bottom w:w="90" w:type="dxa"/>
              <w:end w:w="110" w:type="dxa"/>
            </w:tcMar>
          </w:tcPr>
          <w:p>
            <w:pPr>
              <w:spacing w:before="0" w:after="0" w:line="240" w:lineRule="auto"/>
            </w:pPr>
            <w:r>
              <w:rPr>
                <w:sz w:val="17"/>
              </w:rPr>
              <w:t>Diagnostic by default; require the legacy collapse only with --require-binary-collapse.</w:t>
            </w:r>
          </w:p>
        </w:tc>
      </w:tr>
      <w:tr>
        <w:tc>
          <w:tcPr>
            <w:tcW w:type="dxa" w:w="3300"/>
            <w:vAlign w:val="center"/>
            <w:tcMar>
              <w:top w:w="90" w:type="dxa"/>
              <w:start w:w="110" w:type="dxa"/>
              <w:bottom w:w="90" w:type="dxa"/>
              <w:end w:w="110" w:type="dxa"/>
            </w:tcMar>
          </w:tcPr>
          <w:p>
            <w:pPr>
              <w:spacing w:before="0" w:after="0" w:line="240" w:lineRule="auto"/>
            </w:pPr>
            <w:r>
              <w:rPr>
                <w:sz w:val="17"/>
              </w:rPr>
              <w:t>Rc_effective</w:t>
            </w:r>
          </w:p>
        </w:tc>
        <w:tc>
          <w:tcPr>
            <w:tcW w:type="dxa" w:w="6060"/>
            <w:vAlign w:val="center"/>
            <w:tcMar>
              <w:top w:w="90" w:type="dxa"/>
              <w:start w:w="110" w:type="dxa"/>
              <w:bottom w:w="90" w:type="dxa"/>
              <w:end w:w="110" w:type="dxa"/>
            </w:tcMar>
          </w:tcPr>
          <w:p>
            <w:pPr>
              <w:spacing w:before="0" w:after="0" w:line="240" w:lineRule="auto"/>
            </w:pPr>
            <w:r>
              <w:rPr>
                <w:sz w:val="17"/>
              </w:rPr>
              <w:t>Not a C3 pass/fail quantity; effective-cutoff integration is exercised by C6/C7 PENUMBRA_SCAN.</w:t>
            </w:r>
          </w:p>
        </w:tc>
      </w:tr>
    </w:tbl>
    <w:p>
      <w:r>
        <w:rPr>
          <w:b/>
        </w:rPr>
        <w:t xml:space="preserve">Outputs: </w:t>
      </w:r>
      <w:r>
        <w:t>C3_summary.csv, C3_result.json, optional comparison plot, and per-algorithm generated inputs/logs.</w:t>
      </w:r>
    </w:p>
    <w:p>
      <w:pPr>
        <w:pStyle w:val="Heading2"/>
        <w:keepNext/>
        <w:pageBreakBefore w:val="0"/>
      </w:pPr>
      <w:r>
        <w:t>C4. Mode3D trajectory-exit classifier and invariant diagnostic [implemented]</w:t>
      </w:r>
    </w:p>
    <w:p>
      <w:pPr>
        <w:shd w:fill="FFF2CC"/>
      </w:pPr>
      <w:r>
        <w:rPr>
          <w:b/>
        </w:rPr>
        <w:t xml:space="preserve">Implementation status: </w:t>
      </w:r>
      <w:r>
        <w:t>Implemented as a Mode3D many-trajectory debug-exit diagnostic, not a global cutoff-map test.</w:t>
      </w:r>
    </w:p>
    <w:p>
      <w:r>
        <w:t>One AMPS run traces all requested cases from CUTOFF_DEBUG_EXIT_LIST_FILE. Defaults are latitudes -60,-30,0,30,60 deg, lon 0 deg, altitude 9000 km, and rigidities 0.5 and 2.0 times the local analytical cutoff. A mover or DT_TRACE sweep launches one run per global configuration.</w:t>
      </w:r>
    </w:p>
    <w:p>
      <w:pPr>
        <w:spacing w:before="60" w:after="120"/>
        <w:ind w:left="200" w:right="120"/>
        <w:shd w:fill="F2F2F2"/>
      </w:pPr>
      <w:r>
        <w:rPr>
          <w:rFonts w:ascii="Consolas" w:hAnsi="Consolas"/>
          <w:sz w:val="16"/>
        </w:rPr>
        <w:t>FIELD_MODEL DIPOLE</w:t>
        <w:br/>
        <w:t>E_FIELD OFF</w:t>
        <w:br/>
        <w:t>CUTOFF_DEBUG_EXIT_TRACE T</w:t>
        <w:br/>
        <w:t>CUTOFF_DEBUG_EXIT_LIST_FILE c4_debug_trajectories.dat</w:t>
        <w:br/>
        <w:t>DT_TRACE 0.25 s</w:t>
        <w:br/>
        <w:t>MOVER BORIS (default)</w:t>
      </w:r>
    </w:p>
    <w:tbl>
      <w:tblPr>
        <w:tblStyle w:val="TableGrid"/>
        <w:tblW w:type="dxa" w:w="9360"/>
        <w:tblLayout w:type="fixed"/>
        <w:tblLook w:firstColumn="1" w:firstRow="1" w:lastColumn="0" w:lastRow="0" w:noHBand="0" w:noVBand="1" w:val="04A0"/>
      </w:tblPr>
      <w:tblGrid>
        <w:gridCol w:w="3100"/>
        <w:gridCol w:w="6260"/>
      </w:tblGrid>
      <w:tr>
        <w:trPr>
          <w:tblHeader w:val="true"/>
        </w:trPr>
        <w:tc>
          <w:tcPr>
            <w:tcW w:type="dxa" w:w="3100"/>
            <w:vAlign w:val="center"/>
            <w:tcMar>
              <w:top w:w="90" w:type="dxa"/>
              <w:start w:w="110" w:type="dxa"/>
              <w:bottom w:w="90" w:type="dxa"/>
              <w:end w:w="110" w:type="dxa"/>
            </w:tcMar>
            <w:shd w:fill="D9EAF7"/>
          </w:tcPr>
          <w:p>
            <w:pPr>
              <w:spacing w:before="0" w:after="0" w:line="240" w:lineRule="auto"/>
            </w:pPr>
            <w:r>
              <w:rPr>
                <w:b/>
                <w:color w:val="1F4E78"/>
                <w:sz w:val="17"/>
              </w:rPr>
              <w:t>Check</w:t>
            </w:r>
          </w:p>
        </w:tc>
        <w:tc>
          <w:tcPr>
            <w:tcW w:type="dxa" w:w="6260"/>
            <w:vAlign w:val="center"/>
            <w:tcMar>
              <w:top w:w="90" w:type="dxa"/>
              <w:start w:w="110" w:type="dxa"/>
              <w:bottom w:w="90" w:type="dxa"/>
              <w:end w:w="110" w:type="dxa"/>
            </w:tcMar>
            <w:shd w:fill="D9EAF7"/>
          </w:tcPr>
          <w:p>
            <w:pPr>
              <w:spacing w:before="0" w:after="0" w:line="240" w:lineRule="auto"/>
            </w:pPr>
            <w:r>
              <w:rPr>
                <w:b/>
                <w:color w:val="1F4E78"/>
                <w:sz w:val="17"/>
              </w:rPr>
              <w:t>Implemented gate</w:t>
            </w:r>
          </w:p>
        </w:tc>
      </w:tr>
      <w:tr>
        <w:tc>
          <w:tcPr>
            <w:tcW w:type="dxa" w:w="3100"/>
            <w:vAlign w:val="center"/>
            <w:tcMar>
              <w:top w:w="90" w:type="dxa"/>
              <w:start w:w="110" w:type="dxa"/>
              <w:bottom w:w="90" w:type="dxa"/>
              <w:end w:w="110" w:type="dxa"/>
            </w:tcMar>
          </w:tcPr>
          <w:p>
            <w:pPr>
              <w:spacing w:before="0" w:after="0" w:line="240" w:lineRule="auto"/>
            </w:pPr>
            <w:r>
              <w:rPr>
                <w:sz w:val="17"/>
              </w:rPr>
              <w:t>High-rigidity trajectory</w:t>
            </w:r>
          </w:p>
        </w:tc>
        <w:tc>
          <w:tcPr>
            <w:tcW w:type="dxa" w:w="6260"/>
            <w:vAlign w:val="center"/>
            <w:tcMar>
              <w:top w:w="90" w:type="dxa"/>
              <w:start w:w="110" w:type="dxa"/>
              <w:bottom w:w="90" w:type="dxa"/>
              <w:end w:w="110" w:type="dxa"/>
            </w:tcMar>
          </w:tcPr>
          <w:p>
            <w:pPr>
              <w:spacing w:before="0" w:after="0" w:line="240" w:lineRule="auto"/>
            </w:pPr>
            <w:r>
              <w:rPr>
                <w:sz w:val="17"/>
              </w:rPr>
              <w:t>Must terminate OUTER_BOX and report allowed=1.</w:t>
            </w:r>
          </w:p>
        </w:tc>
      </w:tr>
      <w:tr>
        <w:tc>
          <w:tcPr>
            <w:tcW w:type="dxa" w:w="3100"/>
            <w:vAlign w:val="center"/>
            <w:tcMar>
              <w:top w:w="90" w:type="dxa"/>
              <w:start w:w="110" w:type="dxa"/>
              <w:bottom w:w="90" w:type="dxa"/>
              <w:end w:w="110" w:type="dxa"/>
            </w:tcMar>
          </w:tcPr>
          <w:p>
            <w:pPr>
              <w:spacing w:before="0" w:after="0" w:line="240" w:lineRule="auto"/>
            </w:pPr>
            <w:r>
              <w:rPr>
                <w:sz w:val="17"/>
              </w:rPr>
              <w:t>Low-rigidity trajectory</w:t>
            </w:r>
          </w:p>
        </w:tc>
        <w:tc>
          <w:tcPr>
            <w:tcW w:type="dxa" w:w="6260"/>
            <w:vAlign w:val="center"/>
            <w:tcMar>
              <w:top w:w="90" w:type="dxa"/>
              <w:start w:w="110" w:type="dxa"/>
              <w:bottom w:w="90" w:type="dxa"/>
              <w:end w:w="110" w:type="dxa"/>
            </w:tcMar>
          </w:tcPr>
          <w:p>
            <w:pPr>
              <w:spacing w:before="0" w:after="0" w:line="240" w:lineRule="auto"/>
            </w:pPr>
            <w:r>
              <w:rPr>
                <w:sz w:val="17"/>
              </w:rPr>
              <w:t>Must not be counted as allowed; any non-OUTER_BOX reason is forbidden/diagnostic.</w:t>
            </w:r>
          </w:p>
        </w:tc>
      </w:tr>
      <w:tr>
        <w:tc>
          <w:tcPr>
            <w:tcW w:type="dxa" w:w="3100"/>
            <w:vAlign w:val="center"/>
            <w:tcMar>
              <w:top w:w="90" w:type="dxa"/>
              <w:start w:w="110" w:type="dxa"/>
              <w:bottom w:w="90" w:type="dxa"/>
              <w:end w:w="110" w:type="dxa"/>
            </w:tcMar>
          </w:tcPr>
          <w:p>
            <w:pPr>
              <w:spacing w:before="0" w:after="0" w:line="240" w:lineRule="auto"/>
            </w:pPr>
            <w:r>
              <w:rPr>
                <w:sz w:val="17"/>
              </w:rPr>
              <w:t>Rigidity conservation</w:t>
            </w:r>
          </w:p>
        </w:tc>
        <w:tc>
          <w:tcPr>
            <w:tcW w:type="dxa" w:w="6260"/>
            <w:vAlign w:val="center"/>
            <w:tcMar>
              <w:top w:w="90" w:type="dxa"/>
              <w:start w:w="110" w:type="dxa"/>
              <w:bottom w:w="90" w:type="dxa"/>
              <w:end w:w="110" w:type="dxa"/>
            </w:tcMar>
          </w:tcPr>
          <w:p>
            <w:pPr>
              <w:spacing w:before="0" w:after="0" w:line="240" w:lineRule="auto"/>
            </w:pPr>
            <w:r>
              <w:rPr>
                <w:sz w:val="17"/>
              </w:rPr>
              <w:t>|rel_dR| &lt;= 1e-6 (hard default).</w:t>
            </w:r>
          </w:p>
        </w:tc>
      </w:tr>
      <w:tr>
        <w:tc>
          <w:tcPr>
            <w:tcW w:type="dxa" w:w="3100"/>
            <w:vAlign w:val="center"/>
            <w:tcMar>
              <w:top w:w="90" w:type="dxa"/>
              <w:start w:w="110" w:type="dxa"/>
              <w:bottom w:w="90" w:type="dxa"/>
              <w:end w:w="110" w:type="dxa"/>
            </w:tcMar>
          </w:tcPr>
          <w:p>
            <w:pPr>
              <w:spacing w:before="0" w:after="0" w:line="240" w:lineRule="auto"/>
            </w:pPr>
            <w:r>
              <w:rPr>
                <w:sz w:val="17"/>
              </w:rPr>
              <w:t>Canonical axis momentum</w:t>
            </w:r>
          </w:p>
        </w:tc>
        <w:tc>
          <w:tcPr>
            <w:tcW w:type="dxa" w:w="6260"/>
            <w:vAlign w:val="center"/>
            <w:tcMar>
              <w:top w:w="90" w:type="dxa"/>
              <w:start w:w="110" w:type="dxa"/>
              <w:bottom w:w="90" w:type="dxa"/>
              <w:end w:w="110" w:type="dxa"/>
            </w:tcMar>
          </w:tcPr>
          <w:p>
            <w:pPr>
              <w:spacing w:before="0" w:after="0" w:line="240" w:lineRule="auto"/>
            </w:pPr>
            <w:r>
              <w:rPr>
                <w:sz w:val="17"/>
              </w:rPr>
              <w:t>Recorded by default; hard only with --fail-on-paxis, tolerance 1e-5.</w:t>
            </w:r>
          </w:p>
        </w:tc>
      </w:tr>
    </w:tbl>
    <w:p>
      <w:r>
        <w:rPr>
          <w:b/>
        </w:rPr>
        <w:t xml:space="preserve">Outputs: </w:t>
      </w:r>
      <w:r>
        <w:t>C4_summary.csv, C4_case_metrics.csv, C4_result.json, and the combined cutoff_3d_debug_exit_trace.dat per mover/timestep case.</w:t>
      </w:r>
    </w:p>
    <w:p>
      <w:pPr>
        <w:pStyle w:val="Heading2"/>
        <w:keepNext/>
        <w:pageBreakBefore w:val="0"/>
      </w:pPr>
      <w:r>
        <w:t>C5. Dipole mesh-interpolation convergence [implemented]</w:t>
      </w:r>
    </w:p>
    <w:p>
      <w:pPr>
        <w:shd w:fill="FFF2CC"/>
      </w:pPr>
      <w:r>
        <w:rPr>
          <w:b/>
        </w:rPr>
        <w:t xml:space="preserve">Implementation status: </w:t>
      </w:r>
      <w:r>
        <w:t>Implemented by run_C5.py for the Mode3D MESH field path, with an optional ANALYTIC baseline.</w:t>
      </w:r>
    </w:p>
    <w:p>
      <w:r>
        <w:t>C5 stores the aligned dipole on the Mode3D AMR mesh and tests whether mesh-backed vertical cutoffs on the 9000 km shell approach the analytical Stormer solution under refinement. Resolution is controlled by Mode3D CLI options; there is no MESH_REFINEMENT_LEVELS input keyword and convergence is not required to be monotonic at every individual point.</w:t>
      </w:r>
    </w:p>
    <w:p>
      <w:pPr>
        <w:spacing w:before="60" w:after="120"/>
        <w:ind w:left="200" w:right="120"/>
        <w:shd w:fill="F2F2F2"/>
      </w:pPr>
      <w:r>
        <w:rPr>
          <w:rFonts w:ascii="Consolas" w:hAnsi="Consolas"/>
          <w:sz w:val="16"/>
        </w:rPr>
        <w:t>Default MESH profiles (dR_Earth, dR_boundary, coarsening):</w:t>
        <w:br/>
        <w:t>(0.20 Re, 1.00 Re, LOG)</w:t>
        <w:br/>
        <w:t>(0.10 Re, 0.75 Re, LOG)</w:t>
        <w:br/>
        <w:t>(0.05 Re, 0.50 Re, LOG)</w:t>
        <w:br/>
        <w:br/>
        <w:t>CLI: -mode3d-mesh-res-earth-re, -mode3d-mesh-res-boundary-re,</w:t>
        <w:br/>
        <w:t xml:space="preserve">     -mode3d-mesh-coarsening, -mode3d-mesh-exponent, -mode3d-mesh-r-boundary-re</w:t>
      </w:r>
    </w:p>
    <w:tbl>
      <w:tblPr>
        <w:tblStyle w:val="TableGrid"/>
        <w:tblW w:type="dxa" w:w="9360"/>
        <w:tblLayout w:type="fixed"/>
        <w:tblLook w:firstColumn="1" w:firstRow="1" w:lastColumn="0" w:lastRow="0" w:noHBand="0" w:noVBand="1" w:val="04A0"/>
      </w:tblPr>
      <w:tblGrid>
        <w:gridCol w:w="3000"/>
        <w:gridCol w:w="6360"/>
      </w:tblGrid>
      <w:tr>
        <w:trPr>
          <w:tblHeader w:val="true"/>
        </w:trPr>
        <w:tc>
          <w:tcPr>
            <w:tcW w:type="dxa" w:w="3000"/>
            <w:vAlign w:val="center"/>
            <w:tcMar>
              <w:top w:w="90" w:type="dxa"/>
              <w:start w:w="110" w:type="dxa"/>
              <w:bottom w:w="90" w:type="dxa"/>
              <w:end w:w="110" w:type="dxa"/>
            </w:tcMar>
            <w:shd w:fill="D9EAF7"/>
          </w:tcPr>
          <w:p>
            <w:pPr>
              <w:spacing w:before="0" w:after="0" w:line="240" w:lineRule="auto"/>
            </w:pPr>
            <w:r>
              <w:rPr>
                <w:b/>
                <w:color w:val="1F4E78"/>
                <w:sz w:val="17"/>
              </w:rPr>
              <w:t>Gate</w:t>
            </w:r>
          </w:p>
        </w:tc>
        <w:tc>
          <w:tcPr>
            <w:tcW w:type="dxa" w:w="6360"/>
            <w:vAlign w:val="center"/>
            <w:tcMar>
              <w:top w:w="90" w:type="dxa"/>
              <w:start w:w="110" w:type="dxa"/>
              <w:bottom w:w="90" w:type="dxa"/>
              <w:end w:w="110" w:type="dxa"/>
            </w:tcMar>
            <w:shd w:fill="D9EAF7"/>
          </w:tcPr>
          <w:p>
            <w:pPr>
              <w:spacing w:before="0" w:after="0" w:line="240" w:lineRule="auto"/>
            </w:pPr>
            <w:r>
              <w:rPr>
                <w:b/>
                <w:color w:val="1F4E78"/>
                <w:sz w:val="17"/>
              </w:rPr>
              <w:t>Default acceptance</w:t>
            </w:r>
          </w:p>
        </w:tc>
      </w:tr>
      <w:tr>
        <w:tc>
          <w:tcPr>
            <w:tcW w:type="dxa" w:w="3000"/>
            <w:vAlign w:val="center"/>
            <w:tcMar>
              <w:top w:w="90" w:type="dxa"/>
              <w:start w:w="110" w:type="dxa"/>
              <w:bottom w:w="90" w:type="dxa"/>
              <w:end w:w="110" w:type="dxa"/>
            </w:tcMar>
          </w:tcPr>
          <w:p>
            <w:pPr>
              <w:spacing w:before="0" w:after="0" w:line="240" w:lineRule="auto"/>
            </w:pPr>
            <w:r>
              <w:rPr>
                <w:sz w:val="17"/>
              </w:rPr>
              <w:t>ANALYTIC baseline</w:t>
            </w:r>
          </w:p>
        </w:tc>
        <w:tc>
          <w:tcPr>
            <w:tcW w:type="dxa" w:w="6360"/>
            <w:vAlign w:val="center"/>
            <w:tcMar>
              <w:top w:w="90" w:type="dxa"/>
              <w:start w:w="110" w:type="dxa"/>
              <w:bottom w:w="90" w:type="dxa"/>
              <w:end w:w="110" w:type="dxa"/>
            </w:tcMar>
          </w:tcPr>
          <w:p>
            <w:pPr>
              <w:spacing w:before="0" w:after="0" w:line="240" w:lineRule="auto"/>
            </w:pPr>
            <w:r>
              <w:rPr>
                <w:sz w:val="17"/>
              </w:rPr>
              <w:t>Mean relative error &lt;=2% for |lat|&lt;=30 deg and &lt;=15% at |lat|&gt;=60 deg.</w:t>
            </w:r>
          </w:p>
        </w:tc>
      </w:tr>
      <w:tr>
        <w:tc>
          <w:tcPr>
            <w:tcW w:type="dxa" w:w="3000"/>
            <w:vAlign w:val="center"/>
            <w:tcMar>
              <w:top w:w="90" w:type="dxa"/>
              <w:start w:w="110" w:type="dxa"/>
              <w:bottom w:w="90" w:type="dxa"/>
              <w:end w:w="110" w:type="dxa"/>
            </w:tcMar>
          </w:tcPr>
          <w:p>
            <w:pPr>
              <w:spacing w:before="0" w:after="0" w:line="240" w:lineRule="auto"/>
            </w:pPr>
            <w:r>
              <w:rPr>
                <w:sz w:val="17"/>
              </w:rPr>
              <w:t>Finest MESH, mid latitude</w:t>
            </w:r>
          </w:p>
        </w:tc>
        <w:tc>
          <w:tcPr>
            <w:tcW w:type="dxa" w:w="6360"/>
            <w:vAlign w:val="center"/>
            <w:tcMar>
              <w:top w:w="90" w:type="dxa"/>
              <w:start w:w="110" w:type="dxa"/>
              <w:bottom w:w="90" w:type="dxa"/>
              <w:end w:w="110" w:type="dxa"/>
            </w:tcMar>
          </w:tcPr>
          <w:p>
            <w:pPr>
              <w:spacing w:before="0" w:after="0" w:line="240" w:lineRule="auto"/>
            </w:pPr>
            <w:r>
              <w:rPr>
                <w:sz w:val="17"/>
              </w:rPr>
              <w:t>RMS and maximum mean relative error &lt;=5%.</w:t>
            </w:r>
          </w:p>
        </w:tc>
      </w:tr>
      <w:tr>
        <w:tc>
          <w:tcPr>
            <w:tcW w:type="dxa" w:w="3000"/>
            <w:vAlign w:val="center"/>
            <w:tcMar>
              <w:top w:w="90" w:type="dxa"/>
              <w:start w:w="110" w:type="dxa"/>
              <w:bottom w:w="90" w:type="dxa"/>
              <w:end w:w="110" w:type="dxa"/>
            </w:tcMar>
          </w:tcPr>
          <w:p>
            <w:pPr>
              <w:spacing w:before="0" w:after="0" w:line="240" w:lineRule="auto"/>
            </w:pPr>
            <w:r>
              <w:rPr>
                <w:sz w:val="17"/>
              </w:rPr>
              <w:t>Finest MESH, high latitude</w:t>
            </w:r>
          </w:p>
        </w:tc>
        <w:tc>
          <w:tcPr>
            <w:tcW w:type="dxa" w:w="6360"/>
            <w:vAlign w:val="center"/>
            <w:tcMar>
              <w:top w:w="90" w:type="dxa"/>
              <w:start w:w="110" w:type="dxa"/>
              <w:bottom w:w="90" w:type="dxa"/>
              <w:end w:w="110" w:type="dxa"/>
            </w:tcMar>
          </w:tcPr>
          <w:p>
            <w:pPr>
              <w:spacing w:before="0" w:after="0" w:line="240" w:lineRule="auto"/>
            </w:pPr>
            <w:r>
              <w:rPr>
                <w:sz w:val="17"/>
              </w:rPr>
              <w:t>RMS and maximum mean relative error &lt;=25%.</w:t>
            </w:r>
          </w:p>
        </w:tc>
      </w:tr>
      <w:tr>
        <w:tc>
          <w:tcPr>
            <w:tcW w:type="dxa" w:w="3000"/>
            <w:vAlign w:val="center"/>
            <w:tcMar>
              <w:top w:w="90" w:type="dxa"/>
              <w:start w:w="110" w:type="dxa"/>
              <w:bottom w:w="90" w:type="dxa"/>
              <w:end w:w="110" w:type="dxa"/>
            </w:tcMar>
          </w:tcPr>
          <w:p>
            <w:pPr>
              <w:spacing w:before="0" w:after="0" w:line="240" w:lineRule="auto"/>
            </w:pPr>
            <w:r>
              <w:rPr>
                <w:sz w:val="17"/>
              </w:rPr>
              <w:t>Longitude spread</w:t>
            </w:r>
          </w:p>
        </w:tc>
        <w:tc>
          <w:tcPr>
            <w:tcW w:type="dxa" w:w="6360"/>
            <w:vAlign w:val="center"/>
            <w:tcMar>
              <w:top w:w="90" w:type="dxa"/>
              <w:start w:w="110" w:type="dxa"/>
              <w:bottom w:w="90" w:type="dxa"/>
              <w:end w:w="110" w:type="dxa"/>
            </w:tcMar>
          </w:tcPr>
          <w:p>
            <w:pPr>
              <w:spacing w:before="0" w:after="0" w:line="240" w:lineRule="auto"/>
            </w:pPr>
            <w:r>
              <w:rPr>
                <w:sz w:val="17"/>
              </w:rPr>
              <w:t>Maximum spread/reference &lt;=10%.</w:t>
            </w:r>
          </w:p>
        </w:tc>
      </w:tr>
      <w:tr>
        <w:tc>
          <w:tcPr>
            <w:tcW w:type="dxa" w:w="3000"/>
            <w:vAlign w:val="center"/>
            <w:tcMar>
              <w:top w:w="90" w:type="dxa"/>
              <w:start w:w="110" w:type="dxa"/>
              <w:bottom w:w="90" w:type="dxa"/>
              <w:end w:w="110" w:type="dxa"/>
            </w:tcMar>
          </w:tcPr>
          <w:p>
            <w:pPr>
              <w:spacing w:before="0" w:after="0" w:line="240" w:lineRule="auto"/>
            </w:pPr>
            <w:r>
              <w:rPr>
                <w:sz w:val="17"/>
              </w:rPr>
              <w:t>Coarse-to-fine convergence</w:t>
            </w:r>
          </w:p>
        </w:tc>
        <w:tc>
          <w:tcPr>
            <w:tcW w:type="dxa" w:w="6360"/>
            <w:vAlign w:val="center"/>
            <w:tcMar>
              <w:top w:w="90" w:type="dxa"/>
              <w:start w:w="110" w:type="dxa"/>
              <w:bottom w:w="90" w:type="dxa"/>
              <w:end w:w="110" w:type="dxa"/>
            </w:tcMar>
          </w:tcPr>
          <w:p>
            <w:pPr>
              <w:spacing w:before="0" w:after="0" w:line="240" w:lineRule="auto"/>
            </w:pPr>
            <w:r>
              <w:rPr>
                <w:sz w:val="17"/>
              </w:rPr>
              <w:t>Mid-latitude RMS improves by at least 5%; may be disabled explicitly with --no-convergence-gate.</w:t>
            </w:r>
          </w:p>
        </w:tc>
      </w:tr>
    </w:tbl>
    <w:p>
      <w:r>
        <w:rPr>
          <w:b/>
        </w:rPr>
        <w:t xml:space="preserve">Outputs: </w:t>
      </w:r>
      <w:r>
        <w:t>C5_latitude_summary.csv, C5_aggregate_summary.csv, C5_result.json, optional convergence plot, and one run directory per field profile.</w:t>
      </w:r>
    </w:p>
    <w:p>
      <w:pPr>
        <w:pStyle w:val="Heading2"/>
        <w:keepNext/>
        <w:pageBreakBefore w:val="0"/>
      </w:pPr>
      <w:r>
        <w:t>C6. Global IGRF effective vertical-cutoff validation [implemented]</w:t>
      </w:r>
    </w:p>
    <w:p>
      <w:pPr>
        <w:shd w:fill="FFF2CC"/>
      </w:pPr>
      <w:r>
        <w:rPr>
          <w:b/>
        </w:rPr>
        <w:t xml:space="preserve">Implementation status: </w:t>
      </w:r>
      <w:r>
        <w:t>Implemented by run_C6.py with INITIAL, COMPLETE, and MODERN reference subtests and GRIDLESS, GRIDDED, or BOTH solver selections.</w:t>
      </w:r>
    </w:p>
    <w:p>
      <w:r>
        <w:t>C6 compares AMPS PENUMBRA_SCAN Rc_effective_GV with published global vertical-cutoff tables. The calculation uses IGRF only at 20 km WGS-84 geodetic altitude. GRIDLESS evaluates IGRF directly; GRIDDED materializes the same epoch on the Mode3D mesh and interpolates it. No T96/T05 event driver is used.</w:t>
      </w:r>
    </w:p>
    <w:p>
      <w:pPr>
        <w:spacing w:before="60" w:after="120"/>
        <w:ind w:left="200" w:right="120"/>
        <w:shd w:fill="F2F2F2"/>
      </w:pPr>
      <w:r>
        <w:rPr>
          <w:rFonts w:ascii="Consolas" w:hAnsi="Consolas"/>
          <w:sz w:val="16"/>
        </w:rPr>
        <w:t>FIELD_MODEL IGRF</w:t>
        <w:br/>
        <w:t>SHELL_GEOMETRY GEODETIC</w:t>
        <w:br/>
        <w:t>SHELL_ALTS_KM 20</w:t>
        <w:br/>
        <w:t>CUTOFF_SEARCH_ALGORITHM PENUMBRA_SCAN</w:t>
        <w:br/>
        <w:t>CUTOFF_SCAN_SPACING LINEAR</w:t>
        <w:br/>
        <w:t>CUTOFF range 0.01-20 GV, 2000 vertices (0.01 GV spacing)</w:t>
        <w:br/>
        <w:t>CUTOFF_BACKTRACE_CHARGE REVERSED</w:t>
        <w:br/>
        <w:t>CUTOFF_MAX_TRAJ_TIME 600 s</w:t>
      </w:r>
    </w:p>
    <w:tbl>
      <w:tblPr>
        <w:tblStyle w:val="TableGrid"/>
        <w:tblW w:type="dxa" w:w="9360"/>
        <w:tblLayout w:type="fixed"/>
        <w:tblLook w:firstColumn="1" w:firstRow="1" w:lastColumn="0" w:lastRow="0" w:noHBand="0" w:noVBand="1" w:val="04A0"/>
      </w:tblPr>
      <w:tblGrid>
        <w:gridCol w:w="1800"/>
        <w:gridCol w:w="7560"/>
      </w:tblGrid>
      <w:tr>
        <w:trPr>
          <w:tblHeader w:val="true"/>
        </w:trPr>
        <w:tc>
          <w:tcPr>
            <w:tcW w:type="dxa" w:w="1800"/>
            <w:vAlign w:val="center"/>
            <w:tcMar>
              <w:top w:w="90" w:type="dxa"/>
              <w:start w:w="110" w:type="dxa"/>
              <w:bottom w:w="90" w:type="dxa"/>
              <w:end w:w="110" w:type="dxa"/>
            </w:tcMar>
            <w:shd w:fill="D9EAF7"/>
          </w:tcPr>
          <w:p>
            <w:pPr>
              <w:spacing w:before="0" w:after="0" w:line="240" w:lineRule="auto"/>
            </w:pPr>
            <w:r>
              <w:rPr>
                <w:b/>
                <w:color w:val="1F4E78"/>
                <w:sz w:val="17"/>
              </w:rPr>
              <w:t>Subtest</w:t>
            </w:r>
          </w:p>
        </w:tc>
        <w:tc>
          <w:tcPr>
            <w:tcW w:type="dxa" w:w="7560"/>
            <w:vAlign w:val="center"/>
            <w:tcMar>
              <w:top w:w="90" w:type="dxa"/>
              <w:start w:w="110" w:type="dxa"/>
              <w:bottom w:w="90" w:type="dxa"/>
              <w:end w:w="110" w:type="dxa"/>
            </w:tcMar>
            <w:shd w:fill="D9EAF7"/>
          </w:tcPr>
          <w:p>
            <w:pPr>
              <w:spacing w:before="0" w:after="0" w:line="240" w:lineRule="auto"/>
            </w:pPr>
            <w:r>
              <w:rPr>
                <w:b/>
                <w:color w:val="1F4E78"/>
                <w:sz w:val="17"/>
              </w:rPr>
              <w:t>Bundled reference and coverage</w:t>
            </w:r>
          </w:p>
        </w:tc>
      </w:tr>
      <w:tr>
        <w:tc>
          <w:tcPr>
            <w:tcW w:type="dxa" w:w="1800"/>
            <w:vAlign w:val="center"/>
            <w:tcMar>
              <w:top w:w="90" w:type="dxa"/>
              <w:start w:w="110" w:type="dxa"/>
              <w:bottom w:w="90" w:type="dxa"/>
              <w:end w:w="110" w:type="dxa"/>
            </w:tcMar>
          </w:tcPr>
          <w:p>
            <w:pPr>
              <w:spacing w:before="0" w:after="0" w:line="240" w:lineRule="auto"/>
            </w:pPr>
            <w:r>
              <w:rPr>
                <w:sz w:val="17"/>
              </w:rPr>
              <w:t>INITIAL</w:t>
            </w:r>
          </w:p>
        </w:tc>
        <w:tc>
          <w:tcPr>
            <w:tcW w:type="dxa" w:w="7560"/>
            <w:vAlign w:val="center"/>
            <w:tcMar>
              <w:top w:w="90" w:type="dxa"/>
              <w:start w:w="110" w:type="dxa"/>
              <w:bottom w:w="90" w:type="dxa"/>
              <w:end w:w="110" w:type="dxa"/>
            </w:tcMar>
          </w:tcPr>
          <w:p>
            <w:pPr>
              <w:spacing w:before="0" w:after="0" w:line="240" w:lineRule="auto"/>
            </w:pPr>
            <w:r>
              <w:rPr>
                <w:sz w:val="17"/>
              </w:rPr>
              <w:t>Smart and Shea epoch 2000 table, 444 points on a 5 deg latitude x 30 deg longitude grid.</w:t>
            </w:r>
          </w:p>
        </w:tc>
      </w:tr>
      <w:tr>
        <w:tc>
          <w:tcPr>
            <w:tcW w:type="dxa" w:w="1800"/>
            <w:vAlign w:val="center"/>
            <w:tcMar>
              <w:top w:w="90" w:type="dxa"/>
              <w:start w:w="110" w:type="dxa"/>
              <w:bottom w:w="90" w:type="dxa"/>
              <w:end w:w="110" w:type="dxa"/>
            </w:tcMar>
          </w:tcPr>
          <w:p>
            <w:pPr>
              <w:spacing w:before="0" w:after="0" w:line="240" w:lineRule="auto"/>
            </w:pPr>
            <w:r>
              <w:rPr>
                <w:sz w:val="17"/>
              </w:rPr>
              <w:t>COMPLETE</w:t>
            </w:r>
          </w:p>
        </w:tc>
        <w:tc>
          <w:tcPr>
            <w:tcW w:type="dxa" w:w="7560"/>
            <w:vAlign w:val="center"/>
            <w:tcMar>
              <w:top w:w="90" w:type="dxa"/>
              <w:start w:w="110" w:type="dxa"/>
              <w:bottom w:w="90" w:type="dxa"/>
              <w:end w:w="110" w:type="dxa"/>
            </w:tcMar>
          </w:tcPr>
          <w:p>
            <w:pPr>
              <w:spacing w:before="0" w:after="0" w:line="240" w:lineRule="auto"/>
            </w:pPr>
            <w:r>
              <w:rPr>
                <w:sz w:val="17"/>
              </w:rPr>
              <w:t>CARI-7, six epochs and complete 1 deg tables (386,640 points); a coarser subset is the default calculation.</w:t>
            </w:r>
          </w:p>
        </w:tc>
      </w:tr>
      <w:tr>
        <w:tc>
          <w:tcPr>
            <w:tcW w:type="dxa" w:w="1800"/>
            <w:vAlign w:val="center"/>
            <w:tcMar>
              <w:top w:w="90" w:type="dxa"/>
              <w:start w:w="110" w:type="dxa"/>
              <w:bottom w:w="90" w:type="dxa"/>
              <w:end w:w="110" w:type="dxa"/>
            </w:tcMar>
          </w:tcPr>
          <w:p>
            <w:pPr>
              <w:spacing w:before="0" w:after="0" w:line="240" w:lineRule="auto"/>
            </w:pPr>
            <w:r>
              <w:rPr>
                <w:sz w:val="17"/>
              </w:rPr>
              <w:t>MODERN</w:t>
            </w:r>
          </w:p>
        </w:tc>
        <w:tc>
          <w:tcPr>
            <w:tcW w:type="dxa" w:w="7560"/>
            <w:vAlign w:val="center"/>
            <w:tcMar>
              <w:top w:w="90" w:type="dxa"/>
              <w:start w:w="110" w:type="dxa"/>
              <w:bottom w:w="90" w:type="dxa"/>
              <w:end w:w="110" w:type="dxa"/>
            </w:tcMar>
          </w:tcPr>
          <w:p>
            <w:pPr>
              <w:spacing w:before="0" w:after="0" w:line="240" w:lineRule="auto"/>
            </w:pPr>
            <w:r>
              <w:rPr>
                <w:sz w:val="17"/>
              </w:rPr>
              <w:t>Author-supplied Gerontidou 2015 5 deg x 15 deg grid; loaders accept authoritative 2010/2020 tables, which are not synthesized.</w:t>
            </w:r>
          </w:p>
        </w:tc>
      </w:tr>
    </w:tbl>
    <w:tbl>
      <w:tblPr>
        <w:tblStyle w:val="TableGrid"/>
        <w:tblW w:type="dxa" w:w="9360"/>
        <w:tblLayout w:type="fixed"/>
        <w:tblLook w:firstColumn="1" w:firstRow="1" w:lastColumn="0" w:lastRow="0" w:noHBand="0" w:noVBand="1" w:val="04A0"/>
      </w:tblPr>
      <w:tblGrid>
        <w:gridCol w:w="2800"/>
        <w:gridCol w:w="6560"/>
      </w:tblGrid>
      <w:tr>
        <w:trPr>
          <w:tblHeader w:val="true"/>
        </w:trPr>
        <w:tc>
          <w:tcPr>
            <w:tcW w:type="dxa" w:w="2800"/>
            <w:vAlign w:val="center"/>
            <w:tcMar>
              <w:top w:w="90" w:type="dxa"/>
              <w:start w:w="110" w:type="dxa"/>
              <w:bottom w:w="90" w:type="dxa"/>
              <w:end w:w="110" w:type="dxa"/>
            </w:tcMar>
            <w:shd w:fill="D9EAF7"/>
          </w:tcPr>
          <w:p>
            <w:pPr>
              <w:spacing w:before="0" w:after="0" w:line="240" w:lineRule="auto"/>
            </w:pPr>
            <w:r>
              <w:rPr>
                <w:b/>
                <w:color w:val="1F4E78"/>
                <w:sz w:val="17"/>
              </w:rPr>
              <w:t>Metric</w:t>
            </w:r>
          </w:p>
        </w:tc>
        <w:tc>
          <w:tcPr>
            <w:tcW w:type="dxa" w:w="6560"/>
            <w:vAlign w:val="center"/>
            <w:tcMar>
              <w:top w:w="90" w:type="dxa"/>
              <w:start w:w="110" w:type="dxa"/>
              <w:bottom w:w="90" w:type="dxa"/>
              <w:end w:w="110" w:type="dxa"/>
            </w:tcMar>
            <w:shd w:fill="D9EAF7"/>
          </w:tcPr>
          <w:p>
            <w:pPr>
              <w:spacing w:before="0" w:after="0" w:line="240" w:lineRule="auto"/>
            </w:pPr>
            <w:r>
              <w:rPr>
                <w:b/>
                <w:color w:val="1F4E78"/>
                <w:sz w:val="17"/>
              </w:rPr>
              <w:t>Default gate</w:t>
            </w:r>
          </w:p>
        </w:tc>
      </w:tr>
      <w:tr>
        <w:tc>
          <w:tcPr>
            <w:tcW w:type="dxa" w:w="2800"/>
            <w:vAlign w:val="center"/>
            <w:tcMar>
              <w:top w:w="90" w:type="dxa"/>
              <w:start w:w="110" w:type="dxa"/>
              <w:bottom w:w="90" w:type="dxa"/>
              <w:end w:w="110" w:type="dxa"/>
            </w:tcMar>
          </w:tcPr>
          <w:p>
            <w:pPr>
              <w:spacing w:before="0" w:after="0" w:line="240" w:lineRule="auto"/>
            </w:pPr>
            <w:r>
              <w:rPr>
                <w:sz w:val="17"/>
              </w:rPr>
              <w:t>Reference rows matched and valid</w:t>
            </w:r>
          </w:p>
        </w:tc>
        <w:tc>
          <w:tcPr>
            <w:tcW w:type="dxa" w:w="6560"/>
            <w:vAlign w:val="center"/>
            <w:tcMar>
              <w:top w:w="90" w:type="dxa"/>
              <w:start w:w="110" w:type="dxa"/>
              <w:bottom w:w="90" w:type="dxa"/>
              <w:end w:w="110" w:type="dxa"/>
            </w:tcMar>
          </w:tcPr>
          <w:p>
            <w:pPr>
              <w:spacing w:before="0" w:after="0" w:line="240" w:lineRule="auto"/>
            </w:pPr>
            <w:r>
              <w:rPr>
                <w:sz w:val="17"/>
              </w:rPr>
              <w:t>&gt;=98%.</w:t>
            </w:r>
          </w:p>
        </w:tc>
      </w:tr>
      <w:tr>
        <w:tc>
          <w:tcPr>
            <w:tcW w:type="dxa" w:w="2800"/>
            <w:vAlign w:val="center"/>
            <w:tcMar>
              <w:top w:w="90" w:type="dxa"/>
              <w:start w:w="110" w:type="dxa"/>
              <w:bottom w:w="90" w:type="dxa"/>
              <w:end w:w="110" w:type="dxa"/>
            </w:tcMar>
          </w:tcPr>
          <w:p>
            <w:pPr>
              <w:spacing w:before="0" w:after="0" w:line="240" w:lineRule="auto"/>
            </w:pPr>
            <w:r>
              <w:rPr>
                <w:sz w:val="17"/>
              </w:rPr>
              <w:t>Per-point tolerance</w:t>
            </w:r>
          </w:p>
        </w:tc>
        <w:tc>
          <w:tcPr>
            <w:tcW w:type="dxa" w:w="6560"/>
            <w:vAlign w:val="center"/>
            <w:tcMar>
              <w:top w:w="90" w:type="dxa"/>
              <w:start w:w="110" w:type="dxa"/>
              <w:bottom w:w="90" w:type="dxa"/>
              <w:end w:w="110" w:type="dxa"/>
            </w:tcMar>
          </w:tcPr>
          <w:p>
            <w:pPr>
              <w:spacing w:before="0" w:after="0" w:line="240" w:lineRule="auto"/>
            </w:pPr>
            <w:r>
              <w:rPr>
                <w:sz w:val="17"/>
              </w:rPr>
              <w:t>|error| &lt;= max(0.50 GV, 0.15*max(reference,0.25 GV)).</w:t>
            </w:r>
          </w:p>
        </w:tc>
      </w:tr>
      <w:tr>
        <w:tc>
          <w:tcPr>
            <w:tcW w:type="dxa" w:w="2800"/>
            <w:vAlign w:val="center"/>
            <w:tcMar>
              <w:top w:w="90" w:type="dxa"/>
              <w:start w:w="110" w:type="dxa"/>
              <w:bottom w:w="90" w:type="dxa"/>
              <w:end w:w="110" w:type="dxa"/>
            </w:tcMar>
          </w:tcPr>
          <w:p>
            <w:pPr>
              <w:spacing w:before="0" w:after="0" w:line="240" w:lineRule="auto"/>
            </w:pPr>
            <w:r>
              <w:rPr>
                <w:sz w:val="17"/>
              </w:rPr>
              <w:t>Point pass fraction</w:t>
            </w:r>
          </w:p>
        </w:tc>
        <w:tc>
          <w:tcPr>
            <w:tcW w:type="dxa" w:w="6560"/>
            <w:vAlign w:val="center"/>
            <w:tcMar>
              <w:top w:w="90" w:type="dxa"/>
              <w:start w:w="110" w:type="dxa"/>
              <w:bottom w:w="90" w:type="dxa"/>
              <w:end w:w="110" w:type="dxa"/>
            </w:tcMar>
          </w:tcPr>
          <w:p>
            <w:pPr>
              <w:spacing w:before="0" w:after="0" w:line="240" w:lineRule="auto"/>
            </w:pPr>
            <w:r>
              <w:rPr>
                <w:sz w:val="17"/>
              </w:rPr>
              <w:t>&gt;=85% of valid rows.</w:t>
            </w:r>
          </w:p>
        </w:tc>
      </w:tr>
      <w:tr>
        <w:tc>
          <w:tcPr>
            <w:tcW w:type="dxa" w:w="2800"/>
            <w:vAlign w:val="center"/>
            <w:tcMar>
              <w:top w:w="90" w:type="dxa"/>
              <w:start w:w="110" w:type="dxa"/>
              <w:bottom w:w="90" w:type="dxa"/>
              <w:end w:w="110" w:type="dxa"/>
            </w:tcMar>
          </w:tcPr>
          <w:p>
            <w:pPr>
              <w:spacing w:before="0" w:after="0" w:line="240" w:lineRule="auto"/>
            </w:pPr>
            <w:r>
              <w:rPr>
                <w:sz w:val="17"/>
              </w:rPr>
              <w:t>RMSE</w:t>
            </w:r>
          </w:p>
        </w:tc>
        <w:tc>
          <w:tcPr>
            <w:tcW w:type="dxa" w:w="6560"/>
            <w:vAlign w:val="center"/>
            <w:tcMar>
              <w:top w:w="90" w:type="dxa"/>
              <w:start w:w="110" w:type="dxa"/>
              <w:bottom w:w="90" w:type="dxa"/>
              <w:end w:w="110" w:type="dxa"/>
            </w:tcMar>
          </w:tcPr>
          <w:p>
            <w:pPr>
              <w:spacing w:before="0" w:after="0" w:line="240" w:lineRule="auto"/>
            </w:pPr>
            <w:r>
              <w:rPr>
                <w:sz w:val="17"/>
              </w:rPr>
              <w:t>&lt;=0.60 GV for each expanded epoch case.</w:t>
            </w:r>
          </w:p>
        </w:tc>
      </w:tr>
      <w:tr>
        <w:tc>
          <w:tcPr>
            <w:tcW w:type="dxa" w:w="2800"/>
            <w:vAlign w:val="center"/>
            <w:tcMar>
              <w:top w:w="90" w:type="dxa"/>
              <w:start w:w="110" w:type="dxa"/>
              <w:bottom w:w="90" w:type="dxa"/>
              <w:end w:w="110" w:type="dxa"/>
            </w:tcMar>
          </w:tcPr>
          <w:p>
            <w:pPr>
              <w:spacing w:before="0" w:after="0" w:line="240" w:lineRule="auto"/>
            </w:pPr>
            <w:r>
              <w:rPr>
                <w:sz w:val="17"/>
              </w:rPr>
              <w:t>GRIDDED convergence</w:t>
            </w:r>
          </w:p>
        </w:tc>
        <w:tc>
          <w:tcPr>
            <w:tcW w:type="dxa" w:w="6560"/>
            <w:vAlign w:val="center"/>
            <w:tcMar>
              <w:top w:w="90" w:type="dxa"/>
              <w:start w:w="110" w:type="dxa"/>
              <w:bottom w:w="90" w:type="dxa"/>
              <w:end w:w="110" w:type="dxa"/>
            </w:tcMar>
          </w:tcPr>
          <w:p>
            <w:pPr>
              <w:spacing w:before="0" w:after="0" w:line="240" w:lineRule="auto"/>
            </w:pPr>
            <w:r>
              <w:rPr>
                <w:sz w:val="17"/>
              </w:rPr>
              <w:t>Repeat at a finer near-Earth mesh and document convergence; the checked-in 0.02 Re setting is only an initial numerical profile.</w:t>
            </w:r>
          </w:p>
        </w:tc>
      </w:tr>
    </w:tbl>
    <w:p>
      <w:r>
        <w:rPr>
          <w:b/>
        </w:rPr>
        <w:t xml:space="preserve">Outputs: </w:t>
      </w:r>
      <w:r>
        <w:t>Pointwise Rc_lower/Rc_effective/Rc_upper, access-band topology, solver/mesh provenance, residual tables, command/input, and JSON summaries.</w:t>
      </w:r>
    </w:p>
    <w:p>
      <w:pPr>
        <w:pStyle w:val="Heading2"/>
        <w:keepNext/>
        <w:pageBreakBefore w:val="0"/>
      </w:pPr>
      <w:r>
        <w:t>C7. IZMIRAN T96 vertical-cutoff benchmark [implemented]</w:t>
      </w:r>
    </w:p>
    <w:p>
      <w:pPr>
        <w:shd w:fill="FFF2CC"/>
      </w:pPr>
      <w:r>
        <w:rPr>
          <w:b/>
        </w:rPr>
        <w:t xml:space="preserve">Implementation status: </w:t>
      </w:r>
      <w:r>
        <w:t>Implemented. The standard bundled case is the 28-point IZMIRAN Cutoff2050 IGRF+T96 benchmark; GeoMagSphere files are templates/optional strict imports, not bundled authoritative results.</w:t>
      </w:r>
    </w:p>
    <w:p>
      <w:r>
        <w:t>The default reference uses 2012-03-08T00:00:00 at 500 km geodetic altitude, latitudes -60,-45,-30,0,30,45,60 deg and east longitudes 0,90,180,270 deg. Drivers are SWDP 2 nPa, Dst -50 nT, IMF By 0 nT, and IMF Bz -5 nT. The calculator used 0.01-20 GV with 0.1 GV step and a 20 s maximum flight time.</w:t>
      </w:r>
    </w:p>
    <w:p>
      <w:pPr>
        <w:spacing w:before="60" w:after="120"/>
        <w:ind w:left="200" w:right="120"/>
        <w:shd w:fill="F2F2F2"/>
      </w:pPr>
      <w:r>
        <w:rPr>
          <w:rFonts w:ascii="Consolas" w:hAnsi="Consolas"/>
          <w:sz w:val="16"/>
        </w:rPr>
        <w:t>Standard runner: run_C7_izmiran.py</w:t>
        <w:br/>
        <w:t>FIELD_MODEL T96</w:t>
        <w:br/>
        <w:t>MOVER RK4</w:t>
        <w:br/>
        <w:t>CUTOFF_BACKTRACE_CHARGE REVERSED</w:t>
        <w:br/>
        <w:t>CUTOFF_TRACE_LIMIT_POLICY FORBIDDEN</w:t>
        <w:br/>
        <w:t>CUTOFF_UPPER_SCAN_N 400</w:t>
        <w:br/>
        <w:t>MAX_TRACE_TIME 20 s</w:t>
        <w:br/>
        <w:t>SOLVER GRIDLESS (default), GRIDDED, or BOTH</w:t>
      </w:r>
    </w:p>
    <w:tbl>
      <w:tblPr>
        <w:tblStyle w:val="TableGrid"/>
        <w:tblW w:type="dxa" w:w="9360"/>
        <w:tblLayout w:type="fixed"/>
        <w:tblLook w:firstColumn="1" w:firstRow="1" w:lastColumn="0" w:lastRow="0" w:noHBand="0" w:noVBand="1" w:val="04A0"/>
      </w:tblPr>
      <w:tblGrid>
        <w:gridCol w:w="2700"/>
        <w:gridCol w:w="6660"/>
      </w:tblGrid>
      <w:tr>
        <w:trPr>
          <w:tblHeader w:val="true"/>
        </w:trPr>
        <w:tc>
          <w:tcPr>
            <w:tcW w:type="dxa" w:w="2700"/>
            <w:vAlign w:val="center"/>
            <w:tcMar>
              <w:top w:w="90" w:type="dxa"/>
              <w:start w:w="110" w:type="dxa"/>
              <w:bottom w:w="90" w:type="dxa"/>
              <w:end w:w="110" w:type="dxa"/>
            </w:tcMar>
            <w:shd w:fill="D9EAF7"/>
          </w:tcPr>
          <w:p>
            <w:pPr>
              <w:spacing w:before="0" w:after="0" w:line="240" w:lineRule="auto"/>
            </w:pPr>
            <w:r>
              <w:rPr>
                <w:b/>
                <w:color w:val="1F4E78"/>
                <w:sz w:val="17"/>
              </w:rPr>
              <w:t>Comparison</w:t>
            </w:r>
          </w:p>
        </w:tc>
        <w:tc>
          <w:tcPr>
            <w:tcW w:type="dxa" w:w="6660"/>
            <w:vAlign w:val="center"/>
            <w:tcMar>
              <w:top w:w="90" w:type="dxa"/>
              <w:start w:w="110" w:type="dxa"/>
              <w:bottom w:w="90" w:type="dxa"/>
              <w:end w:w="110" w:type="dxa"/>
            </w:tcMar>
            <w:shd w:fill="D9EAF7"/>
          </w:tcPr>
          <w:p>
            <w:pPr>
              <w:spacing w:before="0" w:after="0" w:line="240" w:lineRule="auto"/>
            </w:pPr>
            <w:r>
              <w:rPr>
                <w:b/>
                <w:color w:val="1F4E78"/>
                <w:sz w:val="17"/>
              </w:rPr>
              <w:t>Implemented rule</w:t>
            </w:r>
          </w:p>
        </w:tc>
      </w:tr>
      <w:tr>
        <w:tc>
          <w:tcPr>
            <w:tcW w:type="dxa" w:w="2700"/>
            <w:vAlign w:val="center"/>
            <w:tcMar>
              <w:top w:w="90" w:type="dxa"/>
              <w:start w:w="110" w:type="dxa"/>
              <w:bottom w:w="90" w:type="dxa"/>
              <w:end w:w="110" w:type="dxa"/>
            </w:tcMar>
          </w:tcPr>
          <w:p>
            <w:pPr>
              <w:spacing w:before="0" w:after="0" w:line="240" w:lineRule="auto"/>
            </w:pPr>
            <w:r>
              <w:rPr>
                <w:sz w:val="17"/>
              </w:rPr>
              <w:t>Lower cutoff</w:t>
            </w:r>
          </w:p>
        </w:tc>
        <w:tc>
          <w:tcPr>
            <w:tcW w:type="dxa" w:w="6660"/>
            <w:vAlign w:val="center"/>
            <w:tcMar>
              <w:top w:w="90" w:type="dxa"/>
              <w:start w:w="110" w:type="dxa"/>
              <w:bottom w:w="90" w:type="dxa"/>
              <w:end w:w="110" w:type="dxa"/>
            </w:tcMar>
          </w:tcPr>
          <w:p>
            <w:pPr>
              <w:spacing w:before="0" w:after="0" w:line="240" w:lineRule="auto"/>
            </w:pPr>
            <w:r>
              <w:rPr>
                <w:sz w:val="17"/>
              </w:rPr>
              <w:t>AMPS lower cutoff vs IZMIRAN lower cutoff.</w:t>
            </w:r>
          </w:p>
        </w:tc>
      </w:tr>
      <w:tr>
        <w:tc>
          <w:tcPr>
            <w:tcW w:type="dxa" w:w="2700"/>
            <w:vAlign w:val="center"/>
            <w:tcMar>
              <w:top w:w="90" w:type="dxa"/>
              <w:start w:w="110" w:type="dxa"/>
              <w:bottom w:w="90" w:type="dxa"/>
              <w:end w:w="110" w:type="dxa"/>
            </w:tcMar>
          </w:tcPr>
          <w:p>
            <w:pPr>
              <w:spacing w:before="0" w:after="0" w:line="240" w:lineRule="auto"/>
            </w:pPr>
            <w:r>
              <w:rPr>
                <w:sz w:val="17"/>
              </w:rPr>
              <w:t>Upper cutoff</w:t>
            </w:r>
          </w:p>
        </w:tc>
        <w:tc>
          <w:tcPr>
            <w:tcW w:type="dxa" w:w="6660"/>
            <w:vAlign w:val="center"/>
            <w:tcMar>
              <w:top w:w="90" w:type="dxa"/>
              <w:start w:w="110" w:type="dxa"/>
              <w:bottom w:w="90" w:type="dxa"/>
              <w:end w:w="110" w:type="dxa"/>
            </w:tcMar>
          </w:tcPr>
          <w:p>
            <w:pPr>
              <w:spacing w:before="0" w:after="0" w:line="240" w:lineRule="auto"/>
            </w:pPr>
            <w:r>
              <w:rPr>
                <w:sz w:val="17"/>
              </w:rPr>
              <w:t>AMPS upper cutoff vs IZMIRAN upper cutoff.</w:t>
            </w:r>
          </w:p>
        </w:tc>
      </w:tr>
      <w:tr>
        <w:tc>
          <w:tcPr>
            <w:tcW w:type="dxa" w:w="2700"/>
            <w:vAlign w:val="center"/>
            <w:tcMar>
              <w:top w:w="90" w:type="dxa"/>
              <w:start w:w="110" w:type="dxa"/>
              <w:bottom w:w="90" w:type="dxa"/>
              <w:end w:w="110" w:type="dxa"/>
            </w:tcMar>
          </w:tcPr>
          <w:p>
            <w:pPr>
              <w:spacing w:before="0" w:after="0" w:line="240" w:lineRule="auto"/>
            </w:pPr>
            <w:r>
              <w:rPr>
                <w:sz w:val="17"/>
              </w:rPr>
              <w:t>Effective cutoff</w:t>
            </w:r>
          </w:p>
        </w:tc>
        <w:tc>
          <w:tcPr>
            <w:tcW w:type="dxa" w:w="6660"/>
            <w:vAlign w:val="center"/>
            <w:tcMar>
              <w:top w:w="90" w:type="dxa"/>
              <w:start w:w="110" w:type="dxa"/>
              <w:bottom w:w="90" w:type="dxa"/>
              <w:end w:w="110" w:type="dxa"/>
            </w:tcMar>
          </w:tcPr>
          <w:p>
            <w:pPr>
              <w:spacing w:before="0" w:after="0" w:line="240" w:lineRule="auto"/>
            </w:pPr>
            <w:r>
              <w:rPr>
                <w:sz w:val="17"/>
              </w:rPr>
              <w:t>AMPS penumbra-integral Rc_effective vs IZMIRAN value labelled PENUMBRA_INTEGRAL.</w:t>
            </w:r>
          </w:p>
        </w:tc>
      </w:tr>
      <w:tr>
        <w:tc>
          <w:tcPr>
            <w:tcW w:type="dxa" w:w="2700"/>
            <w:vAlign w:val="center"/>
            <w:tcMar>
              <w:top w:w="90" w:type="dxa"/>
              <w:start w:w="110" w:type="dxa"/>
              <w:bottom w:w="90" w:type="dxa"/>
              <w:end w:w="110" w:type="dxa"/>
            </w:tcMar>
          </w:tcPr>
          <w:p>
            <w:pPr>
              <w:spacing w:before="0" w:after="0" w:line="240" w:lineRule="auto"/>
            </w:pPr>
            <w:r>
              <w:rPr>
                <w:sz w:val="17"/>
              </w:rPr>
              <w:t>Point tolerance</w:t>
            </w:r>
          </w:p>
        </w:tc>
        <w:tc>
          <w:tcPr>
            <w:tcW w:type="dxa" w:w="6660"/>
            <w:vAlign w:val="center"/>
            <w:tcMar>
              <w:top w:w="90" w:type="dxa"/>
              <w:start w:w="110" w:type="dxa"/>
              <w:bottom w:w="90" w:type="dxa"/>
              <w:end w:w="110" w:type="dxa"/>
            </w:tcMar>
          </w:tcPr>
          <w:p>
            <w:pPr>
              <w:spacing w:before="0" w:after="0" w:line="240" w:lineRule="auto"/>
            </w:pPr>
            <w:r>
              <w:rPr>
                <w:sz w:val="17"/>
              </w:rPr>
              <w:t>max(0.20 GV, 1.5*reference scan step, 10% of reference).</w:t>
            </w:r>
          </w:p>
        </w:tc>
      </w:tr>
      <w:tr>
        <w:tc>
          <w:tcPr>
            <w:tcW w:type="dxa" w:w="2700"/>
            <w:vAlign w:val="center"/>
            <w:tcMar>
              <w:top w:w="90" w:type="dxa"/>
              <w:start w:w="110" w:type="dxa"/>
              <w:bottom w:w="90" w:type="dxa"/>
              <w:end w:w="110" w:type="dxa"/>
            </w:tcMar>
          </w:tcPr>
          <w:p>
            <w:pPr>
              <w:spacing w:before="0" w:after="0" w:line="240" w:lineRule="auto"/>
            </w:pPr>
            <w:r>
              <w:rPr>
                <w:sz w:val="17"/>
              </w:rPr>
              <w:t>Group gates</w:t>
            </w:r>
          </w:p>
        </w:tc>
        <w:tc>
          <w:tcPr>
            <w:tcW w:type="dxa" w:w="6660"/>
            <w:vAlign w:val="center"/>
            <w:tcMar>
              <w:top w:w="90" w:type="dxa"/>
              <w:start w:w="110" w:type="dxa"/>
              <w:bottom w:w="90" w:type="dxa"/>
              <w:end w:w="110" w:type="dxa"/>
            </w:tcMar>
          </w:tcPr>
          <w:p>
            <w:pPr>
              <w:spacing w:before="0" w:after="0" w:line="240" w:lineRule="auto"/>
            </w:pPr>
            <w:r>
              <w:rPr>
                <w:sz w:val="17"/>
              </w:rPr>
              <w:t>Matched &gt;=95%, valid &gt;=95%, pass fraction &gt;=85%, maximum judged RMSE &lt;=0.50 GV.</w:t>
            </w:r>
          </w:p>
        </w:tc>
      </w:tr>
    </w:tbl>
    <w:p>
      <w:r>
        <w:rPr>
          <w:b/>
        </w:rPr>
        <w:t xml:space="preserve">Interpretation: </w:t>
      </w:r>
      <w:r>
        <w:t>This is an external numerical/model benchmark. Differences can also reflect IGRF versions, transforms, boundary treatment, and termination conventions.</w:t>
      </w:r>
    </w:p>
    <w:p>
      <w:pPr>
        <w:pStyle w:val="Heading2"/>
        <w:keepNext/>
        <w:pageBreakBefore w:val="0"/>
      </w:pPr>
      <w:r>
        <w:t>C8. AMS-style directional access and charge reversal [planned - not in archive]</w:t>
      </w:r>
    </w:p>
    <w:p>
      <w:pPr>
        <w:spacing w:after="120"/>
        <w:shd w:fill="FFF2CC"/>
      </w:pPr>
      <w:r>
        <w:rPr>
          <w:b/>
        </w:rPr>
        <w:t xml:space="preserve">Implementation status: Planned. </w:t>
      </w:r>
      <w:r>
        <w:t>No C8 directory or runner is present in all-test(1).tar. The following material is a proposed validation specification, not an executed archive test.</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keepNext/>
        <w:pageBreakBefore w:val="0"/>
      </w:pPr>
      <w:r>
        <w:t>C9. PAMELA public-data global-shell cutoff-latitude validation [implemented]</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keepNext/>
        <w:pageBreakBefore w:val="0"/>
      </w:pPr>
      <w:r>
        <w:t>C10. POES/MetOp measured proton-access boundary [implemented]</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t>Primary boundary product</w:t>
            </w:r>
          </w:p>
        </w:tc>
        <w:tc>
          <w:tcPr>
            <w:tcW w:type="dxa" w:w="5112"/>
            <w:vAlign w:val="top"/>
          </w:tcPr>
          <w:p>
            <w:r>
              <w:t>MLT-sector, hemisphere-resolved ACCESS_T50 from exact P6/P7 access states for the primary background-normalized code-validation gate; P8/P9 and first-harmonic morphology are diagnostic</w:t>
            </w:r>
          </w:p>
        </w:tc>
      </w:tr>
      <w:tr>
        <w:tc>
          <w:tcPr>
            <w:tcW w:type="dxa" w:w="5112"/>
            <w:vAlign w:val="top"/>
          </w:tcPr>
          <w:p>
            <w:r>
              <w:t>Storm response</w:t>
            </w:r>
          </w:p>
        </w:tc>
        <w:tc>
          <w:tcPr>
            <w:tcW w:type="dxa" w:w="5112"/>
            <w:vAlign w:val="top"/>
          </w:tcPr>
          <w:p>
            <w:r>
              <w:t>equatorward main-phase expansion, MLT asymmetry, north/south differences, and recovery</w:t>
            </w:r>
          </w:p>
        </w:tc>
      </w:tr>
      <w:tr>
        <w:tc>
          <w:tcPr>
            <w:tcW w:type="dxa" w:w="5112"/>
            <w:vAlign w:val="top"/>
          </w:tcPr>
          <w:p>
            <w:r>
              <w:t>Comparison metrics</w:t>
            </w:r>
          </w:p>
        </w:tc>
        <w:tc>
          <w:tcPr>
            <w:tcW w:type="dxa" w:w="5112"/>
            <w:vAlign w:val="top"/>
          </w:tcPr>
          <w:p>
            <w:r>
              <w:t>per-cell latitude residuals, coverage, bias/RMSE/correlation, low-rigidity expansion and timing; optional FULL_SCAN/DIRECT_ACCESS raw-state consistency</w:t>
            </w:r>
          </w:p>
        </w:tc>
      </w:tr>
    </w:tbl>
    <w:p>
      <w:pPr/>
      <w:r>
        <w:t>C10 is the real-measurement, constellation-scale companion to C9. It validates the storm-time low-Earth-orbit proton-access boundary against NOAA POES/MetOp SEM-2 MEPED observations during the December 2006 solar-particle event and geomagnetic storm. The test resolves the boundary by rigidity, hemisphere, UTC, and magnetic local time (MLT), and evaluates equatorward displacement, recovery, north/south behavior, and first-order MLT asymmetry.</w:t>
      </w:r>
    </w:p>
    <w:p>
      <w:pPr>
        <w:pStyle w:val="Heading3"/>
        <w:keepNext/>
        <w:pageBreakBefore w:val="0"/>
      </w:pPr>
      <w:r>
        <w:t>Observed reference quantity</w:t>
      </w:r>
    </w:p>
    <w:p>
      <w:pPr/>
      <w:r>
        <w:t>For each MEPED omnidirectional integral-proton channel, the production reference uses a background-normalized transmission on each inbound and outbound pass leg: Tobs=(F-Fbackground)/(Fpolar-Fbackground). Fpolar is the median valid flux above 75 deg absolute AACGM latitude, while Fbackground is estimated independently from the equatorward samples on that leg. Samples are ordered from equator to pole and fitted with a nondecreasing pool-adjacent-violators isotonic regression. The builder requires explicitly bracketed T25, T50, and T75 crossings, retains the T25-T75 transition width and isotonic RMS, and rejects insufficient-background, low-contrast, edge-clipped, excessively broad, or strongly nonmonotonic transitions. Time, position, altitude, AACGM latitude, and MLT are interpolated at fitted T50. The former direct 0.5*Fpolar threshold remains available only as the diagnostic HALF_POLAR_PLATEAU mode and cannot produce acceptance-eligible cells.</w:t>
      </w:r>
    </w:p>
    <w:p>
      <w:pPr/>
      <w:r>
        <w:t>The four channels remain P6 (&gt;16 MeV), P7 (&gt;36 MeV), P8 (&gt;70 MeV), and P9 (&gt;=140 MeV), represented by nominal-threshold proton rigidities 0.174013525, 0.262395866, 0.369131538, and 0.531334344 GV. P6 and P7 are PRIMARY code-validation channels. P8 and P9 remain DIAGNOSTIC and never control PASS/FAIL until their broad integral response is forward-folded through an SEP spectrum. A robust P8/P9 diagnostic cell now requires at least two quality-eligible crossings, two pass legs, and two spacecraft. Sparse or cross-channel-outlier cells remain in the reference and detailed comparison output but are excluded from connected diagnostic means and robust diagnostic metrics.</w:t>
      </w:r>
    </w:p>
    <w:p>
      <w:pPr>
        <w:pStyle w:val="Heading3"/>
        <w:keepNext/>
        <w:pageBreakBefore w:val="0"/>
      </w:pPr>
      <w:r>
        <w:t>Reference data acquisition and construction</w:t>
      </w:r>
    </w:p>
    <w:p>
      <w:pPr/>
      <w:r>
        <w:t>The numerical reference cannot be reconstructed completely from journal figures or published ellipse coefficients. The publications define the method and instrument response, but the pass-level December 2006 boundaries must be extracted from the official NOAA/NCEI historical Level-2 16-second archive. Use the ASCII v01r00 products for NOAA-15, NOAA-16, NOAA-17, NOAA-18, and MetOp-02/MetOp-A. Download 5-16 December 2006 to retain pre-storm and event context; the default C10 reference window is 14 December 00:00 UT through 16 December 12:00 UT.</w:t>
      </w:r>
    </w:p>
    <w:p>
      <w:pPr/>
      <w:r>
        <w:t>No-root tcsh environment setup:</w:t>
      </w:r>
    </w:p>
    <w:p>
      <w:pPr/>
      <w:r>
        <w:rPr>
          <w:rFonts w:ascii="Courier New" w:hAnsi="Courier New"/>
          <w:sz w:val="16"/>
        </w:rPr>
        <w:t>cd ~/T11/AMPS/srcEarth/test/C10 &amp;&amp; python3 -m pip install --user virtualenv &amp;&amp; setenv PATH "${HOME}/.local/bin:${PATH}" &amp;&amp; python3 -m virtualenv .venv &amp;&amp; source .venv/bin/activate.csh &amp;&amp; python -m pip install "pip&lt;25.1" "numpy&lt;1.25" "matplotlib&lt;3.8" aacgmv2</w:t>
      </w:r>
    </w:p>
    <w:p>
      <w:pPr/>
      <w:r>
        <w:t>Download and checksum the source files:</w:t>
      </w:r>
    </w:p>
    <w:p>
      <w:pPr/>
      <w:r>
        <w:rPr>
          <w:rFonts w:ascii="Courier New" w:hAnsi="Courier New"/>
          <w:sz w:val="16"/>
        </w:rPr>
        <w:t>python download_poes_sem2.py --start 2006-12-05 --end 2006-12-16 --satellites n15,n16,n17,n18,m02 --format txt --output-dir data/reference_source</w:t>
      </w:r>
    </w:p>
    <w:p>
      <w:pPr/>
      <w:r>
        <w:t>The downloader writes data/reference_source/download_manifest.json with the original URL, local path, byte count, and SHA-256 for every file. Before building the reference, list zero-byte files with "find data/reference_source -type f -size 0 -print" and remove or redownload them. The current downloader rejects zero-byte and obvious HTML/error responses; the builder skips documented empty satellite-day files but continues to fail on malformed nonempty scientific files.</w:t>
      </w:r>
    </w:p>
    <w:p>
      <w:pPr/>
      <w:r>
        <w:t>Build the archive-derived reference:</w:t>
      </w:r>
    </w:p>
    <w:p>
      <w:pPr/>
      <w:r>
        <w:t>python build_poes_reference.py --input-dir data/reference_source --event-start 2006-12-14T00:00:00Z --event-end 2006-12-16T12:00:00Z --crossing-method BACKGROUND_NORMALIZED_ISOTONIC --minimum-background-samples 3 --minimum-crossings-per-cell 2 --minimum-diagnostic-crossings-per-cell 2 --minimum-distinct-pass-legs-per-cell 2 --minimum-diagnostic-distinct-pass-legs-per-cell 2 --minimum-diagnostic-distinct-satellites-per-cell 2 --minimum-primary-transition-samples 2 --minimum-diagnostic-transition-samples 3 --minimum-diagnostic-contrast-to-noise 3 --p8-p9-outlier-sigma 4 --p8-p9-minimum-pairs 6 --p8-p9-fallback-max-separation-deg 6 --acceptance-window-stride-hours 2 --crossings-output C10_poes_boundary_crossings.csv --reference-output reference_C10_poes_meped_boundary.csv.gz --manifest-output C10_reference_manifest.json --summary-output C10_reference_summary.json</w:t>
      </w:r>
    </w:p>
    <w:p>
      <w:pPr/>
      <w:r>
        <w:t>The required products are: (1) C10_poes_boundary_crossings.csv, one row per fitted pass-leg T50 with background, plateau, T25/T50/T75, transition width, isotonic residual, transition-support count, contrast/noise estimate, P8-minus-P9 separation, cross-channel-outlier flag, and aggregation eligibility; (2) reference_C10_poes_meped_boundary.csv.gz, schema C10_POES_T50_V3, containing acceptance_eligible, diagnostic_eligible, quality_status, independent-pass and spacecraft counts, eligible-crossing count, outlier count, and support/noise summaries; (3) C10_reference_manifest.json, containing source checksums, processing settings, and cross-channel quality statistics; and (4) C10_reference_summary.json, containing observation, crossing, robust-diagnostic, sparse-diagnostic, acceptance, coverage, and skipped-file counts. An older reference must be rebuilt. Validate with "python run_C10.py --validate-references --reference reference_C10_poes_meped_boundary.csv.gz".</w:t>
      </w:r>
    </w:p>
    <w:p>
      <w:pPr>
        <w:pStyle w:val="Heading3"/>
        <w:keepNext/>
        <w:pageBreakBefore w:val="0"/>
      </w:pPr>
      <w:r>
        <w:t>AMPS cutoff-evaluation products</w:t>
      </w:r>
    </w:p>
    <w:p>
      <w:pPr/>
      <w:r>
        <w:t>C10 now uses the same FULL_SCAN/DIRECT_ACCESS design as C9. FULL_SCAN performs PENUMBRA_SCAN on the complete global shell and retains Rc_lower, Rc_effective, and Rc_upper. A nonempty P6-P9 rigidity list also requests companion exact-state output. FULL_SCAN supports GRIDLESS and GRIDDED. DIRECT_ACCESS is GRIDDED-only; it selects RIGIDITY_LIST, traces only the four P6-P9 rigidities, and restricts trajectory work to the configured 45-85 deg absolute-geodetic-latitude band.</w:t>
      </w:r>
    </w:p>
    <w:p>
      <w:pPr/>
      <w:r>
        <w:t>For the default 15 deg longitude by 2 deg latitude shell, DIRECT_ACCESS removes the 120-rigidity penumbra scan and most low-latitude shell nodes. The nominal trajectory count is approximately 60-70 times smaller than FULL_SCAN, although Mode3D mesh construction, field initialization, MPI startup, and multiple temporal samples remain fixed costs. For routine development, run DIRECT_ACCESS with one snapshot per two-hour observational interval first; increase --interval-samples to 5 only after the fast product is stable and time averaging is required.</w:t>
      </w:r>
    </w:p>
    <w:p>
      <w:pPr>
        <w:pStyle w:val="Heading3"/>
        <w:keepNext/>
        <w:pageBreakBefore w:val="0"/>
      </w:pPr>
      <w:r>
        <w:t>Common model observable</w:t>
      </w:r>
    </w:p>
    <w:p>
      <w:pPr/>
      <w:r>
        <w:t>The primary observable for both products is ACCESS_T50. Exact access states (0=forbidden, 1=allowed, 2=unresolved) are filtered to the common geodetic latitude band, converted to AACGM latitude and MLT, grouped into longitude profiles within each MLT sector and hemisphere, and sampled on a common AACGM latitude grid. The resolved allowed-state fraction is the modeled transmission. Weighted nondecreasing isotonic regression removes finite-longitude reversals; a boundary is accepted only when T=0.5 is explicitly bracketed and at least 1 deg from the retained latitude edge. This common reduction prevents FULL_SCAN and DIRECT_ACCESS from being compared through different boundary definitions. Rc_lower, Rc_effective, and Rc_upper remain FULL_SCAN-only diagnostics.</w:t>
      </w:r>
    </w:p>
    <w:p>
      <w:pPr>
        <w:pStyle w:val="Heading3"/>
        <w:keepNext/>
        <w:pageBreakBefore w:val="0"/>
      </w:pPr>
      <w:r>
        <w:t>Recommended execution sequence</w:t>
      </w:r>
    </w:p>
    <w:p>
      <w:pPr/>
      <w:r>
        <w:t>Fast GRIDDED routine calculation:</w:t>
      </w:r>
    </w:p>
    <w:p>
      <w:pPr/>
      <w:r>
        <w:rPr>
          <w:rFonts w:ascii="Courier New" w:hAnsi="Courier New"/>
          <w:sz w:val="16"/>
        </w:rPr>
        <w:t>python run_C10.py --solver GRIDDED --cutoff-evaluation DIRECT_ACCESS --comparison-observable ACCESS_T50 --profile ROUTINE --interval-samples 1 --reference reference_C10_poes_meped_boundary.csv.gz --output-root test_output/C10_direct --amps /home/vtenishe/T11/AMPS/amps --shell-lon-res-deg 15 --shell-lat-res-deg 2 --access-abs-lat-min-deg 45 --access-abs-lat-max-deg 85 --t50-grid-step-deg 0.25 --t50-min-resolved-profile-fraction 0.66 --t50-min-edge-margin-deg 1.0 --dynamic-chunk 32 -np 8 -nt 16</w:t>
      </w:r>
    </w:p>
    <w:p>
      <w:pPr/>
      <w:r>
        <w:t>Complete GRIDDED calculation and method-consistency check:</w:t>
      </w:r>
    </w:p>
    <w:p>
      <w:pPr/>
      <w:r>
        <w:rPr>
          <w:rFonts w:ascii="Courier New" w:hAnsi="Courier New"/>
          <w:sz w:val="16"/>
        </w:rPr>
        <w:t>python run_C10.py --solver GRIDDED --cutoff-evaluation FULL_SCAN --comparison-observable ACCESS_T50 --profile ROUTINE --interval-samples 1 --reference reference_C10_poes_meped_boundary.csv.gz --output-root test_output/C10_full --access-consistency-root test_output/C10_direct --amps /home/vtenishe/T11/AMPS/amps --cutoff-scan-n 120 --shell-lon-res-deg 15 --shell-lat-res-deg 2 --access-abs-lat-min-deg 45 --access-abs-lat-max-deg 85 --t50-grid-step-deg 0.25 --t50-min-resolved-profile-fraction 0.66 --t50-min-edge-margin-deg 1.0 --min-access-state-agreement 0.999 --max-access-unresolved-fraction 0.01 --dynamic-chunk 32 -np 8 -nt 16</w:t>
      </w:r>
    </w:p>
    <w:p>
      <w:pPr/>
      <w:r>
        <w:t>The consistency gate compares matching raw exact-rigidity classifications before AACGM conversion. A final FULL_SCAN pass requires at least 0.999 resolved-state agreement, no missing shell/rigidity keys, and an unresolved fraction no larger than 0.01. Scheduler chunk size is a work-distribution choice and is not a scientific difference. Use separate output roots because each mode has different raw filenames and computational cost.</w:t>
      </w:r>
    </w:p>
    <w:p>
      <w:pPr>
        <w:pStyle w:val="Heading3"/>
        <w:keepNext/>
        <w:pageBreakBefore w:val="0"/>
      </w:pPr>
      <w:r>
        <w:t>Outputs and acceptance</w:t>
      </w:r>
    </w:p>
    <w:p>
      <w:pPr/>
      <w:r>
        <w:t>Each solver branch writes C10_comparison.csv, C10_diagnostic_flags.csv, a time-series/residual figure, an observed-versus-modeled scatter plot, MLT morphology, and C10_result.json. Every plotted mean now uses exactly the same paired observation/model hemisphere-MLT rows. P8/P9 connected curves require at least two robust paired cells; sparse or cross-channel-outlier estimates are shown as open markers annotated with the paired count and are listed in C10_diagnostic_flags.csv. PASS/FAIL metrics remain restricted to background-corrected P6/P7 cells with at least two distinct pass legs on the nonoverlapping two-hour acceptance stride. C10_result.json reports robust and unfiltered per-channel metrics separately, so quality filtering cannot hide a diagnostic disagreement. The default primary gates remain valid fraction &gt;=0.85, RMSE &lt;=3 deg, absolute bias &lt;=2 deg, correlation &gt;=0.80, expansion 4-12 deg, and expansion-time error &lt;=180 min. The runner interpolates SYM-H from column 9 of the verified C9 TS05 driver at each midpoint.</w:t>
      </w:r>
    </w:p>
    <w:p>
      <w:pPr/>
      <w:r>
        <w:t>P8/P9 quality decisions are observational and independent of AMPS. For each pass leg containing both channels, the builder computes delta=|latitude_P8|-|latitude_P9| and flags an anomalously large positive separation using the larger of a median-plus-four-robust-sigma limit and a conservative 6 deg fallback when too few pairs exist. A flagged P9 crossing remains in the pass-level product but aggregate_eligible is false. The builder also records the number of samples supporting the central T20-T80 transition and a robust plateau-minus-background contrast/noise ratio. Remaining physical limitations include nominal-threshold rigidity labels rather than detector response convolution, vertical-trajectory modeling of an omnidirectional channel, detector aging, and rapidly evolving storm structure. The P6/P7 observational gate and FULL_SCAN/DIRECT_ACCESS exact-state gate preserve C10 as a useful code-validation test while P8/P9 remain transparent diagnostics.</w:t>
      </w:r>
    </w:p>
    <w:p>
      <w:pPr/>
      <w:r>
        <w:t>Primary references: NOAA/NCEI POES/MetOp SEM-2 Level-2 16-second archive and format documentation; Dmitriev, Jayachandran, and Tsai, JGR Space Physics (2010), for the December 2006 half-polar-cap-flux boundary method and morphology; Yando et al. (2011) for MEPED response functions; and the C10 REFERENCES.md file for the complete ten-source dataset and processing bibliography.</w:t>
      </w:r>
    </w:p>
    <w:p>
      <w:pPr/>
      <w:r>
        <w:t>Offline regression coverage: 16 tests exercise ASCII parsing, headerless input, zero-byte handling, deterministic gzip I/O, background-normalized T50 extraction, T25-T75 diagnostics, transition-support and contrast metadata, P8/P9 same-pass outlier retention, robust multi-pass/multi-satellite diagnostic eligibility, exact paired-cell averaging, sparse diagnostic flag output, driver SYM-H interpolation, primary/diagnostic metric separation, FULL_SCAN/DIRECT_ACCESS command and raw-state consistency, all plot products, and an archive-independent end-to-end --self-test.</w:t>
      </w:r>
    </w:p>
    <w:p>
      <w:pPr/>
      <w:r>
        <w:t>Figure C10 - Target behavior: paired background-normalized POES/MetOp and AMPS ACCESS_T50 cutoff latitude versus UTC. P6/P7 are the primary code-validation curves. Robust P8/P9 means are connected only where at least two quality-eligible paired cells exist; sparse or cross-channel-outlier values are open markers with n annotations. The residual panel uses AMPS minus POES for the same paired rows. FULL_SCAN versus DIRECT_ACCESS tests numerical-method consistency through matching exact-state classifications, while FULL_SCAN Rc contours and GRIDLESS/GRIDDED differences remain sensitivity diagnostics.</w:t>
      </w:r>
    </w:p>
    <w:p>
      <w:pPr>
        <w:pStyle w:val="Heading2"/>
        <w:keepNext/>
        <w:pageBreakBefore w:val="0"/>
      </w:pPr>
      <w:r>
        <w:t>C11. Penumbra-pocket regression (BINARY Rmin-collapse defect) [implemented]</w:t>
      </w:r>
    </w:p>
    <w:p>
      <w:pPr>
        <w:shd w:fill="FFF2CC"/>
      </w:pPr>
      <w:r>
        <w:rPr>
          <w:b/>
        </w:rPr>
        <w:t xml:space="preserve">Implementation status: </w:t>
      </w:r>
      <w:r>
        <w:t>Implemented as a Mode3D-only debug-rigidity-scan regression.</w:t>
      </w:r>
    </w:p>
    <w:p>
      <w:r>
        <w:t>At lon 0 deg, lat -60 deg, altitude 9000 km, C11 compares legacy BINARY and UPPER_SCAN in a centered dipole. The key unit correction is that CUTOFF_EMIN=0.05 is MeV/n, not GV. For a proton it gives Rmin about 0.0096866 GV, while the analytical vertical cutoff is about 0.159972 GV.</w:t>
      </w:r>
    </w:p>
    <w:p>
      <w:pPr>
        <w:spacing w:before="60" w:after="120"/>
        <w:ind w:left="200" w:right="120"/>
        <w:shd w:fill="F2F2F2"/>
      </w:pPr>
      <w:r>
        <w:rPr>
          <w:rFonts w:ascii="Consolas" w:hAnsi="Consolas"/>
          <w:sz w:val="16"/>
        </w:rPr>
        <w:t>CUTOFF_EMIN 0.05 MeV/n</w:t>
        <w:br/>
        <w:t>Rmin ~ 9.6866e-3 GV</w:t>
        <w:br/>
        <w:t>CUTOFF_DEBUG_RIGIDITY_SCAN T</w:t>
        <w:br/>
        <w:t>CUTOFF_DEBUG_SCAN_N 200</w:t>
        <w:br/>
        <w:t>Algorithms: BINARY and UPPER_SCAN</w:t>
      </w:r>
    </w:p>
    <w:tbl>
      <w:tblPr>
        <w:tblStyle w:val="TableGrid"/>
        <w:tblW w:type="dxa" w:w="9360"/>
        <w:tblLayout w:type="fixed"/>
        <w:tblLook w:firstColumn="1" w:firstRow="1" w:lastColumn="0" w:lastRow="0" w:noHBand="0" w:noVBand="1" w:val="04A0"/>
      </w:tblPr>
      <w:tblGrid>
        <w:gridCol w:w="3000"/>
        <w:gridCol w:w="6360"/>
      </w:tblGrid>
      <w:tr>
        <w:trPr>
          <w:tblHeader w:val="true"/>
        </w:trPr>
        <w:tc>
          <w:tcPr>
            <w:tcW w:type="dxa" w:w="3000"/>
            <w:vAlign w:val="center"/>
            <w:tcMar>
              <w:top w:w="90" w:type="dxa"/>
              <w:start w:w="110" w:type="dxa"/>
              <w:bottom w:w="90" w:type="dxa"/>
              <w:end w:w="110" w:type="dxa"/>
            </w:tcMar>
            <w:shd w:fill="D9EAF7"/>
          </w:tcPr>
          <w:p>
            <w:pPr>
              <w:spacing w:before="0" w:after="0" w:line="240" w:lineRule="auto"/>
            </w:pPr>
            <w:r>
              <w:rPr>
                <w:b/>
                <w:color w:val="1F4E78"/>
                <w:sz w:val="17"/>
              </w:rPr>
              <w:t>Gate</w:t>
            </w:r>
          </w:p>
        </w:tc>
        <w:tc>
          <w:tcPr>
            <w:tcW w:type="dxa" w:w="6360"/>
            <w:vAlign w:val="center"/>
            <w:tcMar>
              <w:top w:w="90" w:type="dxa"/>
              <w:start w:w="110" w:type="dxa"/>
              <w:bottom w:w="90" w:type="dxa"/>
              <w:end w:w="110" w:type="dxa"/>
            </w:tcMar>
            <w:shd w:fill="D9EAF7"/>
          </w:tcPr>
          <w:p>
            <w:pPr>
              <w:spacing w:before="0" w:after="0" w:line="240" w:lineRule="auto"/>
            </w:pPr>
            <w:r>
              <w:rPr>
                <w:b/>
                <w:color w:val="1F4E78"/>
                <w:sz w:val="17"/>
              </w:rPr>
              <w:t>Implemented expectation</w:t>
            </w:r>
          </w:p>
        </w:tc>
      </w:tr>
      <w:tr>
        <w:tc>
          <w:tcPr>
            <w:tcW w:type="dxa" w:w="3000"/>
            <w:vAlign w:val="center"/>
            <w:tcMar>
              <w:top w:w="90" w:type="dxa"/>
              <w:start w:w="110" w:type="dxa"/>
              <w:bottom w:w="90" w:type="dxa"/>
              <w:end w:w="110" w:type="dxa"/>
            </w:tcMar>
          </w:tcPr>
          <w:p>
            <w:pPr>
              <w:spacing w:before="0" w:after="0" w:line="240" w:lineRule="auto"/>
            </w:pPr>
            <w:r>
              <w:rPr>
                <w:sz w:val="17"/>
              </w:rPr>
              <w:t>BINARY primary point</w:t>
            </w:r>
          </w:p>
        </w:tc>
        <w:tc>
          <w:tcPr>
            <w:tcW w:type="dxa" w:w="6360"/>
            <w:vAlign w:val="center"/>
            <w:tcMar>
              <w:top w:w="90" w:type="dxa"/>
              <w:start w:w="110" w:type="dxa"/>
              <w:bottom w:w="90" w:type="dxa"/>
              <w:end w:w="110" w:type="dxa"/>
            </w:tcMar>
          </w:tcPr>
          <w:p>
            <w:pPr>
              <w:spacing w:before="0" w:after="0" w:line="240" w:lineRule="auto"/>
            </w:pPr>
            <w:r>
              <w:rPr>
                <w:sz w:val="17"/>
              </w:rPr>
              <w:t>Reproduces the legacy Rmin-collapse signature.</w:t>
            </w:r>
          </w:p>
        </w:tc>
      </w:tr>
      <w:tr>
        <w:tc>
          <w:tcPr>
            <w:tcW w:type="dxa" w:w="3000"/>
            <w:vAlign w:val="center"/>
            <w:tcMar>
              <w:top w:w="90" w:type="dxa"/>
              <w:start w:w="110" w:type="dxa"/>
              <w:bottom w:w="90" w:type="dxa"/>
              <w:end w:w="110" w:type="dxa"/>
            </w:tcMar>
          </w:tcPr>
          <w:p>
            <w:pPr>
              <w:spacing w:before="0" w:after="0" w:line="240" w:lineRule="auto"/>
            </w:pPr>
            <w:r>
              <w:rPr>
                <w:sz w:val="17"/>
              </w:rPr>
              <w:t>UPPER_SCAN</w:t>
            </w:r>
          </w:p>
        </w:tc>
        <w:tc>
          <w:tcPr>
            <w:tcW w:type="dxa" w:w="6360"/>
            <w:vAlign w:val="center"/>
            <w:tcMar>
              <w:top w:w="90" w:type="dxa"/>
              <w:start w:w="110" w:type="dxa"/>
              <w:bottom w:w="90" w:type="dxa"/>
              <w:end w:w="110" w:type="dxa"/>
            </w:tcMar>
          </w:tcPr>
          <w:p>
            <w:pPr>
              <w:spacing w:before="0" w:after="0" w:line="240" w:lineRule="auto"/>
            </w:pPr>
            <w:r>
              <w:rPr>
                <w:sz w:val="17"/>
              </w:rPr>
              <w:t>Does not collapse and agrees with Stormer within --upper-rel-tol.</w:t>
            </w:r>
          </w:p>
        </w:tc>
      </w:tr>
      <w:tr>
        <w:tc>
          <w:tcPr>
            <w:tcW w:type="dxa" w:w="3000"/>
            <w:vAlign w:val="center"/>
            <w:tcMar>
              <w:top w:w="90" w:type="dxa"/>
              <w:start w:w="110" w:type="dxa"/>
              <w:bottom w:w="90" w:type="dxa"/>
              <w:end w:w="110" w:type="dxa"/>
            </w:tcMar>
          </w:tcPr>
          <w:p>
            <w:pPr>
              <w:spacing w:before="0" w:after="0" w:line="240" w:lineRule="auto"/>
            </w:pPr>
            <w:r>
              <w:rPr>
                <w:sz w:val="17"/>
              </w:rPr>
              <w:t>Independent debug scan</w:t>
            </w:r>
          </w:p>
        </w:tc>
        <w:tc>
          <w:tcPr>
            <w:tcW w:type="dxa" w:w="6360"/>
            <w:vAlign w:val="center"/>
            <w:tcMar>
              <w:top w:w="90" w:type="dxa"/>
              <w:start w:w="110" w:type="dxa"/>
              <w:bottom w:w="90" w:type="dxa"/>
              <w:end w:w="110" w:type="dxa"/>
            </w:tcMar>
          </w:tcPr>
          <w:p>
            <w:pPr>
              <w:spacing w:before="0" w:after="0" w:line="240" w:lineRule="auto"/>
            </w:pPr>
            <w:r>
              <w:rPr>
                <w:sz w:val="17"/>
              </w:rPr>
              <w:t>Reports the same endpoint-BINARY and UPPER_SCAN behavior.</w:t>
            </w:r>
          </w:p>
        </w:tc>
      </w:tr>
      <w:tr>
        <w:tc>
          <w:tcPr>
            <w:tcW w:type="dxa" w:w="3000"/>
            <w:vAlign w:val="center"/>
            <w:tcMar>
              <w:top w:w="90" w:type="dxa"/>
              <w:start w:w="110" w:type="dxa"/>
              <w:bottom w:w="90" w:type="dxa"/>
              <w:end w:w="110" w:type="dxa"/>
            </w:tcMar>
          </w:tcPr>
          <w:p>
            <w:pPr>
              <w:spacing w:before="0" w:after="0" w:line="240" w:lineRule="auto"/>
            </w:pPr>
            <w:r>
              <w:rPr>
                <w:sz w:val="17"/>
              </w:rPr>
              <w:t>Repeat points</w:t>
            </w:r>
          </w:p>
        </w:tc>
        <w:tc>
          <w:tcPr>
            <w:tcW w:type="dxa" w:w="6360"/>
            <w:vAlign w:val="center"/>
            <w:tcMar>
              <w:top w:w="90" w:type="dxa"/>
              <w:start w:w="110" w:type="dxa"/>
              <w:bottom w:w="90" w:type="dxa"/>
              <w:end w:w="110" w:type="dxa"/>
            </w:tcMar>
          </w:tcPr>
          <w:p>
            <w:pPr>
              <w:spacing w:before="0" w:after="0" w:line="240" w:lineRule="auto"/>
            </w:pPr>
            <w:r>
              <w:rPr>
                <w:sz w:val="17"/>
              </w:rPr>
              <w:t>+60 deg and 500/9000 km are diagnostics unless --require-binary-collapse-all is used.</w:t>
            </w:r>
          </w:p>
        </w:tc>
      </w:tr>
    </w:tbl>
    <w:p>
      <w:pPr>
        <w:pStyle w:val="Heading2"/>
        <w:keepNext/>
        <w:pageBreakBefore w:val="0"/>
      </w:pPr>
      <w:r>
        <w:t>C12. Particle-mover cross-validation against Stormer [implemented]</w:t>
      </w:r>
    </w:p>
    <w:p>
      <w:pPr>
        <w:shd w:fill="FFF2CC"/>
      </w:pPr>
      <w:r>
        <w:rPr>
          <w:b/>
        </w:rPr>
        <w:t xml:space="preserve">Implementation status: </w:t>
      </w:r>
      <w:r>
        <w:t>Implemented as a GRIDLESS mover-versus-Stormer test.</w:t>
      </w:r>
    </w:p>
    <w:p>
      <w:r>
        <w:t>Full-orbit movers BORIS, RK2, RK4, and RK6 are checked at 9000 km and 25000 km. Guiding-center movers GC2, GC4, and GC6 are hard-checked only on the 25000 km shell by default; their 9000 km results may be retained as diagnostics. The sampled latitudes are -60,-30,0,30,60 deg.</w:t>
      </w:r>
    </w:p>
    <w:p>
      <w:pPr>
        <w:spacing w:before="60" w:after="120"/>
        <w:ind w:left="200" w:right="120"/>
        <w:shd w:fill="F2F2F2"/>
      </w:pPr>
      <w:r>
        <w:rPr>
          <w:rFonts w:ascii="Consolas" w:hAnsi="Consolas"/>
          <w:sz w:val="16"/>
        </w:rPr>
        <w:t>FIELD_MODEL DIPOLE</w:t>
        <w:br/>
        <w:t>CUTOFF_SAMPLING VERTICAL</w:t>
        <w:br/>
        <w:t>CUTOFF_EMIN 0.1 MeV/n</w:t>
        <w:br/>
        <w:t>FULL_ORBIT shells: 9000 km and 25000 km</w:t>
        <w:br/>
        <w:t>GUIDING_CENTER hard gate: 25000 km</w:t>
        <w:br/>
        <w:t>MOVER BORIS | RK2 | RK4 | RK6 | GC2 | GC4 | GC6</w:t>
      </w:r>
    </w:p>
    <w:tbl>
      <w:tblPr>
        <w:tblStyle w:val="TableGrid"/>
        <w:tblW w:type="dxa" w:w="9360"/>
        <w:tblLayout w:type="fixed"/>
        <w:tblLook w:firstColumn="1" w:firstRow="1" w:lastColumn="0" w:lastRow="0" w:noHBand="0" w:noVBand="1" w:val="04A0"/>
      </w:tblPr>
      <w:tblGrid>
        <w:gridCol w:w="3000"/>
        <w:gridCol w:w="6360"/>
      </w:tblGrid>
      <w:tr>
        <w:trPr>
          <w:tblHeader w:val="true"/>
        </w:trPr>
        <w:tc>
          <w:tcPr>
            <w:tcW w:type="dxa" w:w="3000"/>
            <w:vAlign w:val="center"/>
            <w:tcMar>
              <w:top w:w="90" w:type="dxa"/>
              <w:start w:w="110" w:type="dxa"/>
              <w:bottom w:w="90" w:type="dxa"/>
              <w:end w:w="110" w:type="dxa"/>
            </w:tcMar>
            <w:shd w:fill="D9EAF7"/>
          </w:tcPr>
          <w:p>
            <w:pPr>
              <w:spacing w:before="0" w:after="0" w:line="240" w:lineRule="auto"/>
            </w:pPr>
            <w:r>
              <w:rPr>
                <w:b/>
                <w:color w:val="1F4E78"/>
                <w:sz w:val="17"/>
              </w:rPr>
              <w:t>Mover</w:t>
            </w:r>
          </w:p>
        </w:tc>
        <w:tc>
          <w:tcPr>
            <w:tcW w:type="dxa" w:w="6360"/>
            <w:vAlign w:val="center"/>
            <w:tcMar>
              <w:top w:w="90" w:type="dxa"/>
              <w:start w:w="110" w:type="dxa"/>
              <w:bottom w:w="90" w:type="dxa"/>
              <w:end w:w="110" w:type="dxa"/>
            </w:tcMar>
            <w:shd w:fill="D9EAF7"/>
          </w:tcPr>
          <w:p>
            <w:pPr>
              <w:spacing w:before="0" w:after="0" w:line="240" w:lineRule="auto"/>
            </w:pPr>
            <w:r>
              <w:rPr>
                <w:b/>
                <w:color w:val="1F4E78"/>
                <w:sz w:val="17"/>
              </w:rPr>
              <w:t>Default relative-error tolerance vs Stormer</w:t>
            </w:r>
          </w:p>
        </w:tc>
      </w:tr>
      <w:tr>
        <w:tc>
          <w:tcPr>
            <w:tcW w:type="dxa" w:w="3000"/>
            <w:vAlign w:val="center"/>
            <w:tcMar>
              <w:top w:w="90" w:type="dxa"/>
              <w:start w:w="110" w:type="dxa"/>
              <w:bottom w:w="90" w:type="dxa"/>
              <w:end w:w="110" w:type="dxa"/>
            </w:tcMar>
          </w:tcPr>
          <w:p>
            <w:pPr>
              <w:spacing w:before="0" w:after="0" w:line="240" w:lineRule="auto"/>
            </w:pPr>
            <w:r>
              <w:rPr>
                <w:sz w:val="17"/>
              </w:rPr>
              <w:t>BORIS</w:t>
            </w:r>
          </w:p>
        </w:tc>
        <w:tc>
          <w:tcPr>
            <w:tcW w:type="dxa" w:w="6360"/>
            <w:vAlign w:val="center"/>
            <w:tcMar>
              <w:top w:w="90" w:type="dxa"/>
              <w:start w:w="110" w:type="dxa"/>
              <w:bottom w:w="90" w:type="dxa"/>
              <w:end w:w="110" w:type="dxa"/>
            </w:tcMar>
          </w:tcPr>
          <w:p>
            <w:pPr>
              <w:spacing w:before="0" w:after="0" w:line="240" w:lineRule="auto"/>
            </w:pPr>
            <w:r>
              <w:rPr>
                <w:sz w:val="17"/>
              </w:rPr>
              <w:t>1e-3</w:t>
            </w:r>
          </w:p>
        </w:tc>
      </w:tr>
      <w:tr>
        <w:tc>
          <w:tcPr>
            <w:tcW w:type="dxa" w:w="3000"/>
            <w:vAlign w:val="center"/>
            <w:tcMar>
              <w:top w:w="90" w:type="dxa"/>
              <w:start w:w="110" w:type="dxa"/>
              <w:bottom w:w="90" w:type="dxa"/>
              <w:end w:w="110" w:type="dxa"/>
            </w:tcMar>
          </w:tcPr>
          <w:p>
            <w:pPr>
              <w:spacing w:before="0" w:after="0" w:line="240" w:lineRule="auto"/>
            </w:pPr>
            <w:r>
              <w:rPr>
                <w:sz w:val="17"/>
              </w:rPr>
              <w:t>RK2</w:t>
            </w:r>
          </w:p>
        </w:tc>
        <w:tc>
          <w:tcPr>
            <w:tcW w:type="dxa" w:w="6360"/>
            <w:vAlign w:val="center"/>
            <w:tcMar>
              <w:top w:w="90" w:type="dxa"/>
              <w:start w:w="110" w:type="dxa"/>
              <w:bottom w:w="90" w:type="dxa"/>
              <w:end w:w="110" w:type="dxa"/>
            </w:tcMar>
          </w:tcPr>
          <w:p>
            <w:pPr>
              <w:spacing w:before="0" w:after="0" w:line="240" w:lineRule="auto"/>
            </w:pPr>
            <w:r>
              <w:rPr>
                <w:sz w:val="17"/>
              </w:rPr>
              <w:t>5e-3</w:t>
            </w:r>
          </w:p>
        </w:tc>
      </w:tr>
      <w:tr>
        <w:tc>
          <w:tcPr>
            <w:tcW w:type="dxa" w:w="3000"/>
            <w:vAlign w:val="center"/>
            <w:tcMar>
              <w:top w:w="90" w:type="dxa"/>
              <w:start w:w="110" w:type="dxa"/>
              <w:bottom w:w="90" w:type="dxa"/>
              <w:end w:w="110" w:type="dxa"/>
            </w:tcMar>
          </w:tcPr>
          <w:p>
            <w:pPr>
              <w:spacing w:before="0" w:after="0" w:line="240" w:lineRule="auto"/>
            </w:pPr>
            <w:r>
              <w:rPr>
                <w:sz w:val="17"/>
              </w:rPr>
              <w:t>RK4</w:t>
            </w:r>
          </w:p>
        </w:tc>
        <w:tc>
          <w:tcPr>
            <w:tcW w:type="dxa" w:w="6360"/>
            <w:vAlign w:val="center"/>
            <w:tcMar>
              <w:top w:w="90" w:type="dxa"/>
              <w:start w:w="110" w:type="dxa"/>
              <w:bottom w:w="90" w:type="dxa"/>
              <w:end w:w="110" w:type="dxa"/>
            </w:tcMar>
          </w:tcPr>
          <w:p>
            <w:pPr>
              <w:spacing w:before="0" w:after="0" w:line="240" w:lineRule="auto"/>
            </w:pPr>
            <w:r>
              <w:rPr>
                <w:sz w:val="17"/>
              </w:rPr>
              <w:t>1e-3</w:t>
            </w:r>
          </w:p>
        </w:tc>
      </w:tr>
      <w:tr>
        <w:tc>
          <w:tcPr>
            <w:tcW w:type="dxa" w:w="3000"/>
            <w:vAlign w:val="center"/>
            <w:tcMar>
              <w:top w:w="90" w:type="dxa"/>
              <w:start w:w="110" w:type="dxa"/>
              <w:bottom w:w="90" w:type="dxa"/>
              <w:end w:w="110" w:type="dxa"/>
            </w:tcMar>
          </w:tcPr>
          <w:p>
            <w:pPr>
              <w:spacing w:before="0" w:after="0" w:line="240" w:lineRule="auto"/>
            </w:pPr>
            <w:r>
              <w:rPr>
                <w:sz w:val="17"/>
              </w:rPr>
              <w:t>RK6</w:t>
            </w:r>
          </w:p>
        </w:tc>
        <w:tc>
          <w:tcPr>
            <w:tcW w:type="dxa" w:w="6360"/>
            <w:vAlign w:val="center"/>
            <w:tcMar>
              <w:top w:w="90" w:type="dxa"/>
              <w:start w:w="110" w:type="dxa"/>
              <w:bottom w:w="90" w:type="dxa"/>
              <w:end w:w="110" w:type="dxa"/>
            </w:tcMar>
          </w:tcPr>
          <w:p>
            <w:pPr>
              <w:spacing w:before="0" w:after="0" w:line="240" w:lineRule="auto"/>
            </w:pPr>
            <w:r>
              <w:rPr>
                <w:sz w:val="17"/>
              </w:rPr>
              <w:t>5e-4</w:t>
            </w:r>
          </w:p>
        </w:tc>
      </w:tr>
      <w:tr>
        <w:tc>
          <w:tcPr>
            <w:tcW w:type="dxa" w:w="3000"/>
            <w:vAlign w:val="center"/>
            <w:tcMar>
              <w:top w:w="90" w:type="dxa"/>
              <w:start w:w="110" w:type="dxa"/>
              <w:bottom w:w="90" w:type="dxa"/>
              <w:end w:w="110" w:type="dxa"/>
            </w:tcMar>
          </w:tcPr>
          <w:p>
            <w:pPr>
              <w:spacing w:before="0" w:after="0" w:line="240" w:lineRule="auto"/>
            </w:pPr>
            <w:r>
              <w:rPr>
                <w:sz w:val="17"/>
              </w:rPr>
              <w:t>GC2 / GC4 / GC6</w:t>
            </w:r>
          </w:p>
        </w:tc>
        <w:tc>
          <w:tcPr>
            <w:tcW w:type="dxa" w:w="6360"/>
            <w:vAlign w:val="center"/>
            <w:tcMar>
              <w:top w:w="90" w:type="dxa"/>
              <w:start w:w="110" w:type="dxa"/>
              <w:bottom w:w="90" w:type="dxa"/>
              <w:end w:w="110" w:type="dxa"/>
            </w:tcMar>
          </w:tcPr>
          <w:p>
            <w:pPr>
              <w:spacing w:before="0" w:after="0" w:line="240" w:lineRule="auto"/>
            </w:pPr>
            <w:r>
              <w:rPr>
                <w:sz w:val="17"/>
              </w:rPr>
              <w:t>5e-3 at the 25000 km high shell</w:t>
            </w:r>
          </w:p>
        </w:tc>
      </w:tr>
      <w:tr>
        <w:tc>
          <w:tcPr>
            <w:tcW w:type="dxa" w:w="3000"/>
            <w:vAlign w:val="center"/>
            <w:tcMar>
              <w:top w:w="90" w:type="dxa"/>
              <w:start w:w="110" w:type="dxa"/>
              <w:bottom w:w="90" w:type="dxa"/>
              <w:end w:w="110" w:type="dxa"/>
            </w:tcMar>
          </w:tcPr>
          <w:p>
            <w:pPr>
              <w:spacing w:before="0" w:after="0" w:line="240" w:lineRule="auto"/>
            </w:pPr>
            <w:r>
              <w:rPr>
                <w:sz w:val="17"/>
              </w:rPr>
              <w:t>Cross-mover agreement</w:t>
            </w:r>
          </w:p>
        </w:tc>
        <w:tc>
          <w:tcPr>
            <w:tcW w:type="dxa" w:w="6360"/>
            <w:vAlign w:val="center"/>
            <w:tcMar>
              <w:top w:w="90" w:type="dxa"/>
              <w:start w:w="110" w:type="dxa"/>
              <w:bottom w:w="90" w:type="dxa"/>
              <w:end w:w="110" w:type="dxa"/>
            </w:tcMar>
          </w:tcPr>
          <w:p>
            <w:pPr>
              <w:spacing w:before="0" w:after="0" w:line="240" w:lineRule="auto"/>
            </w:pPr>
            <w:r>
              <w:rPr>
                <w:sz w:val="17"/>
              </w:rPr>
              <w:t>Diagnostic by default; hard only with --enforce-cross-mover.</w:t>
            </w:r>
          </w:p>
        </w:tc>
      </w:tr>
    </w:tbl>
    <w:p>
      <w:pPr>
        <w:pStyle w:val="Heading2"/>
        <w:keepNext/>
        <w:pageBreakBefore w:val="0"/>
      </w:pPr>
      <w:r>
        <w:t>C13. Gridless inter-rank scheduler load-balance and agreement [planned - not in archive]</w:t>
      </w:r>
    </w:p>
    <w:p>
      <w:pPr>
        <w:spacing w:after="120"/>
        <w:shd w:fill="FFF2CC"/>
      </w:pPr>
      <w:r>
        <w:rPr>
          <w:b/>
        </w:rPr>
        <w:t xml:space="preserve">Implementation status: Planned. </w:t>
      </w:r>
      <w:r>
        <w:t>No C13 directory or runner is present in all-test(1).tar. The following material is a proposed validation specification, not an executed archive test.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keepNext/>
        <w:pageBreakBefore/>
      </w:pPr>
      <w:r>
        <w:t>4. Additional cutoff scheduler gate: C-PARALLEL [planned - not in archive]</w:t>
      </w:r>
    </w:p>
    <w:p>
      <w:pPr>
        <w:spacing w:after="120"/>
        <w:shd w:fill="FFF2CC"/>
      </w:pPr>
      <w:r>
        <w:rPr>
          <w:b/>
        </w:rPr>
        <w:t xml:space="preserve">Implementation status: Planned. </w:t>
      </w:r>
      <w:r>
        <w:t>No C-PARALLEL directory or runner is present in all-test(1).tar. Treat this section as a proposed scheduler gate.</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keepNext/>
        <w:pageBreakBefore/>
      </w:pPr>
      <w:r>
        <w:t>5. Density/flux validation tests F1-F13 (implemented and planned)</w:t>
      </w:r>
    </w:p>
    <w:p>
      <w:pPr>
        <w:pStyle w:val="Heading2"/>
        <w:keepNext/>
        <w:pageBreakBefore w:val="0"/>
      </w:pPr>
      <w:r>
        <w:t>F1. Zero-field density/flux normalization [implemented]</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keepNext/>
        <w:pageBreakBefore w:val="0"/>
      </w:pPr>
      <w:r>
        <w:t>F2. Power-law energy integration [implemented]</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keepNext/>
        <w:pageBreakBefore w:val="0"/>
      </w:pPr>
      <w:r>
        <w:t>F3. Dipole cutoff-filtered flux [implemented]</w:t>
      </w:r>
    </w:p>
    <w:p>
      <w:pPr>
        <w:shd w:fill="FFF2CC"/>
      </w:pPr>
      <w:r>
        <w:rPr>
          <w:b/>
        </w:rPr>
        <w:t xml:space="preserve">Implementation status: </w:t>
      </w:r>
      <w:r>
        <w:t>Implemented by run_F3.py in GRIDLESS POINTS mode with a full directional transmission calculation.</w:t>
      </w:r>
    </w:p>
    <w:p>
      <w:r>
        <w:t>Default points are altitude 9000 km; longitudes 0 and 90 deg; latitudes -70,-60,-45,-30,0,30,45,60,70 deg. The full profile uses 100 energy/rigidity samples and 1152 directions per energy. The --fast profile uses 12 samples, 288 directions, and five latitudes while retaining the equator, symmetry pairs, and high-latitude trend.</w:t>
      </w:r>
    </w:p>
    <w:p>
      <w:pPr>
        <w:spacing w:before="60" w:after="120"/>
        <w:ind w:left="200" w:right="120"/>
        <w:shd w:fill="F2F2F2"/>
      </w:pPr>
      <w:r>
        <w:rPr>
          <w:rFonts w:ascii="Consolas" w:hAnsi="Consolas"/>
          <w:sz w:val="16"/>
        </w:rPr>
        <w:t>FIELD_MODEL DIPOLE</w:t>
        <w:br/>
        <w:t>DS_TRANSMISSION_MODE SCAN</w:t>
        <w:br/>
        <w:t>SPECTRUM_TYPE POWER_LAW, gamma=3.5, 1-1000 MeV</w:t>
        <w:br/>
        <w:t>OUTPUT_MODE POINTS</w:t>
        <w:br/>
        <w:t>Structured termination: ALLOWED, PHYSICAL_FORBIDDEN, or UNRESOLVED</w:t>
      </w:r>
    </w:p>
    <w:tbl>
      <w:tblPr>
        <w:tblStyle w:val="TableGrid"/>
        <w:tblW w:type="dxa" w:w="9360"/>
        <w:tblLayout w:type="fixed"/>
        <w:tblLook w:firstColumn="1" w:firstRow="1" w:lastColumn="0" w:lastRow="0" w:noHBand="0" w:noVBand="1" w:val="04A0"/>
      </w:tblPr>
      <w:tblGrid>
        <w:gridCol w:w="2700"/>
        <w:gridCol w:w="6660"/>
      </w:tblGrid>
      <w:tr>
        <w:trPr>
          <w:tblHeader w:val="true"/>
        </w:trPr>
        <w:tc>
          <w:tcPr>
            <w:tcW w:type="dxa" w:w="2700"/>
            <w:vAlign w:val="center"/>
            <w:tcMar>
              <w:top w:w="90" w:type="dxa"/>
              <w:start w:w="110" w:type="dxa"/>
              <w:bottom w:w="90" w:type="dxa"/>
              <w:end w:w="110" w:type="dxa"/>
            </w:tcMar>
            <w:shd w:fill="D9EAF7"/>
          </w:tcPr>
          <w:p>
            <w:pPr>
              <w:spacing w:before="0" w:after="0" w:line="240" w:lineRule="auto"/>
            </w:pPr>
            <w:r>
              <w:rPr>
                <w:b/>
                <w:color w:val="1F4E78"/>
                <w:sz w:val="17"/>
              </w:rPr>
              <w:t>Check</w:t>
            </w:r>
          </w:p>
        </w:tc>
        <w:tc>
          <w:tcPr>
            <w:tcW w:type="dxa" w:w="6660"/>
            <w:vAlign w:val="center"/>
            <w:tcMar>
              <w:top w:w="90" w:type="dxa"/>
              <w:start w:w="110" w:type="dxa"/>
              <w:bottom w:w="90" w:type="dxa"/>
              <w:end w:w="110" w:type="dxa"/>
            </w:tcMar>
            <w:shd w:fill="D9EAF7"/>
          </w:tcPr>
          <w:p>
            <w:pPr>
              <w:spacing w:before="0" w:after="0" w:line="240" w:lineRule="auto"/>
            </w:pPr>
            <w:r>
              <w:rPr>
                <w:b/>
                <w:color w:val="1F4E78"/>
                <w:sz w:val="17"/>
              </w:rPr>
              <w:t>Implemented rule</w:t>
            </w:r>
          </w:p>
        </w:tc>
      </w:tr>
      <w:tr>
        <w:tc>
          <w:tcPr>
            <w:tcW w:type="dxa" w:w="2700"/>
            <w:vAlign w:val="center"/>
            <w:tcMar>
              <w:top w:w="90" w:type="dxa"/>
              <w:start w:w="110" w:type="dxa"/>
              <w:bottom w:w="90" w:type="dxa"/>
              <w:end w:w="110" w:type="dxa"/>
            </w:tcMar>
          </w:tcPr>
          <w:p>
            <w:pPr>
              <w:spacing w:before="0" w:after="0" w:line="240" w:lineRule="auto"/>
            </w:pPr>
            <w:r>
              <w:rPr>
                <w:sz w:val="17"/>
              </w:rPr>
              <w:t>Analytical external reference</w:t>
            </w:r>
          </w:p>
        </w:tc>
        <w:tc>
          <w:tcPr>
            <w:tcW w:type="dxa" w:w="6660"/>
            <w:vAlign w:val="center"/>
            <w:tcMar>
              <w:top w:w="90" w:type="dxa"/>
              <w:start w:w="110" w:type="dxa"/>
              <w:bottom w:w="90" w:type="dxa"/>
              <w:end w:w="110" w:type="dxa"/>
            </w:tcMar>
          </w:tcPr>
          <w:p>
            <w:pPr>
              <w:spacing w:before="0" w:after="0" w:line="240" w:lineRule="auto"/>
            </w:pPr>
            <w:r>
              <w:rPr>
                <w:sz w:val="17"/>
              </w:rPr>
              <w:t>Hard-cutoff Stormer flux with straight-line open-sky fraction; approximate, configurable tolerances.</w:t>
            </w:r>
          </w:p>
        </w:tc>
      </w:tr>
      <w:tr>
        <w:tc>
          <w:tcPr>
            <w:tcW w:type="dxa" w:w="2700"/>
            <w:vAlign w:val="center"/>
            <w:tcMar>
              <w:top w:w="90" w:type="dxa"/>
              <w:start w:w="110" w:type="dxa"/>
              <w:bottom w:w="90" w:type="dxa"/>
              <w:end w:w="110" w:type="dxa"/>
            </w:tcMar>
          </w:tcPr>
          <w:p>
            <w:pPr>
              <w:spacing w:before="0" w:after="0" w:line="240" w:lineRule="auto"/>
            </w:pPr>
            <w:r>
              <w:rPr>
                <w:sz w:val="17"/>
              </w:rPr>
              <w:t>Spectrum closure</w:t>
            </w:r>
          </w:p>
        </w:tc>
        <w:tc>
          <w:tcPr>
            <w:tcW w:type="dxa" w:w="6660"/>
            <w:vAlign w:val="center"/>
            <w:tcMar>
              <w:top w:w="90" w:type="dxa"/>
              <w:start w:w="110" w:type="dxa"/>
              <w:bottom w:w="90" w:type="dxa"/>
              <w:end w:w="110" w:type="dxa"/>
            </w:tcMar>
          </w:tcPr>
          <w:p>
            <w:pPr>
              <w:spacing w:before="0" w:after="0" w:line="240" w:lineRule="auto"/>
            </w:pPr>
            <w:r>
              <w:rPr>
                <w:sz w:val="17"/>
              </w:rPr>
              <w:t>J_local(E)=T(E)J_boundary(E); density and flux reconstruct from saved spectrum.</w:t>
            </w:r>
          </w:p>
        </w:tc>
      </w:tr>
      <w:tr>
        <w:tc>
          <w:tcPr>
            <w:tcW w:type="dxa" w:w="2700"/>
            <w:vAlign w:val="center"/>
            <w:tcMar>
              <w:top w:w="90" w:type="dxa"/>
              <w:start w:w="110" w:type="dxa"/>
              <w:bottom w:w="90" w:type="dxa"/>
              <w:end w:w="110" w:type="dxa"/>
            </w:tcMar>
          </w:tcPr>
          <w:p>
            <w:pPr>
              <w:spacing w:before="0" w:after="0" w:line="240" w:lineRule="auto"/>
            </w:pPr>
            <w:r>
              <w:rPr>
                <w:sz w:val="17"/>
              </w:rPr>
              <w:t>Symmetry/trend</w:t>
            </w:r>
          </w:p>
        </w:tc>
        <w:tc>
          <w:tcPr>
            <w:tcW w:type="dxa" w:w="6660"/>
            <w:vAlign w:val="center"/>
            <w:tcMar>
              <w:top w:w="90" w:type="dxa"/>
              <w:start w:w="110" w:type="dxa"/>
              <w:bottom w:w="90" w:type="dxa"/>
              <w:end w:w="110" w:type="dxa"/>
            </w:tcMar>
          </w:tcPr>
          <w:p>
            <w:pPr>
              <w:spacing w:before="0" w:after="0" w:line="240" w:lineRule="auto"/>
            </w:pPr>
            <w:r>
              <w:rPr>
                <w:sz w:val="17"/>
              </w:rPr>
              <w:t>Longitude and north/south symmetry; transmitted flux increases with |latitude|.</w:t>
            </w:r>
          </w:p>
        </w:tc>
      </w:tr>
      <w:tr>
        <w:tc>
          <w:tcPr>
            <w:tcW w:type="dxa" w:w="2700"/>
            <w:vAlign w:val="center"/>
            <w:tcMar>
              <w:top w:w="90" w:type="dxa"/>
              <w:start w:w="110" w:type="dxa"/>
              <w:bottom w:w="90" w:type="dxa"/>
              <w:end w:w="110" w:type="dxa"/>
            </w:tcMar>
          </w:tcPr>
          <w:p>
            <w:pPr>
              <w:spacing w:before="0" w:after="0" w:line="240" w:lineRule="auto"/>
            </w:pPr>
            <w:r>
              <w:rPr>
                <w:sz w:val="17"/>
              </w:rPr>
              <w:t>Unresolved handling</w:t>
            </w:r>
          </w:p>
        </w:tc>
        <w:tc>
          <w:tcPr>
            <w:tcW w:type="dxa" w:w="6660"/>
            <w:vAlign w:val="center"/>
            <w:tcMar>
              <w:top w:w="90" w:type="dxa"/>
              <w:start w:w="110" w:type="dxa"/>
              <w:bottom w:w="90" w:type="dxa"/>
              <w:end w:w="110" w:type="dxa"/>
            </w:tcMar>
          </w:tcPr>
          <w:p>
            <w:pPr>
              <w:spacing w:before="0" w:after="0" w:line="240" w:lineRule="auto"/>
            </w:pPr>
            <w:r>
              <w:rPr>
                <w:sz w:val="17"/>
              </w:rPr>
              <w:t>Time/step/distance/numerical limits remain unresolved, not forbidden; default unresolved fraction &lt;=0.01.</w:t>
            </w:r>
          </w:p>
        </w:tc>
      </w:tr>
      <w:tr>
        <w:tc>
          <w:tcPr>
            <w:tcW w:type="dxa" w:w="2700"/>
            <w:vAlign w:val="center"/>
            <w:tcMar>
              <w:top w:w="90" w:type="dxa"/>
              <w:start w:w="110" w:type="dxa"/>
              <w:bottom w:w="90" w:type="dxa"/>
              <w:end w:w="110" w:type="dxa"/>
            </w:tcMar>
          </w:tcPr>
          <w:p>
            <w:pPr>
              <w:spacing w:before="0" w:after="0" w:line="240" w:lineRule="auto"/>
            </w:pPr>
            <w:r>
              <w:rPr>
                <w:sz w:val="17"/>
              </w:rPr>
              <w:t>Parallel path</w:t>
            </w:r>
          </w:p>
        </w:tc>
        <w:tc>
          <w:tcPr>
            <w:tcW w:type="dxa" w:w="6660"/>
            <w:vAlign w:val="center"/>
            <w:tcMar>
              <w:top w:w="90" w:type="dxa"/>
              <w:start w:w="110" w:type="dxa"/>
              <w:bottom w:w="90" w:type="dxa"/>
              <w:end w:w="110" w:type="dxa"/>
            </w:tcMar>
          </w:tcPr>
          <w:p>
            <w:pPr>
              <w:spacing w:before="0" w:after="0" w:line="240" w:lineRule="auto"/>
            </w:pPr>
            <w:r>
              <w:rPr>
                <w:sz w:val="17"/>
              </w:rPr>
              <w:t>MPI-only trajectory work; -nt values other than 1 are ignored explicitly.</w:t>
            </w:r>
          </w:p>
        </w:tc>
      </w:tr>
    </w:tbl>
    <w:p>
      <w:pPr>
        <w:pStyle w:val="Heading2"/>
        <w:keepNext/>
        <w:pageBreakBefore w:val="0"/>
      </w:pPr>
      <w:r>
        <w:t>F4. Transmission reconstruction consistency [implemented]</w:t>
      </w:r>
    </w:p>
    <w:p>
      <w:pPr>
        <w:shd w:fill="FFF2CC"/>
      </w:pPr>
      <w:r>
        <w:rPr>
          <w:b/>
        </w:rPr>
        <w:t xml:space="preserve">Implementation status: </w:t>
      </w:r>
      <w:r>
        <w:t>Implemented as a bounded GRIDLESS closure test, not a high-resolution production transmission calculation.</w:t>
      </w:r>
    </w:p>
    <w:p>
      <w:r>
        <w:t>Five POINTS at longitude 0 deg, altitude 9000 km, and latitudes -60,-30,0,30,60 deg are evaluated. The routine workload is deliberately capped at 32 SCAN energies and 512 particles per point, yielding 16 directions per energy and 2,560 trajectories total.</w:t>
      </w:r>
    </w:p>
    <w:p>
      <w:pPr>
        <w:spacing w:before="60" w:after="120"/>
        <w:ind w:left="200" w:right="120"/>
        <w:shd w:fill="F2F2F2"/>
      </w:pPr>
      <w:r>
        <w:rPr>
          <w:rFonts w:ascii="Consolas" w:hAnsi="Consolas"/>
          <w:sz w:val="16"/>
        </w:rPr>
        <w:t>DS_TRANSMISSION_SCAN_N 32</w:t>
        <w:br/>
        <w:t>DS_NINTERVALS 31</w:t>
        <w:br/>
        <w:t>DS_MAX_PARTICLES 512 per point</w:t>
        <w:br/>
        <w:t>DS_MAX_TRAJ_TIME 120 s</w:t>
        <w:br/>
        <w:t>MAX_TRACE_DISTANCE 300 Re</w:t>
        <w:br/>
        <w:t>MAX_STEPS 100000</w:t>
        <w:br/>
        <w:t>TRAP_DETECTION T</w:t>
        <w:br/>
        <w:t>DS_RETRY_UNRESOLVED F</w:t>
      </w:r>
    </w:p>
    <w:tbl>
      <w:tblPr>
        <w:tblStyle w:val="TableGrid"/>
        <w:tblW w:type="dxa" w:w="9360"/>
        <w:tblLayout w:type="fixed"/>
        <w:tblLook w:firstColumn="1" w:firstRow="1" w:lastColumn="0" w:lastRow="0" w:noHBand="0" w:noVBand="1" w:val="04A0"/>
      </w:tblPr>
      <w:tblGrid>
        <w:gridCol w:w="2600"/>
        <w:gridCol w:w="6760"/>
      </w:tblGrid>
      <w:tr>
        <w:trPr>
          <w:tblHeader w:val="true"/>
        </w:trPr>
        <w:tc>
          <w:tcPr>
            <w:tcW w:type="dxa" w:w="2600"/>
            <w:vAlign w:val="center"/>
            <w:tcMar>
              <w:top w:w="90" w:type="dxa"/>
              <w:start w:w="110" w:type="dxa"/>
              <w:bottom w:w="90" w:type="dxa"/>
              <w:end w:w="110" w:type="dxa"/>
            </w:tcMar>
            <w:shd w:fill="D9EAF7"/>
          </w:tcPr>
          <w:p>
            <w:pPr>
              <w:spacing w:before="0" w:after="0" w:line="240" w:lineRule="auto"/>
            </w:pPr>
            <w:r>
              <w:rPr>
                <w:b/>
                <w:color w:val="1F4E78"/>
                <w:sz w:val="17"/>
              </w:rPr>
              <w:t>Closure identity</w:t>
            </w:r>
          </w:p>
        </w:tc>
        <w:tc>
          <w:tcPr>
            <w:tcW w:type="dxa" w:w="6760"/>
            <w:vAlign w:val="center"/>
            <w:tcMar>
              <w:top w:w="90" w:type="dxa"/>
              <w:start w:w="110" w:type="dxa"/>
              <w:bottom w:w="90" w:type="dxa"/>
              <w:end w:w="110" w:type="dxa"/>
            </w:tcMar>
            <w:shd w:fill="D9EAF7"/>
          </w:tcPr>
          <w:p>
            <w:pPr>
              <w:spacing w:before="0" w:after="0" w:line="240" w:lineRule="auto"/>
            </w:pPr>
            <w:r>
              <w:rPr>
                <w:b/>
                <w:color w:val="1F4E78"/>
                <w:sz w:val="17"/>
              </w:rPr>
              <w:t>Implemented check</w:t>
            </w:r>
          </w:p>
        </w:tc>
      </w:tr>
      <w:tr>
        <w:tc>
          <w:tcPr>
            <w:tcW w:type="dxa" w:w="2600"/>
            <w:vAlign w:val="center"/>
            <w:tcMar>
              <w:top w:w="90" w:type="dxa"/>
              <w:start w:w="110" w:type="dxa"/>
              <w:bottom w:w="90" w:type="dxa"/>
              <w:end w:w="110" w:type="dxa"/>
            </w:tcMar>
          </w:tcPr>
          <w:p>
            <w:pPr>
              <w:spacing w:before="0" w:after="0" w:line="240" w:lineRule="auto"/>
            </w:pPr>
            <w:r>
              <w:rPr>
                <w:sz w:val="17"/>
              </w:rPr>
              <w:t>Boundary spectrum</w:t>
            </w:r>
          </w:p>
        </w:tc>
        <w:tc>
          <w:tcPr>
            <w:tcW w:type="dxa" w:w="6760"/>
            <w:vAlign w:val="center"/>
            <w:tcMar>
              <w:top w:w="90" w:type="dxa"/>
              <w:start w:w="110" w:type="dxa"/>
              <w:bottom w:w="90" w:type="dxa"/>
              <w:end w:w="110" w:type="dxa"/>
            </w:tcMar>
          </w:tcPr>
          <w:p>
            <w:pPr>
              <w:spacing w:before="0" w:after="0" w:line="240" w:lineRule="auto"/>
            </w:pPr>
            <w:r>
              <w:rPr>
                <w:sz w:val="17"/>
              </w:rPr>
              <w:t>Saved J_boundary matches the configured power law.</w:t>
            </w:r>
          </w:p>
        </w:tc>
      </w:tr>
      <w:tr>
        <w:tc>
          <w:tcPr>
            <w:tcW w:type="dxa" w:w="2600"/>
            <w:vAlign w:val="center"/>
            <w:tcMar>
              <w:top w:w="90" w:type="dxa"/>
              <w:start w:w="110" w:type="dxa"/>
              <w:bottom w:w="90" w:type="dxa"/>
              <w:end w:w="110" w:type="dxa"/>
            </w:tcMar>
          </w:tcPr>
          <w:p>
            <w:pPr>
              <w:spacing w:before="0" w:after="0" w:line="240" w:lineRule="auto"/>
            </w:pPr>
            <w:r>
              <w:rPr>
                <w:sz w:val="17"/>
              </w:rPr>
              <w:t>Local spectrum</w:t>
            </w:r>
          </w:p>
        </w:tc>
        <w:tc>
          <w:tcPr>
            <w:tcW w:type="dxa" w:w="6760"/>
            <w:vAlign w:val="center"/>
            <w:tcMar>
              <w:top w:w="90" w:type="dxa"/>
              <w:start w:w="110" w:type="dxa"/>
              <w:bottom w:w="90" w:type="dxa"/>
              <w:end w:w="110" w:type="dxa"/>
            </w:tcMar>
          </w:tcPr>
          <w:p>
            <w:pPr>
              <w:spacing w:before="0" w:after="0" w:line="240" w:lineRule="auto"/>
            </w:pPr>
            <w:r>
              <w:rPr>
                <w:sz w:val="17"/>
              </w:rPr>
              <w:t>J_local(E)=T(E)J_boundary(E), with T in [0,1].</w:t>
            </w:r>
          </w:p>
        </w:tc>
      </w:tr>
      <w:tr>
        <w:tc>
          <w:tcPr>
            <w:tcW w:type="dxa" w:w="2600"/>
            <w:vAlign w:val="center"/>
            <w:tcMar>
              <w:top w:w="90" w:type="dxa"/>
              <w:start w:w="110" w:type="dxa"/>
              <w:bottom w:w="90" w:type="dxa"/>
              <w:end w:w="110" w:type="dxa"/>
            </w:tcMar>
          </w:tcPr>
          <w:p>
            <w:pPr>
              <w:spacing w:before="0" w:after="0" w:line="240" w:lineRule="auto"/>
            </w:pPr>
            <w:r>
              <w:rPr>
                <w:sz w:val="17"/>
              </w:rPr>
              <w:t>Density</w:t>
            </w:r>
          </w:p>
        </w:tc>
        <w:tc>
          <w:tcPr>
            <w:tcW w:type="dxa" w:w="6760"/>
            <w:vAlign w:val="center"/>
            <w:tcMar>
              <w:top w:w="90" w:type="dxa"/>
              <w:start w:w="110" w:type="dxa"/>
              <w:bottom w:w="90" w:type="dxa"/>
              <w:end w:w="110" w:type="dxa"/>
            </w:tcMar>
          </w:tcPr>
          <w:p>
            <w:pPr>
              <w:spacing w:before="0" w:after="0" w:line="240" w:lineRule="auto"/>
            </w:pPr>
            <w:r>
              <w:rPr>
                <w:sz w:val="17"/>
              </w:rPr>
              <w:t>AMPS density equals 4*pi integral J_local(E)/v(E) dE reconstructed from the saved spectrum.</w:t>
            </w:r>
          </w:p>
        </w:tc>
      </w:tr>
      <w:tr>
        <w:tc>
          <w:tcPr>
            <w:tcW w:type="dxa" w:w="2600"/>
            <w:vAlign w:val="center"/>
            <w:tcMar>
              <w:top w:w="90" w:type="dxa"/>
              <w:start w:w="110" w:type="dxa"/>
              <w:bottom w:w="90" w:type="dxa"/>
              <w:end w:w="110" w:type="dxa"/>
            </w:tcMar>
          </w:tcPr>
          <w:p>
            <w:pPr>
              <w:spacing w:before="0" w:after="0" w:line="240" w:lineRule="auto"/>
            </w:pPr>
            <w:r>
              <w:rPr>
                <w:sz w:val="17"/>
              </w:rPr>
              <w:t>Flux</w:t>
            </w:r>
          </w:p>
        </w:tc>
        <w:tc>
          <w:tcPr>
            <w:tcW w:type="dxa" w:w="6760"/>
            <w:vAlign w:val="center"/>
            <w:tcMar>
              <w:top w:w="90" w:type="dxa"/>
              <w:start w:w="110" w:type="dxa"/>
              <w:bottom w:w="90" w:type="dxa"/>
              <w:end w:w="110" w:type="dxa"/>
            </w:tcMar>
          </w:tcPr>
          <w:p>
            <w:pPr>
              <w:spacing w:before="0" w:after="0" w:line="240" w:lineRule="auto"/>
            </w:pPr>
            <w:r>
              <w:rPr>
                <w:sz w:val="17"/>
              </w:rPr>
              <w:t>Total and named channel fluxes equal AMPS quadrature; channel edges interpolate T and evaluate J_boundary at the exact edge.</w:t>
            </w:r>
          </w:p>
        </w:tc>
      </w:tr>
      <w:tr>
        <w:tc>
          <w:tcPr>
            <w:tcW w:type="dxa" w:w="2600"/>
            <w:vAlign w:val="center"/>
            <w:tcMar>
              <w:top w:w="90" w:type="dxa"/>
              <w:start w:w="110" w:type="dxa"/>
              <w:bottom w:w="90" w:type="dxa"/>
              <w:end w:w="110" w:type="dxa"/>
            </w:tcMar>
          </w:tcPr>
          <w:p>
            <w:pPr>
              <w:spacing w:before="0" w:after="0" w:line="240" w:lineRule="auto"/>
            </w:pPr>
            <w:r>
              <w:rPr>
                <w:sz w:val="17"/>
              </w:rPr>
              <w:t>Termination</w:t>
            </w:r>
          </w:p>
        </w:tc>
        <w:tc>
          <w:tcPr>
            <w:tcW w:type="dxa" w:w="6760"/>
            <w:vAlign w:val="center"/>
            <w:tcMar>
              <w:top w:w="90" w:type="dxa"/>
              <w:start w:w="110" w:type="dxa"/>
              <w:bottom w:w="90" w:type="dxa"/>
              <w:end w:w="110" w:type="dxa"/>
            </w:tcMar>
          </w:tcPr>
          <w:p>
            <w:pPr>
              <w:spacing w:before="0" w:after="0" w:line="240" w:lineRule="auto"/>
            </w:pPr>
            <w:r>
              <w:rPr>
                <w:sz w:val="17"/>
              </w:rPr>
              <w:t>Structured unresolved outcomes are excluded from the physical denominator; no legacy Boolean relabeling.</w:t>
            </w:r>
          </w:p>
        </w:tc>
      </w:tr>
    </w:tbl>
    <w:p>
      <w:pPr>
        <w:pStyle w:val="Heading2"/>
        <w:keepNext/>
        <w:pageBreakBefore w:val="0"/>
      </w:pPr>
      <w:r>
        <w:t>F5. Directional anisotropy / PAD mapping [implemented]</w:t>
      </w:r>
    </w:p>
    <w:p>
      <w:pPr>
        <w:shd w:fill="FFF2CC"/>
      </w:pPr>
      <w:r>
        <w:rPr>
          <w:b/>
        </w:rPr>
        <w:t xml:space="preserve">Implementation status: </w:t>
      </w:r>
      <w:r>
        <w:t>Implemented for ISOTROPIC, COSALPHA_N n=2, and SINALPHA_N n=2 using parser-supported BA_PAD_MODEL/BA_PAD_EXPONENT controls.</w:t>
      </w:r>
    </w:p>
    <w:p>
      <w:r>
        <w:t>The primary reference is the exact complementary identity sin^2(alpha)+cos^2(alpha)=1. For identical trajectories this requires T_sin+T_cos=T_iso, J_local,sin+J_local,cos=J_local,iso, and the same sum identity for density and flux. This is not a charge-reversal test.</w:t>
      </w:r>
    </w:p>
    <w:p>
      <w:pPr>
        <w:spacing w:before="60" w:after="120"/>
        <w:ind w:left="200" w:right="120"/>
        <w:shd w:fill="F2F2F2"/>
      </w:pPr>
      <w:r>
        <w:rPr>
          <w:rFonts w:ascii="Consolas" w:hAnsi="Consolas"/>
          <w:sz w:val="16"/>
        </w:rPr>
        <w:t>DS_BOUNDARY_MODE ANISOTROPIC</w:t>
        <w:br/>
        <w:t>BA_PAD_MODEL ISOTROPIC | COSALPHA_N | SINALPHA_N</w:t>
        <w:br/>
        <w:t>BA_PAD_EXPONENT 2</w:t>
        <w:br/>
        <w:t>Default energy range 5-50 GeV</w:t>
        <w:br/>
        <w:t>Points: 8 Re equator, 8 Re pole, 6 Re equator</w:t>
      </w:r>
    </w:p>
    <w:tbl>
      <w:tblPr>
        <w:tblStyle w:val="TableGrid"/>
        <w:tblW w:type="dxa" w:w="9360"/>
        <w:tblLayout w:type="fixed"/>
        <w:tblLook w:firstColumn="1" w:firstRow="1" w:lastColumn="0" w:lastRow="0" w:noHBand="0" w:noVBand="1" w:val="04A0"/>
      </w:tblPr>
      <w:tblGrid>
        <w:gridCol w:w="2900"/>
        <w:gridCol w:w="6460"/>
      </w:tblGrid>
      <w:tr>
        <w:trPr>
          <w:tblHeader w:val="true"/>
        </w:trPr>
        <w:tc>
          <w:tcPr>
            <w:tcW w:type="dxa" w:w="2900"/>
            <w:vAlign w:val="center"/>
            <w:tcMar>
              <w:top w:w="90" w:type="dxa"/>
              <w:start w:w="110" w:type="dxa"/>
              <w:bottom w:w="90" w:type="dxa"/>
              <w:end w:w="110" w:type="dxa"/>
            </w:tcMar>
            <w:shd w:fill="D9EAF7"/>
          </w:tcPr>
          <w:p>
            <w:pPr>
              <w:spacing w:before="0" w:after="0" w:line="240" w:lineRule="auto"/>
            </w:pPr>
            <w:r>
              <w:rPr>
                <w:b/>
                <w:color w:val="1F4E78"/>
                <w:sz w:val="17"/>
              </w:rPr>
              <w:t>Reference</w:t>
            </w:r>
          </w:p>
        </w:tc>
        <w:tc>
          <w:tcPr>
            <w:tcW w:type="dxa" w:w="6460"/>
            <w:vAlign w:val="center"/>
            <w:tcMar>
              <w:top w:w="90" w:type="dxa"/>
              <w:start w:w="110" w:type="dxa"/>
              <w:bottom w:w="90" w:type="dxa"/>
              <w:end w:w="110" w:type="dxa"/>
            </w:tcMar>
            <w:shd w:fill="D9EAF7"/>
          </w:tcPr>
          <w:p>
            <w:pPr>
              <w:spacing w:before="0" w:after="0" w:line="240" w:lineRule="auto"/>
            </w:pPr>
            <w:r>
              <w:rPr>
                <w:b/>
                <w:color w:val="1F4E78"/>
                <w:sz w:val="17"/>
              </w:rPr>
              <w:t>Acceptance role</w:t>
            </w:r>
          </w:p>
        </w:tc>
      </w:tr>
      <w:tr>
        <w:tc>
          <w:tcPr>
            <w:tcW w:type="dxa" w:w="2900"/>
            <w:vAlign w:val="center"/>
            <w:tcMar>
              <w:top w:w="90" w:type="dxa"/>
              <w:start w:w="110" w:type="dxa"/>
              <w:bottom w:w="90" w:type="dxa"/>
              <w:end w:w="110" w:type="dxa"/>
            </w:tcMar>
          </w:tcPr>
          <w:p>
            <w:pPr>
              <w:spacing w:before="0" w:after="0" w:line="240" w:lineRule="auto"/>
            </w:pPr>
            <w:r>
              <w:rPr>
                <w:sz w:val="17"/>
              </w:rPr>
              <w:t>Complement identity</w:t>
            </w:r>
          </w:p>
        </w:tc>
        <w:tc>
          <w:tcPr>
            <w:tcW w:type="dxa" w:w="6460"/>
            <w:vAlign w:val="center"/>
            <w:tcMar>
              <w:top w:w="90" w:type="dxa"/>
              <w:start w:w="110" w:type="dxa"/>
              <w:bottom w:w="90" w:type="dxa"/>
              <w:end w:w="110" w:type="dxa"/>
            </w:tcMar>
          </w:tcPr>
          <w:p>
            <w:pPr>
              <w:spacing w:before="0" w:after="0" w:line="240" w:lineRule="auto"/>
            </w:pPr>
            <w:r>
              <w:rPr>
                <w:sz w:val="17"/>
              </w:rPr>
              <w:t>Exact primary gate; configurable default tolerance in the runner.</w:t>
            </w:r>
          </w:p>
        </w:tc>
      </w:tr>
      <w:tr>
        <w:tc>
          <w:tcPr>
            <w:tcW w:type="dxa" w:w="2900"/>
            <w:vAlign w:val="center"/>
            <w:tcMar>
              <w:top w:w="90" w:type="dxa"/>
              <w:start w:w="110" w:type="dxa"/>
              <w:bottom w:w="90" w:type="dxa"/>
              <w:end w:w="110" w:type="dxa"/>
            </w:tcMar>
          </w:tcPr>
          <w:p>
            <w:pPr>
              <w:spacing w:before="0" w:after="0" w:line="240" w:lineRule="auto"/>
            </w:pPr>
            <w:r>
              <w:rPr>
                <w:sz w:val="17"/>
              </w:rPr>
              <w:t>High-energy straight-line ratios</w:t>
            </w:r>
          </w:p>
        </w:tc>
        <w:tc>
          <w:tcPr>
            <w:tcW w:type="dxa" w:w="6460"/>
            <w:vAlign w:val="center"/>
            <w:tcMar>
              <w:top w:w="90" w:type="dxa"/>
              <w:start w:w="110" w:type="dxa"/>
              <w:bottom w:w="90" w:type="dxa"/>
              <w:end w:w="110" w:type="dxa"/>
            </w:tcMar>
          </w:tcPr>
          <w:p>
            <w:pPr>
              <w:spacing w:before="0" w:after="0" w:line="240" w:lineRule="auto"/>
            </w:pPr>
            <w:r>
              <w:rPr>
                <w:sz w:val="17"/>
              </w:rPr>
              <w:t>Secondary semi-analytic check with looser tolerance because magnetic bending and finite-box geometry remain.</w:t>
            </w:r>
          </w:p>
        </w:tc>
      </w:tr>
      <w:tr>
        <w:tc>
          <w:tcPr>
            <w:tcW w:type="dxa" w:w="2900"/>
            <w:vAlign w:val="center"/>
            <w:tcMar>
              <w:top w:w="90" w:type="dxa"/>
              <w:start w:w="110" w:type="dxa"/>
              <w:bottom w:w="90" w:type="dxa"/>
              <w:end w:w="110" w:type="dxa"/>
            </w:tcMar>
          </w:tcPr>
          <w:p>
            <w:pPr>
              <w:spacing w:before="0" w:after="0" w:line="240" w:lineRule="auto"/>
            </w:pPr>
            <w:r>
              <w:rPr>
                <w:sz w:val="17"/>
              </w:rPr>
              <w:t>Broader PAD matrix</w:t>
            </w:r>
          </w:p>
        </w:tc>
        <w:tc>
          <w:tcPr>
            <w:tcW w:type="dxa" w:w="6460"/>
            <w:vAlign w:val="center"/>
            <w:tcMar>
              <w:top w:w="90" w:type="dxa"/>
              <w:start w:w="110" w:type="dxa"/>
              <w:bottom w:w="90" w:type="dxa"/>
              <w:end w:w="110" w:type="dxa"/>
            </w:tcMar>
          </w:tcPr>
          <w:p>
            <w:pPr>
              <w:spacing w:before="0" w:after="0" w:line="240" w:lineRule="auto"/>
            </w:pPr>
            <w:r>
              <w:rPr>
                <w:sz w:val="17"/>
              </w:rPr>
              <w:t>Covered by F11, not F5.</w:t>
            </w:r>
          </w:p>
        </w:tc>
      </w:tr>
    </w:tbl>
    <w:p>
      <w:pPr>
        <w:pStyle w:val="Heading2"/>
        <w:keepNext/>
        <w:pageBreakBefore w:val="0"/>
      </w:pPr>
      <w:r>
        <w:t>F6. Energy and angular quadrature convergence [planned - not in archive]</w:t>
      </w:r>
    </w:p>
    <w:p>
      <w:pPr>
        <w:spacing w:after="120"/>
        <w:shd w:fill="FFF2CC"/>
      </w:pPr>
      <w:r>
        <w:rPr>
          <w:b/>
        </w:rPr>
        <w:t xml:space="preserve">Implementation status: Planned. </w:t>
      </w:r>
      <w:r>
        <w:t>No F6 directory or runner is present in all-test(1).tar. The following material is a proposed validation specification, not an executed archive test.</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keepNext/>
        <w:pageBreakBefore w:val="0"/>
      </w:pPr>
      <w:r>
        <w:t>F7. Parallel reproducibility and scheduler independence [planned - not in archive]</w:t>
      </w:r>
    </w:p>
    <w:p>
      <w:pPr>
        <w:spacing w:after="120"/>
        <w:shd w:fill="FFF2CC"/>
      </w:pPr>
      <w:r>
        <w:rPr>
          <w:b/>
        </w:rPr>
        <w:t xml:space="preserve">Implementation status: Planned. </w:t>
      </w:r>
      <w:r>
        <w:t>No F7 directory or runner is present in all-test(1).tar. The following material is a proposed validation specification, not an executed archive test.</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keepNext/>
        <w:pageBreakBefore w:val="0"/>
      </w:pPr>
      <w:r>
        <w:t>F8. GOES SEP flux time-series at GEO [planned - not in archive]</w:t>
      </w:r>
    </w:p>
    <w:p>
      <w:pPr>
        <w:spacing w:after="120"/>
        <w:shd w:fill="FFF2CC"/>
      </w:pPr>
      <w:r>
        <w:rPr>
          <w:b/>
        </w:rPr>
        <w:t xml:space="preserve">Implementation status: Planned. </w:t>
      </w:r>
      <w:r>
        <w:t>No F8 directory or runner is present in all-test(1).tar. The following material is a proposed validation specification, not an executed archive test.</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keepNext/>
        <w:pageBreakBefore w:val="0"/>
      </w:pPr>
      <w:r>
        <w:t>F9. LEO flux-transition: PAMELA / AMS-02 [planned - not in archive]</w:t>
      </w:r>
    </w:p>
    <w:p>
      <w:pPr>
        <w:spacing w:after="120"/>
        <w:shd w:fill="FFF2CC"/>
      </w:pPr>
      <w:r>
        <w:rPr>
          <w:b/>
        </w:rPr>
        <w:t xml:space="preserve">Implementation status: Planned. </w:t>
      </w:r>
      <w:r>
        <w:t>No F9 directory or runner is present in all-test(1).tar. The following material is a proposed validation specification, not an executed archive test.</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keepNext/>
        <w:pageBreakBefore w:val="0"/>
      </w:pPr>
      <w:r>
        <w:t>F10. POES/SAMPEX high-latitude flux boundary [planned - not in archive]</w:t>
      </w:r>
    </w:p>
    <w:p>
      <w:pPr>
        <w:spacing w:after="120"/>
        <w:shd w:fill="FFF2CC"/>
      </w:pPr>
      <w:r>
        <w:rPr>
          <w:b/>
        </w:rPr>
        <w:t xml:space="preserve">Implementation status: Planned. </w:t>
      </w:r>
      <w:r>
        <w:t>No F10 directory or runner is present in all-test(1).tar. The following material is a proposed validation specification, not an executed archive test.</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keepNext/>
        <w:pageBreakBefore w:val="0"/>
      </w:pPr>
      <w:r>
        <w:t>F11. Anisotropic PAD model sum-check (ISOTROPIC / SINALPHA_N / COSALPHA_N / BIDIRECTIONAL) [implemented]</w:t>
      </w:r>
    </w:p>
    <w:p>
      <w:pPr>
        <w:shd w:fill="FFF2CC"/>
      </w:pPr>
      <w:r>
        <w:rPr>
          <w:b/>
        </w:rPr>
        <w:t xml:space="preserve">Implementation status: </w:t>
      </w:r>
      <w:r>
        <w:t>Implemented as exact pairwise identity checks over saved density, flux, spectrum, and transmission outputs.</w:t>
      </w:r>
    </w:p>
    <w:p>
      <w:r>
        <w:t>F11 tests two identities only: every implemented PAD model reduces to isotropic at exponent n=0; and COSALPHA_N equals BIDIRECTIONAL for the same exponent because both use |cos(alpha)|^n. Claims about monotonic density trends or SINALPHA_N being larger at a selected point are not F11 acceptance gates.</w:t>
      </w:r>
    </w:p>
    <w:p>
      <w:pPr>
        <w:spacing w:before="60" w:after="120"/>
        <w:ind w:left="200" w:right="120"/>
        <w:shd w:fill="F2F2F2"/>
      </w:pPr>
      <w:r>
        <w:rPr>
          <w:rFonts w:ascii="Consolas" w:hAnsi="Consolas"/>
          <w:sz w:val="16"/>
        </w:rPr>
        <w:t>Models: ISOTROPIC, SINALPHA_N, COSALPHA_N, BIDIRECTIONAL</w:t>
        <w:br/>
        <w:t>Exponents: 0,1,2,4,8 (ISOTROPIC only needs n=0)</w:t>
        <w:br/>
        <w:t>Default identity tolerance: 1e-8</w:t>
      </w:r>
    </w:p>
    <w:tbl>
      <w:tblPr>
        <w:tblStyle w:val="TableGrid"/>
        <w:tblW w:type="dxa" w:w="9360"/>
        <w:tblLayout w:type="fixed"/>
        <w:tblLook w:firstColumn="1" w:firstRow="1" w:lastColumn="0" w:lastRow="0" w:noHBand="0" w:noVBand="1" w:val="04A0"/>
      </w:tblPr>
      <w:tblGrid>
        <w:gridCol w:w="3900"/>
        <w:gridCol w:w="5460"/>
      </w:tblGrid>
      <w:tr>
        <w:trPr>
          <w:tblHeader w:val="true"/>
        </w:trPr>
        <w:tc>
          <w:tcPr>
            <w:tcW w:type="dxa" w:w="3900"/>
            <w:vAlign w:val="center"/>
            <w:tcMar>
              <w:top w:w="90" w:type="dxa"/>
              <w:start w:w="110" w:type="dxa"/>
              <w:bottom w:w="90" w:type="dxa"/>
              <w:end w:w="110" w:type="dxa"/>
            </w:tcMar>
            <w:shd w:fill="D9EAF7"/>
          </w:tcPr>
          <w:p>
            <w:pPr>
              <w:spacing w:before="0" w:after="0" w:line="240" w:lineRule="auto"/>
            </w:pPr>
            <w:r>
              <w:rPr>
                <w:b/>
                <w:color w:val="1F4E78"/>
                <w:sz w:val="17"/>
              </w:rPr>
              <w:t>Identity</w:t>
            </w:r>
          </w:p>
        </w:tc>
        <w:tc>
          <w:tcPr>
            <w:tcW w:type="dxa" w:w="5460"/>
            <w:vAlign w:val="center"/>
            <w:tcMar>
              <w:top w:w="90" w:type="dxa"/>
              <w:start w:w="110" w:type="dxa"/>
              <w:bottom w:w="90" w:type="dxa"/>
              <w:end w:w="110" w:type="dxa"/>
            </w:tcMar>
            <w:shd w:fill="D9EAF7"/>
          </w:tcPr>
          <w:p>
            <w:pPr>
              <w:spacing w:before="0" w:after="0" w:line="240" w:lineRule="auto"/>
            </w:pPr>
            <w:r>
              <w:rPr>
                <w:b/>
                <w:color w:val="1F4E78"/>
                <w:sz w:val="17"/>
              </w:rPr>
              <w:t>Expected</w:t>
            </w:r>
          </w:p>
        </w:tc>
      </w:tr>
      <w:tr>
        <w:tc>
          <w:tcPr>
            <w:tcW w:type="dxa" w:w="3900"/>
            <w:vAlign w:val="center"/>
            <w:tcMar>
              <w:top w:w="90" w:type="dxa"/>
              <w:start w:w="110" w:type="dxa"/>
              <w:bottom w:w="90" w:type="dxa"/>
              <w:end w:w="110" w:type="dxa"/>
            </w:tcMar>
          </w:tcPr>
          <w:p>
            <w:pPr>
              <w:spacing w:before="0" w:after="0" w:line="240" w:lineRule="auto"/>
            </w:pPr>
            <w:r>
              <w:rPr>
                <w:sz w:val="17"/>
              </w:rPr>
              <w:t>Any model at n=0 vs ISOTROPIC</w:t>
            </w:r>
          </w:p>
        </w:tc>
        <w:tc>
          <w:tcPr>
            <w:tcW w:type="dxa" w:w="5460"/>
            <w:vAlign w:val="center"/>
            <w:tcMar>
              <w:top w:w="90" w:type="dxa"/>
              <w:start w:w="110" w:type="dxa"/>
              <w:bottom w:w="90" w:type="dxa"/>
              <w:end w:w="110" w:type="dxa"/>
            </w:tcMar>
          </w:tcPr>
          <w:p>
            <w:pPr>
              <w:spacing w:before="0" w:after="0" w:line="240" w:lineRule="auto"/>
            </w:pPr>
            <w:r>
              <w:rPr>
                <w:sz w:val="17"/>
              </w:rPr>
              <w:t>Zero difference in total density, total/channel flux, T(E), J_boundary(E), and J_local(E) within 1e-8.</w:t>
            </w:r>
          </w:p>
        </w:tc>
      </w:tr>
      <w:tr>
        <w:tc>
          <w:tcPr>
            <w:tcW w:type="dxa" w:w="3900"/>
            <w:vAlign w:val="center"/>
            <w:tcMar>
              <w:top w:w="90" w:type="dxa"/>
              <w:start w:w="110" w:type="dxa"/>
              <w:bottom w:w="90" w:type="dxa"/>
              <w:end w:w="110" w:type="dxa"/>
            </w:tcMar>
          </w:tcPr>
          <w:p>
            <w:pPr>
              <w:spacing w:before="0" w:after="0" w:line="240" w:lineRule="auto"/>
            </w:pPr>
            <w:r>
              <w:rPr>
                <w:sz w:val="17"/>
              </w:rPr>
              <w:t>COSALPHA_N vs BIDIRECTIONAL</w:t>
            </w:r>
          </w:p>
        </w:tc>
        <w:tc>
          <w:tcPr>
            <w:tcW w:type="dxa" w:w="5460"/>
            <w:vAlign w:val="center"/>
            <w:tcMar>
              <w:top w:w="90" w:type="dxa"/>
              <w:start w:w="110" w:type="dxa"/>
              <w:bottom w:w="90" w:type="dxa"/>
              <w:end w:w="110" w:type="dxa"/>
            </w:tcMar>
          </w:tcPr>
          <w:p>
            <w:pPr>
              <w:spacing w:before="0" w:after="0" w:line="240" w:lineRule="auto"/>
            </w:pPr>
            <w:r>
              <w:rPr>
                <w:sz w:val="17"/>
              </w:rPr>
              <w:t>Zero difference at equal exponent within 1e-8.</w:t>
            </w:r>
          </w:p>
        </w:tc>
      </w:tr>
    </w:tbl>
    <w:p>
      <w:pPr>
        <w:pStyle w:val="Heading2"/>
        <w:keepNext/>
        <w:pageBreakBefore w:val="0"/>
      </w:pPr>
      <w:r>
        <w:t>F12. Day/night spatial boundary-anisotropy identities [implemented]</w:t>
      </w:r>
    </w:p>
    <w:p>
      <w:pPr>
        <w:shd w:fill="FFF2CC"/>
      </w:pPr>
      <w:r>
        <w:rPr>
          <w:b/>
        </w:rPr>
        <w:t xml:space="preserve">Implementation status: </w:t>
      </w:r>
      <w:r>
        <w:t>Implemented as an exact zero-field GRIDLESS spatial-factor identity test.</w:t>
      </w:r>
    </w:p>
    <w:p>
      <w:r>
        <w:t>The geometry uses FIELD_MODEL NONE, EFIELD_MODEL NONE, R_INNER=0, and diagnostic points with GSM X=0. Every direction is allowed and the deterministic direction grid pairs under x -&gt; -x, so exactly half of trajectories exit dayside and half nightside.</w:t>
      </w:r>
    </w:p>
    <w:p>
      <w:pPr>
        <w:spacing w:before="60" w:after="120"/>
        <w:ind w:left="200" w:right="120"/>
        <w:shd w:fill="F2F2F2"/>
      </w:pPr>
      <w:r>
        <w:rPr>
          <w:rFonts w:ascii="Consolas" w:hAnsi="Consolas"/>
          <w:sz w:val="16"/>
        </w:rPr>
        <w:t>DS_BOUNDARY_MODE ANISOTROPIC</w:t>
        <w:br/>
        <w:t>BA_PAD_MODEL ISOTROPIC</w:t>
        <w:br/>
        <w:t>BA_SPATIAL_MODEL DAYSIDE_NIGHTSIDE</w:t>
        <w:br/>
        <w:t>FIELD_MODEL NONE</w:t>
        <w:br/>
        <w:t>EFIELD_MODEL NONE</w:t>
        <w:br/>
        <w:t>R_INNER 0</w:t>
      </w:r>
    </w:p>
    <w:tbl>
      <w:tblPr>
        <w:tblStyle w:val="TableGrid"/>
        <w:tblW w:type="dxa" w:w="9360"/>
        <w:tblLayout w:type="fixed"/>
        <w:tblLook w:firstColumn="1" w:firstRow="1" w:lastColumn="0" w:lastRow="0" w:noHBand="0" w:noVBand="1" w:val="04A0"/>
      </w:tblPr>
      <w:tblGrid>
        <w:gridCol w:w="4200"/>
        <w:gridCol w:w="5160"/>
      </w:tblGrid>
      <w:tr>
        <w:trPr>
          <w:tblHeader w:val="true"/>
        </w:trPr>
        <w:tc>
          <w:tcPr>
            <w:tcW w:type="dxa" w:w="4200"/>
            <w:vAlign w:val="center"/>
            <w:tcMar>
              <w:top w:w="90" w:type="dxa"/>
              <w:start w:w="110" w:type="dxa"/>
              <w:bottom w:w="90" w:type="dxa"/>
              <w:end w:w="110" w:type="dxa"/>
            </w:tcMar>
            <w:shd w:fill="D9EAF7"/>
          </w:tcPr>
          <w:p>
            <w:pPr>
              <w:spacing w:before="0" w:after="0" w:line="240" w:lineRule="auto"/>
            </w:pPr>
            <w:r>
              <w:rPr>
                <w:b/>
                <w:color w:val="1F4E78"/>
                <w:sz w:val="17"/>
              </w:rPr>
              <w:t>Case</w:t>
            </w:r>
          </w:p>
        </w:tc>
        <w:tc>
          <w:tcPr>
            <w:tcW w:type="dxa" w:w="5160"/>
            <w:vAlign w:val="center"/>
            <w:tcMar>
              <w:top w:w="90" w:type="dxa"/>
              <w:start w:w="110" w:type="dxa"/>
              <w:bottom w:w="90" w:type="dxa"/>
              <w:end w:w="110" w:type="dxa"/>
            </w:tcMar>
            <w:shd w:fill="D9EAF7"/>
          </w:tcPr>
          <w:p>
            <w:pPr>
              <w:spacing w:before="0" w:after="0" w:line="240" w:lineRule="auto"/>
            </w:pPr>
            <w:r>
              <w:rPr>
                <w:b/>
                <w:color w:val="1F4E78"/>
                <w:sz w:val="17"/>
              </w:rPr>
              <w:t>Exact ratio to UNIFORM</w:t>
            </w:r>
          </w:p>
        </w:tc>
      </w:tr>
      <w:tr>
        <w:tc>
          <w:tcPr>
            <w:tcW w:type="dxa" w:w="4200"/>
            <w:vAlign w:val="center"/>
            <w:tcMar>
              <w:top w:w="90" w:type="dxa"/>
              <w:start w:w="110" w:type="dxa"/>
              <w:bottom w:w="90" w:type="dxa"/>
              <w:end w:w="110" w:type="dxa"/>
            </w:tcMar>
          </w:tcPr>
          <w:p>
            <w:pPr>
              <w:spacing w:before="0" w:after="0" w:line="240" w:lineRule="auto"/>
            </w:pPr>
            <w:r>
              <w:rPr>
                <w:sz w:val="17"/>
              </w:rPr>
              <w:t>DAYSIDE_NIGHTSIDE(1,1)</w:t>
            </w:r>
          </w:p>
        </w:tc>
        <w:tc>
          <w:tcPr>
            <w:tcW w:type="dxa" w:w="5160"/>
            <w:vAlign w:val="center"/>
            <w:tcMar>
              <w:top w:w="90" w:type="dxa"/>
              <w:start w:w="110" w:type="dxa"/>
              <w:bottom w:w="90" w:type="dxa"/>
              <w:end w:w="110" w:type="dxa"/>
            </w:tcMar>
          </w:tcPr>
          <w:p>
            <w:pPr>
              <w:spacing w:before="0" w:after="0" w:line="240" w:lineRule="auto"/>
            </w:pPr>
            <w:r>
              <w:rPr>
                <w:sz w:val="17"/>
              </w:rPr>
              <w:t>1.0</w:t>
            </w:r>
          </w:p>
        </w:tc>
      </w:tr>
      <w:tr>
        <w:tc>
          <w:tcPr>
            <w:tcW w:type="dxa" w:w="4200"/>
            <w:vAlign w:val="center"/>
            <w:tcMar>
              <w:top w:w="90" w:type="dxa"/>
              <w:start w:w="110" w:type="dxa"/>
              <w:bottom w:w="90" w:type="dxa"/>
              <w:end w:w="110" w:type="dxa"/>
            </w:tcMar>
          </w:tcPr>
          <w:p>
            <w:pPr>
              <w:spacing w:before="0" w:after="0" w:line="240" w:lineRule="auto"/>
            </w:pPr>
            <w:r>
              <w:rPr>
                <w:sz w:val="17"/>
              </w:rPr>
              <w:t>DAY_ONLY(1,0)</w:t>
            </w:r>
          </w:p>
        </w:tc>
        <w:tc>
          <w:tcPr>
            <w:tcW w:type="dxa" w:w="5160"/>
            <w:vAlign w:val="center"/>
            <w:tcMar>
              <w:top w:w="90" w:type="dxa"/>
              <w:start w:w="110" w:type="dxa"/>
              <w:bottom w:w="90" w:type="dxa"/>
              <w:end w:w="110" w:type="dxa"/>
            </w:tcMar>
          </w:tcPr>
          <w:p>
            <w:pPr>
              <w:spacing w:before="0" w:after="0" w:line="240" w:lineRule="auto"/>
            </w:pPr>
            <w:r>
              <w:rPr>
                <w:sz w:val="17"/>
              </w:rPr>
              <w:t>0.5</w:t>
            </w:r>
          </w:p>
        </w:tc>
      </w:tr>
      <w:tr>
        <w:tc>
          <w:tcPr>
            <w:tcW w:type="dxa" w:w="4200"/>
            <w:vAlign w:val="center"/>
            <w:tcMar>
              <w:top w:w="90" w:type="dxa"/>
              <w:start w:w="110" w:type="dxa"/>
              <w:bottom w:w="90" w:type="dxa"/>
              <w:end w:w="110" w:type="dxa"/>
            </w:tcMar>
          </w:tcPr>
          <w:p>
            <w:pPr>
              <w:spacing w:before="0" w:after="0" w:line="240" w:lineRule="auto"/>
            </w:pPr>
            <w:r>
              <w:rPr>
                <w:sz w:val="17"/>
              </w:rPr>
              <w:t>NIGHT_ONLY(0,1)</w:t>
            </w:r>
          </w:p>
        </w:tc>
        <w:tc>
          <w:tcPr>
            <w:tcW w:type="dxa" w:w="5160"/>
            <w:vAlign w:val="center"/>
            <w:tcMar>
              <w:top w:w="90" w:type="dxa"/>
              <w:start w:w="110" w:type="dxa"/>
              <w:bottom w:w="90" w:type="dxa"/>
              <w:end w:w="110" w:type="dxa"/>
            </w:tcMar>
          </w:tcPr>
          <w:p>
            <w:pPr>
              <w:spacing w:before="0" w:after="0" w:line="240" w:lineRule="auto"/>
            </w:pPr>
            <w:r>
              <w:rPr>
                <w:sz w:val="17"/>
              </w:rPr>
              <w:t>0.5</w:t>
            </w:r>
          </w:p>
        </w:tc>
      </w:tr>
      <w:tr>
        <w:tc>
          <w:tcPr>
            <w:tcW w:type="dxa" w:w="4200"/>
            <w:vAlign w:val="center"/>
            <w:tcMar>
              <w:top w:w="90" w:type="dxa"/>
              <w:start w:w="110" w:type="dxa"/>
              <w:bottom w:w="90" w:type="dxa"/>
              <w:end w:w="110" w:type="dxa"/>
            </w:tcMar>
          </w:tcPr>
          <w:p>
            <w:pPr>
              <w:spacing w:before="0" w:after="0" w:line="240" w:lineRule="auto"/>
            </w:pPr>
            <w:r>
              <w:rPr>
                <w:sz w:val="17"/>
              </w:rPr>
              <w:t>DAY_ONLY + NIGHT_ONLY</w:t>
            </w:r>
          </w:p>
        </w:tc>
        <w:tc>
          <w:tcPr>
            <w:tcW w:type="dxa" w:w="5160"/>
            <w:vAlign w:val="center"/>
            <w:tcMar>
              <w:top w:w="90" w:type="dxa"/>
              <w:start w:w="110" w:type="dxa"/>
              <w:bottom w:w="90" w:type="dxa"/>
              <w:end w:w="110" w:type="dxa"/>
            </w:tcMar>
          </w:tcPr>
          <w:p>
            <w:pPr>
              <w:spacing w:before="0" w:after="0" w:line="240" w:lineRule="auto"/>
            </w:pPr>
            <w:r>
              <w:rPr>
                <w:sz w:val="17"/>
              </w:rPr>
              <w:t>1.0</w:t>
            </w:r>
          </w:p>
        </w:tc>
      </w:tr>
      <w:tr>
        <w:tc>
          <w:tcPr>
            <w:tcW w:type="dxa" w:w="4200"/>
            <w:vAlign w:val="center"/>
            <w:tcMar>
              <w:top w:w="90" w:type="dxa"/>
              <w:start w:w="110" w:type="dxa"/>
              <w:bottom w:w="90" w:type="dxa"/>
              <w:end w:w="110" w:type="dxa"/>
            </w:tcMar>
          </w:tcPr>
          <w:p>
            <w:pPr>
              <w:spacing w:before="0" w:after="0" w:line="240" w:lineRule="auto"/>
            </w:pPr>
            <w:r>
              <w:rPr>
                <w:sz w:val="17"/>
              </w:rPr>
              <w:t>DAYSIDE_NIGHTSIDE(2,0.5)</w:t>
            </w:r>
          </w:p>
        </w:tc>
        <w:tc>
          <w:tcPr>
            <w:tcW w:type="dxa" w:w="5160"/>
            <w:vAlign w:val="center"/>
            <w:tcMar>
              <w:top w:w="90" w:type="dxa"/>
              <w:start w:w="110" w:type="dxa"/>
              <w:bottom w:w="90" w:type="dxa"/>
              <w:end w:w="110" w:type="dxa"/>
            </w:tcMar>
          </w:tcPr>
          <w:p>
            <w:pPr>
              <w:spacing w:before="0" w:after="0" w:line="240" w:lineRule="auto"/>
            </w:pPr>
            <w:r>
              <w:rPr>
                <w:sz w:val="17"/>
              </w:rPr>
              <w:t>1.25</w:t>
            </w:r>
          </w:p>
        </w:tc>
      </w:tr>
    </w:tbl>
    <w:p>
      <w:r>
        <w:rPr>
          <w:b/>
        </w:rPr>
        <w:t xml:space="preserve">Scope: </w:t>
      </w:r>
      <w:r>
        <w:t>The runner checks these identities for density, total and channel flux, T(E), J_boundary(E), and J_local(E); no approximate dipole day/night split is used.</w:t>
      </w:r>
    </w:p>
    <w:p>
      <w:pPr>
        <w:pStyle w:val="Heading2"/>
        <w:keepNext/>
        <w:pageBreakBefore w:val="0"/>
      </w:pPr>
      <w:r>
        <w:t>F13. Density/flux OpenMP × MPI-scheduler reproducibility matrix [planned - not in archive]</w:t>
      </w:r>
    </w:p>
    <w:p>
      <w:pPr>
        <w:spacing w:after="120"/>
        <w:shd w:fill="FFF2CC"/>
      </w:pPr>
      <w:r>
        <w:rPr>
          <w:b/>
        </w:rPr>
        <w:t xml:space="preserve">Implementation status: Planned. </w:t>
      </w:r>
      <w:r>
        <w:t>No F13 directory or runner is present in all-test(1).tar. The following material is a proposed validation specification, not an executed archive test.</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keepNext/>
        <w:pageBreakBefore/>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keepNext/>
        <w:pageBreakBefore/>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keepNext/>
        <w:pageBreakBefore/>
      </w:pPr>
      <w:r>
        <w:t>8. Additional validation tests C14-C19 and F14-F17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keepNext/>
        <w:pageBreakBefore w:val="0"/>
      </w:pPr>
      <w:r>
        <w:t>C14. Mode3D versus gridless cross-solver consistency [implemented]</w:t>
      </w:r>
    </w:p>
    <w:p>
      <w:pPr>
        <w:shd w:fill="FFF2CC"/>
      </w:pPr>
      <w:r>
        <w:rPr>
          <w:b/>
        </w:rPr>
        <w:t xml:space="preserve">Implementation status: </w:t>
      </w:r>
      <w:r>
        <w:t>Implemented for the centered dipole only, with CROSS_SOLVER and STRICT_STORMER profiles.</w:t>
      </w:r>
    </w:p>
    <w:p>
      <w:r>
        <w:t>C14 runs the same vertical-cutoff problem through standalone Mode3D and GRIDLESS using identical mover, search, limits, box, points, and CUTOFF_TRACE_POLICY=ACCURATE. It does not implement the previously described T05 repeat. The finite Cartesian escape box preserves 90 deg rotational groups, not arbitrary continuous longitude symmetry.</w:t>
      </w:r>
    </w:p>
    <w:p>
      <w:pPr>
        <w:spacing w:before="60" w:after="120"/>
        <w:ind w:left="200" w:right="120"/>
        <w:shd w:fill="F2F2F2"/>
      </w:pPr>
      <w:r>
        <w:rPr>
          <w:rFonts w:ascii="Consolas" w:hAnsi="Consolas"/>
          <w:sz w:val="16"/>
        </w:rPr>
        <w:t>Profiles: CROSS_SOLVER (default) | STRICT_STORMER</w:t>
        <w:br/>
        <w:t>FIELD_MODEL DIPOLE</w:t>
        <w:br/>
        <w:t>CUTOFF_TRACE_POLICY ACCURATE</w:t>
        <w:br/>
        <w:t>CROSS_SOLVER: half-box 35 Re, scan N=100</w:t>
        <w:br/>
        <w:t>STRICT_STORMER: half-box 100 Re, scan N=200</w:t>
      </w:r>
    </w:p>
    <w:tbl>
      <w:tblPr>
        <w:tblStyle w:val="TableGrid"/>
        <w:tblW w:type="dxa" w:w="9360"/>
        <w:tblLayout w:type="fixed"/>
        <w:tblLook w:firstColumn="1" w:firstRow="1" w:lastColumn="0" w:lastRow="0" w:noHBand="0" w:noVBand="1" w:val="04A0"/>
      </w:tblPr>
      <w:tblGrid>
        <w:gridCol w:w="3200"/>
        <w:gridCol w:w="6160"/>
      </w:tblGrid>
      <w:tr>
        <w:trPr>
          <w:tblHeader w:val="true"/>
        </w:trPr>
        <w:tc>
          <w:tcPr>
            <w:tcW w:type="dxa" w:w="3200"/>
            <w:vAlign w:val="center"/>
            <w:tcMar>
              <w:top w:w="90" w:type="dxa"/>
              <w:start w:w="110" w:type="dxa"/>
              <w:bottom w:w="90" w:type="dxa"/>
              <w:end w:w="110" w:type="dxa"/>
            </w:tcMar>
            <w:shd w:fill="D9EAF7"/>
          </w:tcPr>
          <w:p>
            <w:pPr>
              <w:spacing w:before="0" w:after="0" w:line="240" w:lineRule="auto"/>
            </w:pPr>
            <w:r>
              <w:rPr>
                <w:b/>
                <w:color w:val="1F4E78"/>
                <w:sz w:val="17"/>
              </w:rPr>
              <w:t>Hard check</w:t>
            </w:r>
          </w:p>
        </w:tc>
        <w:tc>
          <w:tcPr>
            <w:tcW w:type="dxa" w:w="6160"/>
            <w:vAlign w:val="center"/>
            <w:tcMar>
              <w:top w:w="90" w:type="dxa"/>
              <w:start w:w="110" w:type="dxa"/>
              <w:bottom w:w="90" w:type="dxa"/>
              <w:end w:w="110" w:type="dxa"/>
            </w:tcMar>
            <w:shd w:fill="D9EAF7"/>
          </w:tcPr>
          <w:p>
            <w:pPr>
              <w:spacing w:before="0" w:after="0" w:line="240" w:lineRule="auto"/>
            </w:pPr>
            <w:r>
              <w:rPr>
                <w:b/>
                <w:color w:val="1F4E78"/>
                <w:sz w:val="17"/>
              </w:rPr>
              <w:t>Default tolerance/role</w:t>
            </w:r>
          </w:p>
        </w:tc>
      </w:tr>
      <w:tr>
        <w:tc>
          <w:tcPr>
            <w:tcW w:type="dxa" w:w="3200"/>
            <w:vAlign w:val="center"/>
            <w:tcMar>
              <w:top w:w="90" w:type="dxa"/>
              <w:start w:w="110" w:type="dxa"/>
              <w:bottom w:w="90" w:type="dxa"/>
              <w:end w:w="110" w:type="dxa"/>
            </w:tcMar>
          </w:tcPr>
          <w:p>
            <w:pPr>
              <w:spacing w:before="0" w:after="0" w:line="240" w:lineRule="auto"/>
            </w:pPr>
            <w:r>
              <w:rPr>
                <w:sz w:val="17"/>
              </w:rPr>
              <w:t>Mode3D vs GRIDLESS</w:t>
            </w:r>
          </w:p>
        </w:tc>
        <w:tc>
          <w:tcPr>
            <w:tcW w:type="dxa" w:w="6160"/>
            <w:vAlign w:val="center"/>
            <w:tcMar>
              <w:top w:w="90" w:type="dxa"/>
              <w:start w:w="110" w:type="dxa"/>
              <w:bottom w:w="90" w:type="dxa"/>
              <w:end w:w="110" w:type="dxa"/>
            </w:tcMar>
          </w:tcPr>
          <w:p>
            <w:pPr>
              <w:spacing w:before="0" w:after="0" w:line="240" w:lineRule="auto"/>
            </w:pPr>
            <w:r>
              <w:rPr>
                <w:sz w:val="17"/>
              </w:rPr>
              <w:t>1% mid-latitude; 5% high-latitude with ANALYTIC field, 15% with MESH.</w:t>
            </w:r>
          </w:p>
        </w:tc>
      </w:tr>
      <w:tr>
        <w:tc>
          <w:tcPr>
            <w:tcW w:type="dxa" w:w="3200"/>
            <w:vAlign w:val="center"/>
            <w:tcMar>
              <w:top w:w="90" w:type="dxa"/>
              <w:start w:w="110" w:type="dxa"/>
              <w:bottom w:w="90" w:type="dxa"/>
              <w:end w:w="110" w:type="dxa"/>
            </w:tcMar>
          </w:tcPr>
          <w:p>
            <w:pPr>
              <w:spacing w:before="0" w:after="0" w:line="240" w:lineRule="auto"/>
            </w:pPr>
            <w:r>
              <w:rPr>
                <w:sz w:val="17"/>
              </w:rPr>
              <w:t>90 deg finite-box symmetry</w:t>
            </w:r>
          </w:p>
        </w:tc>
        <w:tc>
          <w:tcPr>
            <w:tcW w:type="dxa" w:w="6160"/>
            <w:vAlign w:val="center"/>
            <w:tcMar>
              <w:top w:w="90" w:type="dxa"/>
              <w:start w:w="110" w:type="dxa"/>
              <w:bottom w:w="90" w:type="dxa"/>
              <w:end w:w="110" w:type="dxa"/>
            </w:tcMar>
          </w:tcPr>
          <w:p>
            <w:pPr>
              <w:spacing w:before="0" w:after="0" w:line="240" w:lineRule="auto"/>
            </w:pPr>
            <w:r>
              <w:rPr>
                <w:sz w:val="17"/>
              </w:rPr>
              <w:t>3%; MESH high-latitude tolerance 15%.</w:t>
            </w:r>
          </w:p>
        </w:tc>
      </w:tr>
      <w:tr>
        <w:tc>
          <w:tcPr>
            <w:tcW w:type="dxa" w:w="3200"/>
            <w:vAlign w:val="center"/>
            <w:tcMar>
              <w:top w:w="90" w:type="dxa"/>
              <w:start w:w="110" w:type="dxa"/>
              <w:bottom w:w="90" w:type="dxa"/>
              <w:end w:w="110" w:type="dxa"/>
            </w:tcMar>
          </w:tcPr>
          <w:p>
            <w:pPr>
              <w:spacing w:before="0" w:after="0" w:line="240" w:lineRule="auto"/>
            </w:pPr>
            <w:r>
              <w:rPr>
                <w:sz w:val="17"/>
              </w:rPr>
              <w:t>North/south symmetry</w:t>
            </w:r>
          </w:p>
        </w:tc>
        <w:tc>
          <w:tcPr>
            <w:tcW w:type="dxa" w:w="6160"/>
            <w:vAlign w:val="center"/>
            <w:tcMar>
              <w:top w:w="90" w:type="dxa"/>
              <w:start w:w="110" w:type="dxa"/>
              <w:bottom w:w="90" w:type="dxa"/>
              <w:end w:w="110" w:type="dxa"/>
            </w:tcMar>
          </w:tcPr>
          <w:p>
            <w:pPr>
              <w:spacing w:before="0" w:after="0" w:line="240" w:lineRule="auto"/>
            </w:pPr>
            <w:r>
              <w:rPr>
                <w:sz w:val="17"/>
              </w:rPr>
              <w:t>3%; MESH high-latitude tolerance 10%.</w:t>
            </w:r>
          </w:p>
        </w:tc>
      </w:tr>
      <w:tr>
        <w:tc>
          <w:tcPr>
            <w:tcW w:type="dxa" w:w="3200"/>
            <w:vAlign w:val="center"/>
            <w:tcMar>
              <w:top w:w="90" w:type="dxa"/>
              <w:start w:w="110" w:type="dxa"/>
              <w:bottom w:w="90" w:type="dxa"/>
              <w:end w:w="110" w:type="dxa"/>
            </w:tcMar>
          </w:tcPr>
          <w:p>
            <w:pPr>
              <w:spacing w:before="0" w:after="0" w:line="240" w:lineRule="auto"/>
            </w:pPr>
            <w:r>
              <w:rPr>
                <w:sz w:val="17"/>
              </w:rPr>
              <w:t>Stormer residual</w:t>
            </w:r>
          </w:p>
        </w:tc>
        <w:tc>
          <w:tcPr>
            <w:tcW w:type="dxa" w:w="6160"/>
            <w:vAlign w:val="center"/>
            <w:tcMar>
              <w:top w:w="90" w:type="dxa"/>
              <w:start w:w="110" w:type="dxa"/>
              <w:bottom w:w="90" w:type="dxa"/>
              <w:end w:w="110" w:type="dxa"/>
            </w:tcMar>
          </w:tcPr>
          <w:p>
            <w:pPr>
              <w:spacing w:before="0" w:after="0" w:line="240" w:lineRule="auto"/>
            </w:pPr>
            <w:r>
              <w:rPr>
                <w:sz w:val="17"/>
              </w:rPr>
              <w:t>Diagnostic in CROSS_SOLVER; hard only in STRICT_STORMER (5% mid, 25% high latitude).</w:t>
            </w:r>
          </w:p>
        </w:tc>
      </w:tr>
      <w:tr>
        <w:tc>
          <w:tcPr>
            <w:tcW w:type="dxa" w:w="3200"/>
            <w:vAlign w:val="center"/>
            <w:tcMar>
              <w:top w:w="90" w:type="dxa"/>
              <w:start w:w="110" w:type="dxa"/>
              <w:bottom w:w="90" w:type="dxa"/>
              <w:end w:w="110" w:type="dxa"/>
            </w:tcMar>
          </w:tcPr>
          <w:p>
            <w:pPr>
              <w:spacing w:before="0" w:after="0" w:line="240" w:lineRule="auto"/>
            </w:pPr>
            <w:r>
              <w:rPr>
                <w:sz w:val="17"/>
              </w:rPr>
              <w:t>Full-longitude invariance</w:t>
            </w:r>
          </w:p>
        </w:tc>
        <w:tc>
          <w:tcPr>
            <w:tcW w:type="dxa" w:w="6160"/>
            <w:vAlign w:val="center"/>
            <w:tcMar>
              <w:top w:w="90" w:type="dxa"/>
              <w:start w:w="110" w:type="dxa"/>
              <w:bottom w:w="90" w:type="dxa"/>
              <w:end w:w="110" w:type="dxa"/>
            </w:tcMar>
          </w:tcPr>
          <w:p>
            <w:pPr>
              <w:spacing w:before="0" w:after="0" w:line="240" w:lineRule="auto"/>
            </w:pPr>
            <w:r>
              <w:rPr>
                <w:sz w:val="17"/>
              </w:rPr>
              <w:t>Diagnostic in both profiles because a finite cube is not continuously rotationally invariant.</w:t>
            </w:r>
          </w:p>
        </w:tc>
      </w:tr>
    </w:tbl>
    <w:p>
      <w:pPr>
        <w:pStyle w:val="Heading2"/>
        <w:keepNext/>
        <w:pageBreakBefore w:val="0"/>
      </w:pPr>
      <w:r>
        <w:t>C15. Time-dependent T05 driver interpolation and epoch reproducibility [planned - not in archive]</w:t>
      </w:r>
    </w:p>
    <w:p>
      <w:pPr>
        <w:spacing w:after="120"/>
        <w:shd w:fill="FFF2CC"/>
      </w:pPr>
      <w:r>
        <w:rPr>
          <w:b/>
        </w:rPr>
        <w:t xml:space="preserve">Implementation status: Planned. </w:t>
      </w:r>
      <w:r>
        <w:t>No C15 directory or runner is present in all-test(1).tar. The following material is a proposed validation specification, not an executed archive test.</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keepNext/>
        <w:pageBreakBefore w:val="0"/>
      </w:pPr>
      <w:r>
        <w:t>C16. Exit-reason closure and boundary-classification audit [planned - not in archive]</w:t>
      </w:r>
    </w:p>
    <w:p>
      <w:pPr>
        <w:spacing w:after="120"/>
        <w:shd w:fill="FFF2CC"/>
      </w:pPr>
      <w:r>
        <w:rPr>
          <w:b/>
        </w:rPr>
        <w:t xml:space="preserve">Implementation status: Planned. </w:t>
      </w:r>
      <w:r>
        <w:t>No C16 directory or runner is present in all-test(1).tar. The following material is a proposed validation specification, not an executed archive test.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keepNext/>
        <w:pageBreakBefore w:val="0"/>
      </w:pPr>
      <w:r>
        <w:t>C17. Dipole charge-sign and velocity-reversal symmetry [implemented]</w:t>
      </w:r>
    </w:p>
    <w:p>
      <w:pPr>
        <w:shd w:fill="FFF2CC"/>
      </w:pPr>
      <w:r>
        <w:rPr>
          <w:b/>
        </w:rPr>
        <w:t xml:space="preserve">Implementation status: </w:t>
      </w:r>
      <w:r>
        <w:t>Implemented as a GRIDLESS POINTS directional-map symmetry test.</w:t>
      </w:r>
    </w:p>
    <w:p>
      <w:r>
        <w:t>The two runs use a proton and a negative proton with the same proton mass, isolating charge sign from mass/energy conversion. At five 9000 km points, the runner compares directional cutoff cells under (lon,lat) -&gt; (lon+180 deg,-lat) and derives a step-transmission proxy at 0.1,0.2,0.5,1,2,5,10 GV. It does not consume a full saved T(R,Omega) cube.</w:t>
      </w:r>
    </w:p>
    <w:p>
      <w:pPr>
        <w:spacing w:before="60" w:after="120"/>
        <w:ind w:left="200" w:right="120"/>
        <w:shd w:fill="F2F2F2"/>
      </w:pPr>
      <w:r>
        <w:rPr>
          <w:rFonts w:ascii="Consolas" w:hAnsi="Consolas"/>
          <w:sz w:val="16"/>
        </w:rPr>
        <w:t>FIELD_MODEL DIPOLE</w:t>
        <w:br/>
        <w:t>OUTPUT_MODE POINTS</w:t>
        <w:br/>
        <w:t>DIRECTIONAL_MAP T</w:t>
        <w:br/>
        <w:t>DIRMAP_LON_RES 30 deg</w:t>
        <w:br/>
        <w:t>DIRMAP_LAT_RES 30 deg</w:t>
        <w:br/>
        <w:t>SPECIES PROTON vs NEGATIVE_PROTON (same mass)</w:t>
      </w:r>
    </w:p>
    <w:tbl>
      <w:tblPr>
        <w:tblStyle w:val="TableGrid"/>
        <w:tblW w:type="dxa" w:w="9360"/>
        <w:tblLayout w:type="fixed"/>
        <w:tblLook w:firstColumn="1" w:firstRow="1" w:lastColumn="0" w:lastRow="0" w:noHBand="0" w:noVBand="1" w:val="04A0"/>
      </w:tblPr>
      <w:tblGrid>
        <w:gridCol w:w="3000"/>
        <w:gridCol w:w="6360"/>
      </w:tblGrid>
      <w:tr>
        <w:trPr>
          <w:tblHeader w:val="true"/>
        </w:trPr>
        <w:tc>
          <w:tcPr>
            <w:tcW w:type="dxa" w:w="3000"/>
            <w:vAlign w:val="center"/>
            <w:tcMar>
              <w:top w:w="90" w:type="dxa"/>
              <w:start w:w="110" w:type="dxa"/>
              <w:bottom w:w="90" w:type="dxa"/>
              <w:end w:w="110" w:type="dxa"/>
            </w:tcMar>
            <w:shd w:fill="D9EAF7"/>
          </w:tcPr>
          <w:p>
            <w:pPr>
              <w:spacing w:before="0" w:after="0" w:line="240" w:lineRule="auto"/>
            </w:pPr>
            <w:r>
              <w:rPr>
                <w:b/>
                <w:color w:val="1F4E78"/>
                <w:sz w:val="17"/>
              </w:rPr>
              <w:t>Gate</w:t>
            </w:r>
          </w:p>
        </w:tc>
        <w:tc>
          <w:tcPr>
            <w:tcW w:type="dxa" w:w="6360"/>
            <w:vAlign w:val="center"/>
            <w:tcMar>
              <w:top w:w="90" w:type="dxa"/>
              <w:start w:w="110" w:type="dxa"/>
              <w:bottom w:w="90" w:type="dxa"/>
              <w:end w:w="110" w:type="dxa"/>
            </w:tcMar>
            <w:shd w:fill="D9EAF7"/>
          </w:tcPr>
          <w:p>
            <w:pPr>
              <w:spacing w:before="0" w:after="0" w:line="240" w:lineRule="auto"/>
            </w:pPr>
            <w:r>
              <w:rPr>
                <w:b/>
                <w:color w:val="1F4E78"/>
                <w:sz w:val="17"/>
              </w:rPr>
              <w:t>Implemented tolerance</w:t>
            </w:r>
          </w:p>
        </w:tc>
      </w:tr>
      <w:tr>
        <w:tc>
          <w:tcPr>
            <w:tcW w:type="dxa" w:w="3000"/>
            <w:vAlign w:val="center"/>
            <w:tcMar>
              <w:top w:w="90" w:type="dxa"/>
              <w:start w:w="110" w:type="dxa"/>
              <w:bottom w:w="90" w:type="dxa"/>
              <w:end w:w="110" w:type="dxa"/>
            </w:tcMar>
          </w:tcPr>
          <w:p>
            <w:pPr>
              <w:spacing w:before="0" w:after="0" w:line="240" w:lineRule="auto"/>
            </w:pPr>
            <w:r>
              <w:rPr>
                <w:sz w:val="17"/>
              </w:rPr>
              <w:t>Directional cutoff symmetry</w:t>
            </w:r>
          </w:p>
        </w:tc>
        <w:tc>
          <w:tcPr>
            <w:tcW w:type="dxa" w:w="6360"/>
            <w:vAlign w:val="center"/>
            <w:tcMar>
              <w:top w:w="90" w:type="dxa"/>
              <w:start w:w="110" w:type="dxa"/>
              <w:bottom w:w="90" w:type="dxa"/>
              <w:end w:w="110" w:type="dxa"/>
            </w:tcMar>
          </w:tcPr>
          <w:p>
            <w:pPr>
              <w:spacing w:before="0" w:after="0" w:line="240" w:lineRule="auto"/>
            </w:pPr>
            <w:r>
              <w:rPr>
                <w:sz w:val="17"/>
              </w:rPr>
              <w:t>Absolute difference &lt;=1e-8 GV or relative difference &lt;=1e-6.</w:t>
            </w:r>
          </w:p>
        </w:tc>
      </w:tr>
      <w:tr>
        <w:tc>
          <w:tcPr>
            <w:tcW w:type="dxa" w:w="3000"/>
            <w:vAlign w:val="center"/>
            <w:tcMar>
              <w:top w:w="90" w:type="dxa"/>
              <w:start w:w="110" w:type="dxa"/>
              <w:bottom w:w="90" w:type="dxa"/>
              <w:end w:w="110" w:type="dxa"/>
            </w:tcMar>
          </w:tcPr>
          <w:p>
            <w:pPr>
              <w:spacing w:before="0" w:after="0" w:line="240" w:lineRule="auto"/>
            </w:pPr>
            <w:r>
              <w:rPr>
                <w:sz w:val="17"/>
              </w:rPr>
              <w:t>Derived transmission proxy</w:t>
            </w:r>
          </w:p>
        </w:tc>
        <w:tc>
          <w:tcPr>
            <w:tcW w:type="dxa" w:w="6360"/>
            <w:vAlign w:val="center"/>
            <w:tcMar>
              <w:top w:w="90" w:type="dxa"/>
              <w:start w:w="110" w:type="dxa"/>
              <w:bottom w:w="90" w:type="dxa"/>
              <w:end w:w="110" w:type="dxa"/>
            </w:tcMar>
          </w:tcPr>
          <w:p>
            <w:pPr>
              <w:spacing w:before="0" w:after="0" w:line="240" w:lineRule="auto"/>
            </w:pPr>
            <w:r>
              <w:rPr>
                <w:sz w:val="17"/>
              </w:rPr>
              <w:t>Must match at every selected rigidity.</w:t>
            </w:r>
          </w:p>
        </w:tc>
      </w:tr>
      <w:tr>
        <w:tc>
          <w:tcPr>
            <w:tcW w:type="dxa" w:w="3000"/>
            <w:vAlign w:val="center"/>
            <w:tcMar>
              <w:top w:w="90" w:type="dxa"/>
              <w:start w:w="110" w:type="dxa"/>
              <w:bottom w:w="90" w:type="dxa"/>
              <w:end w:w="110" w:type="dxa"/>
            </w:tcMar>
          </w:tcPr>
          <w:p>
            <w:pPr>
              <w:spacing w:before="0" w:after="0" w:line="240" w:lineRule="auto"/>
            </w:pPr>
            <w:r>
              <w:rPr>
                <w:sz w:val="17"/>
              </w:rPr>
              <w:t>Directional poles</w:t>
            </w:r>
          </w:p>
        </w:tc>
        <w:tc>
          <w:tcPr>
            <w:tcW w:type="dxa" w:w="6360"/>
            <w:vAlign w:val="center"/>
            <w:tcMar>
              <w:top w:w="90" w:type="dxa"/>
              <w:start w:w="110" w:type="dxa"/>
              <w:bottom w:w="90" w:type="dxa"/>
              <w:end w:w="110" w:type="dxa"/>
            </w:tcMar>
          </w:tcPr>
          <w:p>
            <w:pPr>
              <w:spacing w:before="0" w:after="0" w:line="240" w:lineRule="auto"/>
            </w:pPr>
            <w:r>
              <w:rPr>
                <w:sz w:val="17"/>
              </w:rPr>
              <w:t>Skipped by default because longitude is degenerate; optional with --include-poles.</w:t>
            </w:r>
          </w:p>
        </w:tc>
      </w:tr>
    </w:tbl>
    <w:p>
      <w:pPr>
        <w:pStyle w:val="Heading2"/>
        <w:keepNext/>
        <w:pageBreakBefore w:val="0"/>
      </w:pPr>
      <w:r>
        <w:t>C18. POSIX-thread deterministic background-field initialization [implemented]</w:t>
      </w:r>
    </w:p>
    <w:p>
      <w:r>
        <w:t>Validates that temporary POSIX workers used to initialize the standalone Mode3D cell-centered background-field mesh do not change either the stored background-field values or the resulting exact-rigidity cutoff-access map. The default cutoff backend is SERIAL, so a difference is attributable to field initialization, mesh materialization, field assembly, or stale magnetic-model state rather than to the cutoff worker queue.</w:t>
      </w:r>
    </w:p>
    <w:p>
      <w:pPr>
        <w:shd w:fill="FFF2CC"/>
      </w:pPr>
      <w:r>
        <w:rPr>
          <w:b/>
        </w:rPr>
        <w:t>Implementation status:</w:t>
      </w:r>
      <w:r>
        <w:t xml:space="preserve"> Implemented. The executable runner is srcEarth/test/C18/run_C18.py and the input template is srcEarth/test/C18/AMPS_PARAM_C18.in. The supported standalone field models are DIPOLE, IGRF, T96, and T05.</w:t>
      </w:r>
    </w:p>
    <w:p>
      <w:r>
        <w:rPr>
          <w:b/>
        </w:rPr>
        <w:t>Reference strategy:</w:t>
      </w:r>
      <w:r>
        <w:t xml:space="preserve"> No checked-in numerical reference solution is required. For each magnetic model, the runner first creates a serial field-initialization and serial-cutoff baseline with the same executable, MPI rank count, mesh, epoch, and physical input. Every POSIX-thread case is compared directly with that runtime baseline. C6, C7, C9, and C10 remain the physical validation tests for IGRF and Tsyganenko fields.</w:t>
      </w:r>
    </w:p>
    <w:p>
      <w:r>
        <w:rPr>
          <w:b/>
        </w:rPr>
        <w:t>Essential input parameters:</w:t>
      </w:r>
    </w:p>
    <w:p>
      <w:pPr>
        <w:spacing w:after="80"/>
      </w:pPr>
      <w:r>
        <w:rPr>
          <w:rFonts w:ascii="Courier New" w:hAnsi="Courier New" w:eastAsia="Courier New"/>
          <w:sz w:val="16"/>
        </w:rPr>
        <w:t>#CALCULATION_MODE</w:t>
        <w:br/>
        <w:t>CALC_TARGET                 CUTOFF_RIGIDITY</w:t>
        <w:br/>
        <w:t>FIELD_EVAL_METHOD           GRID_3D</w:t>
        <w:br/>
        <w:br/>
        <w:t>#CUTOFF_RIGIDITY</w:t>
        <w:br/>
        <w:t>CUTOFF_SAMPLING             VERTICAL</w:t>
        <w:br/>
        <w:t>CUTOFF_SEARCH_ALGORITHM     RIGIDITY_LIST</w:t>
        <w:br/>
        <w:t>CUTOFF_RIGIDITY_LIST_GV     0.20,0.50,1.00,2.00</w:t>
        <w:br/>
        <w:t>CUTOFF_ACCESS_ABS_LAT_MIN   50.0</w:t>
        <w:br/>
        <w:t>CUTOFF_ACCESS_ABS_LAT_MAX   80.0</w:t>
        <w:br/>
        <w:t>CUTOFF_TRACE_POLICY         ACCURATE</w:t>
        <w:br/>
        <w:t>CUTOFF_BACKTRACE_CHARGE     REVERSED</w:t>
        <w:br/>
        <w:br/>
        <w:t>#BACKGROUND_FIELD</w:t>
        <w:br/>
        <w:t>FIELD_MODEL                 DIPOLE | IGRF | T96 | T05</w:t>
        <w:br/>
        <w:t>EPOCH                       2006-12-15T03:05:00</w:t>
        <w:br/>
        <w:t>DST                         -177.0</w:t>
        <w:br/>
        <w:t>PDYN                        2.89</w:t>
        <w:br/>
        <w:t>IMF_BX/BY/BZ                5.31 / 11.76 / -10.50</w:t>
        <w:br/>
        <w:t>T05_W1 ... T05_W6          fixed disturbed-state values</w:t>
        <w:br/>
        <w:br/>
        <w:t>#MODE3D_MESH / OUTPUT</w:t>
        <w:br/>
        <w:t>MODE3D_MESH_RES_EARTH_RE    0.50</w:t>
        <w:br/>
        <w:t>MODE3D_MESH_RES_BOUNDARY_RE 1.50</w:t>
        <w:br/>
        <w:t>MODE3D_MESH_COARSENING      LINEAR</w:t>
        <w:br/>
        <w:t>OUTPUT_MODE                 SHELLS</w:t>
        <w:br/>
        <w:t>SHELL_ALTS_KM               850.0</w:t>
        <w:br/>
        <w:t>SHELL_LON_RES_DEG           90.0</w:t>
        <w:br/>
        <w:t>SHELL_LAT_RES_DEG           10.0</w:t>
        <w:br/>
      </w:r>
    </w:p>
    <w:p>
      <w:r>
        <w:rPr>
          <w:b/>
        </w:rPr>
        <w:t>Execution:</w:t>
      </w:r>
    </w:p>
    <w:p>
      <w:pPr>
        <w:spacing w:after="80"/>
      </w:pPr>
      <w:r>
        <w:rPr>
          <w:rFonts w:ascii="Courier New" w:hAnsi="Courier New" w:eastAsia="Courier New"/>
          <w:sz w:val="16"/>
        </w:rPr>
        <w:t># Routine regression from the AMPS repository root</w:t>
        <w:br/>
        <w:t>python3 srcEarth/test/C18/run_C18.py --profile ROUTINE \</w:t>
        <w:br/>
        <w:t xml:space="preserve">  --amps ./amps -np 4</w:t>
        <w:br/>
        <w:br/>
        <w:t># Short initial check</w:t>
        <w:br/>
        <w:t>python3 srcEarth/test/C18/run_C18.py --profile SMOKE \</w:t>
        <w:br/>
        <w:t xml:space="preserve">  --amps ./amps -np 2</w:t>
        <w:br/>
        <w:br/>
        <w:t># The runner launches AMPS with mpirun by default. Example parallel case:</w:t>
        <w:br/>
        <w:t>mpirun -np 4 ./amps -mode 3d -i AMPS_PARAM_C18.in \</w:t>
        <w:br/>
        <w:t xml:space="preserve">  -mode3d-field-eval MESH -mode3d-parallel SERIAL \</w:t>
        <w:br/>
        <w:t xml:space="preserve">  -mode3d-threads N -mode3d-mpi-scheduler STATIC \</w:t>
        <w:br/>
        <w:t xml:space="preserve">  -mode3d-output-initialized -mode3d-parallel-field-init</w:t>
        <w:br/>
      </w:r>
    </w:p>
    <w:p>
      <w:r>
        <w:t>The -mode3d-threads value is the number of temporary POSIX workers used by field initialization. The calling MPI-rank thread also performs one equal share; therefore, N workers correspond to N+1 field-initialization participants per MPI rank.</w:t>
      </w:r>
    </w:p>
    <w:p>
      <w:r>
        <w:rPr>
          <w:b/>
        </w:rPr>
        <w:t>Routine calculation matrix:</w:t>
      </w:r>
    </w:p>
    <w:p>
      <w:r>
        <w:t>DIPOLE, IGRF, T96, and T05; temporary-worker counts 1, 2, 4, 8, and 16; two independent repeats of each parallel case; four MPI ranks by default. The exact-rigidity access product is evaluated at 0.20, 0.50, 1.00, and 2.00 GV on an 850-km geodetic shell. The default serial cutoff backend isolates the field-initialization stage. --cutoff-backend THREADS is available as an optional end-to-end stress mode.</w:t>
      </w:r>
    </w:p>
    <w:p>
      <w:r>
        <w:rPr>
          <w:b/>
        </w:rPr>
        <w:t>Comparison method:</w:t>
      </w:r>
    </w:p>
    <w:p>
      <w:r>
        <w:t>The runner parses all numeric records in amps_3d_initialized*.data.dat* and cutoff_3d_shells_access*.dat*. Every finite decimal value is converted to a canonical binary64 hexadecimal representation before a SHA-256 fingerprint is calculated. Numerically identical records with different text formatting therefore match, while any represented numerical difference changes the fingerprint. The AMPS log banner is also checked to confirm the requested worker count and the additional caller participant.</w:t>
      </w:r>
    </w:p>
    <w:p>
      <w:r>
        <w:rPr>
          <w:b/>
        </w:rPr>
        <w:t>Expected output values / acceptance targets:</w:t>
      </w:r>
    </w:p>
    <w:tbl>
      <w:tblPr>
        <w:tblStyle w:val="TableGrid"/>
        <w:tblW w:type="dxa" w:w="9144"/>
        <w:jc w:val="center"/>
        <w:tblLayout w:type="fixed"/>
        <w:tblLook w:firstColumn="1" w:firstRow="1" w:lastColumn="0" w:lastRow="0" w:noHBand="0" w:noVBand="1" w:val="04A0"/>
      </w:tblPr>
      <w:tblGrid>
        <w:gridCol w:w="7272"/>
        <w:gridCol w:w="7272"/>
      </w:tblGrid>
      <w:tr>
        <w:trPr>
          <w:tblHeader w:val="true"/>
        </w:trPr>
        <w:tc>
          <w:tcPr>
            <w:tcW w:type="dxa" w:w="3384"/>
            <w:vAlign w:val="center"/>
            <w:shd w:fill="BDD7EE"/>
          </w:tcPr>
          <w:p>
            <w:r>
              <w:rPr>
                <w:sz w:val="18"/>
              </w:rPr>
            </w:r>
            <w:r>
              <w:rPr>
                <w:b/>
                <w:sz w:val="18"/>
              </w:rPr>
              <w:t>Quantity / diagnostic</w:t>
            </w:r>
          </w:p>
        </w:tc>
        <w:tc>
          <w:tcPr>
            <w:tcW w:type="dxa" w:w="5760"/>
            <w:vAlign w:val="center"/>
            <w:shd w:fill="BDD7EE"/>
          </w:tcPr>
          <w:p>
            <w:r>
              <w:rPr>
                <w:sz w:val="18"/>
              </w:rPr>
            </w:r>
            <w:r>
              <w:rPr>
                <w:b/>
                <w:sz w:val="18"/>
              </w:rPr>
              <w:t>Expected output or acceptance target</w:t>
            </w:r>
          </w:p>
        </w:tc>
      </w:tr>
      <w:tr>
        <w:tc>
          <w:tcPr>
            <w:tcW w:type="dxa" w:w="3384"/>
            <w:vAlign w:val="top"/>
          </w:tcPr>
          <w:p>
            <w:r>
              <w:rPr>
                <w:sz w:val="18"/>
              </w:rPr>
            </w:r>
            <w:r>
              <w:rPr>
                <w:b w:val="0"/>
                <w:sz w:val="18"/>
              </w:rPr>
              <w:t>AMPS execution and worker banner</w:t>
            </w:r>
          </w:p>
        </w:tc>
        <w:tc>
          <w:tcPr>
            <w:tcW w:type="dxa" w:w="5760"/>
            <w:vAlign w:val="top"/>
          </w:tcPr>
          <w:p>
            <w:r>
              <w:rPr>
                <w:sz w:val="18"/>
              </w:rPr>
            </w:r>
            <w:r>
              <w:rPr>
                <w:b w:val="0"/>
                <w:sz w:val="18"/>
              </w:rPr>
              <w:t>Every run exits with code 0. Each parallel log reports exactly N temporary workers plus the caller, for N+1 equal shares per MPI rank.</w:t>
            </w:r>
          </w:p>
        </w:tc>
      </w:tr>
      <w:tr>
        <w:tc>
          <w:tcPr>
            <w:tcW w:type="dxa" w:w="3384"/>
            <w:vAlign w:val="top"/>
          </w:tcPr>
          <w:p>
            <w:r>
              <w:rPr>
                <w:sz w:val="18"/>
              </w:rPr>
            </w:r>
            <w:r>
              <w:rPr>
                <w:b w:val="0"/>
                <w:sz w:val="18"/>
              </w:rPr>
              <w:t>Initialized-field fingerprint</w:t>
            </w:r>
          </w:p>
        </w:tc>
        <w:tc>
          <w:tcPr>
            <w:tcW w:type="dxa" w:w="5760"/>
            <w:vAlign w:val="top"/>
          </w:tcPr>
          <w:p>
            <w:r>
              <w:rPr>
                <w:sz w:val="18"/>
              </w:rPr>
            </w:r>
            <w:r>
              <w:rPr>
                <w:b w:val="0"/>
                <w:sz w:val="18"/>
              </w:rPr>
              <w:t>Exact equality with the serial runtime baseline for every selected model, worker count, and repeat.</w:t>
            </w:r>
          </w:p>
        </w:tc>
      </w:tr>
      <w:tr>
        <w:tc>
          <w:tcPr>
            <w:tcW w:type="dxa" w:w="3384"/>
            <w:vAlign w:val="top"/>
          </w:tcPr>
          <w:p>
            <w:r>
              <w:rPr>
                <w:sz w:val="18"/>
              </w:rPr>
            </w:r>
            <w:r>
              <w:rPr>
                <w:b w:val="0"/>
                <w:sz w:val="18"/>
              </w:rPr>
              <w:t>Exact-rigidity cutoff-map fingerprint</w:t>
            </w:r>
          </w:p>
        </w:tc>
        <w:tc>
          <w:tcPr>
            <w:tcW w:type="dxa" w:w="5760"/>
            <w:vAlign w:val="top"/>
          </w:tcPr>
          <w:p>
            <w:r>
              <w:rPr>
                <w:sz w:val="18"/>
              </w:rPr>
            </w:r>
            <w:r>
              <w:rPr>
                <w:b w:val="0"/>
                <w:sz w:val="18"/>
              </w:rPr>
              <w:t>Exact equality with the serial runtime baseline; no access-state, coordinate, or represented floating-point difference is allowed.</w:t>
            </w:r>
          </w:p>
        </w:tc>
      </w:tr>
      <w:tr>
        <w:tc>
          <w:tcPr>
            <w:tcW w:type="dxa" w:w="3384"/>
            <w:vAlign w:val="top"/>
          </w:tcPr>
          <w:p>
            <w:r>
              <w:rPr>
                <w:sz w:val="18"/>
              </w:rPr>
            </w:r>
            <w:r>
              <w:rPr>
                <w:b w:val="0"/>
                <w:sz w:val="18"/>
              </w:rPr>
              <w:t>Repeatability</w:t>
            </w:r>
          </w:p>
        </w:tc>
        <w:tc>
          <w:tcPr>
            <w:tcW w:type="dxa" w:w="5760"/>
            <w:vAlign w:val="top"/>
          </w:tcPr>
          <w:p>
            <w:r>
              <w:rPr>
                <w:sz w:val="18"/>
              </w:rPr>
            </w:r>
            <w:r>
              <w:rPr>
                <w:b w:val="0"/>
                <w:sz w:val="18"/>
              </w:rPr>
              <w:t>Independent repeats at the same model and worker count produce identical field and cutoff fingerprints.</w:t>
            </w:r>
          </w:p>
        </w:tc>
      </w:tr>
      <w:tr>
        <w:tc>
          <w:tcPr>
            <w:tcW w:type="dxa" w:w="3384"/>
            <w:vAlign w:val="top"/>
          </w:tcPr>
          <w:p>
            <w:r>
              <w:rPr>
                <w:sz w:val="18"/>
              </w:rPr>
            </w:r>
            <w:r>
              <w:rPr>
                <w:b w:val="0"/>
                <w:sz w:val="18"/>
              </w:rPr>
              <w:t>Reference requirement</w:t>
            </w:r>
          </w:p>
        </w:tc>
        <w:tc>
          <w:tcPr>
            <w:tcW w:type="dxa" w:w="5760"/>
            <w:vAlign w:val="top"/>
          </w:tcPr>
          <w:p>
            <w:r>
              <w:rPr>
                <w:sz w:val="18"/>
              </w:rPr>
            </w:r>
            <w:r>
              <w:rPr>
                <w:b w:val="0"/>
                <w:sz w:val="18"/>
              </w:rPr>
              <w:t>No stored reference solution. The serial result generated during the same runner invocation is the comparison baseline.</w:t>
            </w:r>
          </w:p>
        </w:tc>
      </w:tr>
      <w:tr>
        <w:tc>
          <w:tcPr>
            <w:tcW w:type="dxa" w:w="3384"/>
            <w:vAlign w:val="top"/>
          </w:tcPr>
          <w:p>
            <w:r>
              <w:rPr>
                <w:sz w:val="18"/>
              </w:rPr>
            </w:r>
            <w:r>
              <w:rPr>
                <w:b w:val="0"/>
                <w:sz w:val="18"/>
              </w:rPr>
              <w:t>Failure interpretation</w:t>
            </w:r>
          </w:p>
        </w:tc>
        <w:tc>
          <w:tcPr>
            <w:tcW w:type="dxa" w:w="5760"/>
            <w:vAlign w:val="top"/>
          </w:tcPr>
          <w:p>
            <w:r>
              <w:rPr>
                <w:sz w:val="18"/>
              </w:rPr>
            </w:r>
            <w:r>
              <w:rPr>
                <w:b w:val="0"/>
                <w:sz w:val="18"/>
              </w:rPr>
              <w:t>A DIPOLE mismatch indicates a general partition/write or mesh-assembly defect; a model-specific mismatch indicates remaining shared or stale Geopack/Tsyganenko state.</w:t>
            </w:r>
          </w:p>
        </w:tc>
      </w:tr>
    </w:tbl>
    <w:p>
      <w:r>
        <w:rPr>
          <w:b/>
        </w:rPr>
        <w:t>Archived products:</w:t>
      </w:r>
    </w:p>
    <w:p>
      <w:r>
        <w:t>C18_configuration.json, C18_commands.json, C18_comparison.csv, C18_result.json, C18_summary.txt, per-run AMPS_PARAM_C18.in, C18_command.json, C18_amps.log, initialized-field dumps, and exact-rigidity access maps.</w:t>
      </w:r>
    </w:p>
    <w:p>
      <w:r>
        <w:rPr>
          <w:b/>
        </w:rPr>
        <w:t>Reference solution / comparison target:</w:t>
      </w:r>
    </w:p>
    <w:p>
      <w:r>
        <w:t>Internal serial-versus-parallel equivalence. C18 is an all-or-nothing determinism test: a nonzero mismatch fraction is not accepted. Physical model accuracy is established independently by C6, C7, C9, and C10.</w:t>
      </w:r>
    </w:p>
    <w:p>
      <w:pPr>
        <w:jc w:val="center"/>
      </w:pPr>
      <w:r>
        <w:drawing>
          <wp:inline xmlns:a="http://schemas.openxmlformats.org/drawingml/2006/main" xmlns:pic="http://schemas.openxmlformats.org/drawingml/2006/picture">
            <wp:extent cx="5760720" cy="3065462"/>
            <wp:docPr id="37" name="Picture 37"/>
            <wp:cNvGraphicFramePr>
              <a:graphicFrameLocks noChangeAspect="1"/>
            </wp:cNvGraphicFramePr>
            <a:graphic>
              <a:graphicData uri="http://schemas.openxmlformats.org/drawingml/2006/picture">
                <pic:pic>
                  <pic:nvPicPr>
                    <pic:cNvPr id="0" name="C18_parallel_determinism_target.png"/>
                    <pic:cNvPicPr/>
                  </pic:nvPicPr>
                  <pic:blipFill>
                    <a:blip r:embed="rId45"/>
                    <a:stretch>
                      <a:fillRect/>
                    </a:stretch>
                  </pic:blipFill>
                  <pic:spPr>
                    <a:xfrm>
                      <a:off x="0" y="0"/>
                      <a:ext cx="5760720" cy="3065462"/>
                    </a:xfrm>
                    <a:prstGeom prst="rect"/>
                  </pic:spPr>
                </pic:pic>
              </a:graphicData>
            </a:graphic>
          </wp:inline>
        </w:drawing>
      </w:r>
    </w:p>
    <w:p>
      <w:pPr>
        <w:jc w:val="center"/>
      </w:pPr>
      <w:r>
        <w:rPr>
          <w:i/>
        </w:rPr>
        <w:t>Figure C18 - Target deterministic parallel behavior. Initialized-field and cutoff-map mismatch counts must remain exactly zero for every requested POSIX-worker count.</w:t>
      </w:r>
    </w:p>
    <w:p>
      <w:pPr>
        <w:pStyle w:val="Heading2"/>
        <w:keepNext/>
        <w:pageBreakBefore w:val="0"/>
      </w:pPr>
      <w:r>
        <w:t>C19 (C19A). GOES EPEAD East-West directional-access validation [implemented]</w:t>
      </w:r>
    </w:p>
    <w:p>
      <w:pPr>
        <w:shd w:fill="FFF2CC"/>
      </w:pPr>
      <w:r>
        <w:rPr>
          <w:b/>
        </w:rPr>
        <w:t xml:space="preserve">Implementation status: </w:t>
      </w:r>
      <w:r>
        <w:t>Implemented in srcEarth/test/C19. This is the first observational validation of the directional access function rather than only an internal symmetry or scalar-cutoff benchmark.</w:t>
      </w:r>
    </w:p>
    <w:p>
      <w:r>
        <w:t>C19 compares the calculated detector-folded log10 physical EAST/WEST proton-flux ratio with simultaneous GOES-13 and GOES-15 EPEAD observations during the 17 May 2012 SEP/GLE71 decay. The default interval is 2012-05-17 06:00 UTC through 2012-05-18 06:00 UTC; the prompt onset is excluded because interplanetary anisotropy can mask the geomagnetic East-West effect.</w:t>
      </w:r>
    </w:p>
    <w:p>
      <w:pPr>
        <w:pStyle w:val="Heading3"/>
        <w:keepNext/>
        <w:pageBreakBefore w:val="0"/>
      </w:pPr>
      <w:r>
        <w:t>C19.1 Observational and instrument definition</w:t>
      </w:r>
    </w:p>
    <w:tbl>
      <w:tblPr>
        <w:tblStyle w:val="TableGrid"/>
        <w:tblW w:type="dxa" w:w="9360"/>
        <w:tblLayout w:type="fixed"/>
        <w:tblLook w:firstColumn="1" w:firstRow="1" w:lastColumn="0" w:lastRow="0" w:noHBand="0" w:noVBand="1" w:val="04A0"/>
      </w:tblPr>
      <w:tblGrid>
        <w:gridCol w:w="2200"/>
        <w:gridCol w:w="7160"/>
      </w:tblGrid>
      <w:tr>
        <w:trPr>
          <w:tblHeader w:val="true"/>
        </w:trPr>
        <w:tc>
          <w:tcPr>
            <w:tcW w:type="dxa" w:w="2200"/>
            <w:vAlign w:val="center"/>
            <w:tcMar>
              <w:top w:w="90" w:type="dxa"/>
              <w:start w:w="110" w:type="dxa"/>
              <w:bottom w:w="90" w:type="dxa"/>
              <w:end w:w="110" w:type="dxa"/>
            </w:tcMar>
            <w:shd w:fill="D9EAF7"/>
          </w:tcPr>
          <w:p>
            <w:pPr>
              <w:spacing w:before="0" w:after="0" w:line="240" w:lineRule="auto"/>
            </w:pPr>
            <w:r>
              <w:rPr>
                <w:b/>
                <w:color w:val="1F4E78"/>
                <w:sz w:val="17"/>
              </w:rPr>
              <w:t>Item</w:t>
            </w:r>
          </w:p>
        </w:tc>
        <w:tc>
          <w:tcPr>
            <w:tcW w:type="dxa" w:w="7160"/>
            <w:vAlign w:val="center"/>
            <w:tcMar>
              <w:top w:w="90" w:type="dxa"/>
              <w:start w:w="110" w:type="dxa"/>
              <w:bottom w:w="90" w:type="dxa"/>
              <w:end w:w="110" w:type="dxa"/>
            </w:tcMar>
            <w:shd w:fill="D9EAF7"/>
          </w:tcPr>
          <w:p>
            <w:pPr>
              <w:spacing w:before="0" w:after="0" w:line="240" w:lineRule="auto"/>
            </w:pPr>
            <w:r>
              <w:rPr>
                <w:b/>
                <w:color w:val="1F4E78"/>
                <w:sz w:val="17"/>
              </w:rPr>
              <w:t>Implemented default</w:t>
            </w:r>
          </w:p>
        </w:tc>
      </w:tr>
      <w:tr>
        <w:tc>
          <w:tcPr>
            <w:tcW w:type="dxa" w:w="2200"/>
            <w:vAlign w:val="center"/>
            <w:tcMar>
              <w:top w:w="90" w:type="dxa"/>
              <w:start w:w="110" w:type="dxa"/>
              <w:bottom w:w="90" w:type="dxa"/>
              <w:end w:w="110" w:type="dxa"/>
            </w:tcMar>
          </w:tcPr>
          <w:p>
            <w:pPr>
              <w:spacing w:before="0" w:after="0" w:line="240" w:lineRule="auto"/>
            </w:pPr>
            <w:r>
              <w:rPr>
                <w:sz w:val="17"/>
              </w:rPr>
              <w:t>Spacecraft/channels</w:t>
            </w:r>
          </w:p>
        </w:tc>
        <w:tc>
          <w:tcPr>
            <w:tcW w:type="dxa" w:w="7160"/>
            <w:vAlign w:val="center"/>
            <w:tcMar>
              <w:top w:w="90" w:type="dxa"/>
              <w:start w:w="110" w:type="dxa"/>
              <w:bottom w:w="90" w:type="dxa"/>
              <w:end w:w="110" w:type="dxa"/>
            </w:tcMar>
          </w:tcPr>
          <w:p>
            <w:pPr>
              <w:spacing w:before="0" w:after="0" w:line="240" w:lineRule="auto"/>
            </w:pPr>
            <w:r>
              <w:rPr>
                <w:sz w:val="17"/>
              </w:rPr>
              <w:t>GOES-13 and GOES-15; EPEAD P4 (15-40 MeV) and P5 (38-82 MeV).</w:t>
            </w:r>
          </w:p>
        </w:tc>
      </w:tr>
      <w:tr>
        <w:tc>
          <w:tcPr>
            <w:tcW w:type="dxa" w:w="2200"/>
            <w:vAlign w:val="center"/>
            <w:tcMar>
              <w:top w:w="90" w:type="dxa"/>
              <w:start w:w="110" w:type="dxa"/>
              <w:bottom w:w="90" w:type="dxa"/>
              <w:end w:w="110" w:type="dxa"/>
            </w:tcMar>
          </w:tcPr>
          <w:p>
            <w:pPr>
              <w:spacing w:before="0" w:after="0" w:line="240" w:lineRule="auto"/>
            </w:pPr>
            <w:r>
              <w:rPr>
                <w:sz w:val="17"/>
              </w:rPr>
              <w:t>Observation</w:t>
            </w:r>
          </w:p>
        </w:tc>
        <w:tc>
          <w:tcPr>
            <w:tcW w:type="dxa" w:w="7160"/>
            <w:vAlign w:val="center"/>
            <w:tcMar>
              <w:top w:w="90" w:type="dxa"/>
              <w:start w:w="110" w:type="dxa"/>
              <w:bottom w:w="90" w:type="dxa"/>
              <w:end w:w="110" w:type="dxa"/>
            </w:tcMar>
          </w:tcPr>
          <w:p>
            <w:pPr>
              <w:spacing w:before="0" w:after="0" w:line="240" w:lineRule="auto"/>
            </w:pPr>
            <w:r>
              <w:rPr>
                <w:sz w:val="17"/>
              </w:rPr>
              <w:t>Background-subtracted physical EAST/WEST flux ratio from public NOAA/NCEI five-minute p17ew files.</w:t>
            </w:r>
          </w:p>
        </w:tc>
      </w:tr>
      <w:tr>
        <w:tc>
          <w:tcPr>
            <w:tcW w:type="dxa" w:w="2200"/>
            <w:vAlign w:val="center"/>
            <w:tcMar>
              <w:top w:w="90" w:type="dxa"/>
              <w:start w:w="110" w:type="dxa"/>
              <w:bottom w:w="90" w:type="dxa"/>
              <w:end w:w="110" w:type="dxa"/>
            </w:tcMar>
          </w:tcPr>
          <w:p>
            <w:pPr>
              <w:spacing w:before="0" w:after="0" w:line="240" w:lineRule="auto"/>
            </w:pPr>
            <w:r>
              <w:rPr>
                <w:sz w:val="17"/>
              </w:rPr>
              <w:t>Telemetry-head mapping</w:t>
            </w:r>
          </w:p>
        </w:tc>
        <w:tc>
          <w:tcPr>
            <w:tcW w:type="dxa" w:w="7160"/>
            <w:vAlign w:val="center"/>
            <w:tcMar>
              <w:top w:w="90" w:type="dxa"/>
              <w:start w:w="110" w:type="dxa"/>
              <w:bottom w:w="90" w:type="dxa"/>
              <w:end w:w="110" w:type="dxa"/>
            </w:tcMar>
          </w:tcPr>
          <w:p>
            <w:pPr>
              <w:spacing w:before="0" w:after="0" w:line="240" w:lineRule="auto"/>
            </w:pPr>
            <w:r>
              <w:rPr>
                <w:sz w:val="17"/>
              </w:rPr>
              <w:t>May 2012 yaw mapping is explicit: GOES-13 W-&gt;physical EAST and E-&gt;physical WEST; GOES-15 W-&gt;physical WEST and E-&gt;physical EAST.</w:t>
            </w:r>
          </w:p>
        </w:tc>
      </w:tr>
      <w:tr>
        <w:tc>
          <w:tcPr>
            <w:tcW w:type="dxa" w:w="2200"/>
            <w:vAlign w:val="center"/>
            <w:tcMar>
              <w:top w:w="90" w:type="dxa"/>
              <w:start w:w="110" w:type="dxa"/>
              <w:bottom w:w="90" w:type="dxa"/>
              <w:end w:w="110" w:type="dxa"/>
            </w:tcMar>
          </w:tcPr>
          <w:p>
            <w:pPr>
              <w:spacing w:before="0" w:after="0" w:line="240" w:lineRule="auto"/>
            </w:pPr>
            <w:r>
              <w:rPr>
                <w:sz w:val="17"/>
              </w:rPr>
              <w:t>Ephemeris</w:t>
            </w:r>
          </w:p>
        </w:tc>
        <w:tc>
          <w:tcPr>
            <w:tcW w:type="dxa" w:w="7160"/>
            <w:vAlign w:val="center"/>
            <w:tcMar>
              <w:top w:w="90" w:type="dxa"/>
              <w:start w:w="110" w:type="dxa"/>
              <w:bottom w:w="90" w:type="dxa"/>
              <w:end w:w="110" w:type="dxa"/>
            </w:tcMar>
          </w:tcPr>
          <w:p>
            <w:pPr>
              <w:spacing w:before="0" w:after="0" w:line="240" w:lineRule="auto"/>
            </w:pPr>
            <w:r>
              <w:rPr>
                <w:sz w:val="17"/>
              </w:rPr>
              <w:t>Reference builder requires real one-minute NOAA orbit data by default; --require-real-ephemeris rejects nominal-slot rows in science runs.</w:t>
            </w:r>
          </w:p>
        </w:tc>
      </w:tr>
      <w:tr>
        <w:tc>
          <w:tcPr>
            <w:tcW w:type="dxa" w:w="2200"/>
            <w:vAlign w:val="center"/>
            <w:tcMar>
              <w:top w:w="90" w:type="dxa"/>
              <w:start w:w="110" w:type="dxa"/>
              <w:bottom w:w="90" w:type="dxa"/>
              <w:end w:w="110" w:type="dxa"/>
            </w:tcMar>
          </w:tcPr>
          <w:p>
            <w:pPr>
              <w:spacing w:before="0" w:after="0" w:line="240" w:lineRule="auto"/>
            </w:pPr>
            <w:r>
              <w:rPr>
                <w:sz w:val="17"/>
              </w:rPr>
              <w:t>Apertures</w:t>
            </w:r>
          </w:p>
        </w:tc>
        <w:tc>
          <w:tcPr>
            <w:tcW w:type="dxa" w:w="7160"/>
            <w:vAlign w:val="center"/>
            <w:tcMar>
              <w:top w:w="90" w:type="dxa"/>
              <w:start w:w="110" w:type="dxa"/>
              <w:bottom w:w="90" w:type="dxa"/>
              <w:end w:w="110" w:type="dxa"/>
            </w:tcMar>
          </w:tcPr>
          <w:p>
            <w:pPr>
              <w:spacing w:before="0" w:after="0" w:line="240" w:lineRule="auto"/>
            </w:pPr>
            <w:r>
              <w:rPr>
                <w:sz w:val="17"/>
              </w:rPr>
              <w:t>Nominal elliptical P4 half-angles 25 deg equatorial/45 deg north-south; P5 30 deg/60 deg.</w:t>
            </w:r>
          </w:p>
        </w:tc>
      </w:tr>
      <w:tr>
        <w:tc>
          <w:tcPr>
            <w:tcW w:type="dxa" w:w="2200"/>
            <w:vAlign w:val="center"/>
            <w:tcMar>
              <w:top w:w="90" w:type="dxa"/>
              <w:start w:w="110" w:type="dxa"/>
              <w:bottom w:w="90" w:type="dxa"/>
              <w:end w:w="110" w:type="dxa"/>
            </w:tcMar>
          </w:tcPr>
          <w:p>
            <w:pPr>
              <w:spacing w:before="0" w:after="0" w:line="240" w:lineRule="auto"/>
            </w:pPr>
            <w:r>
              <w:rPr>
                <w:sz w:val="17"/>
              </w:rPr>
              <w:t>Detector response</w:t>
            </w:r>
          </w:p>
        </w:tc>
        <w:tc>
          <w:tcPr>
            <w:tcW w:type="dxa" w:w="7160"/>
            <w:vAlign w:val="center"/>
            <w:tcMar>
              <w:top w:w="90" w:type="dxa"/>
              <w:start w:w="110" w:type="dxa"/>
              <w:bottom w:w="90" w:type="dxa"/>
              <w:end w:w="110" w:type="dxa"/>
            </w:tcMar>
          </w:tcPr>
          <w:p>
            <w:pPr>
              <w:spacing w:before="0" w:after="0" w:line="240" w:lineRule="auto"/>
            </w:pPr>
            <w:r>
              <w:rPr>
                <w:sz w:val="17"/>
              </w:rPr>
              <w:t>Piecewise energy response from epead_response_C19_uncorrected_extended.csv by default, including documented secondary high-energy components.</w:t>
            </w:r>
          </w:p>
        </w:tc>
      </w:tr>
      <w:tr>
        <w:tc>
          <w:tcPr>
            <w:tcW w:type="dxa" w:w="2200"/>
            <w:vAlign w:val="center"/>
            <w:tcMar>
              <w:top w:w="90" w:type="dxa"/>
              <w:start w:w="110" w:type="dxa"/>
              <w:bottom w:w="90" w:type="dxa"/>
              <w:end w:w="110" w:type="dxa"/>
            </w:tcMar>
          </w:tcPr>
          <w:p>
            <w:pPr>
              <w:spacing w:before="0" w:after="0" w:line="240" w:lineRule="auto"/>
            </w:pPr>
            <w:r>
              <w:rPr>
                <w:sz w:val="17"/>
              </w:rPr>
              <w:t>Source spectrum</w:t>
            </w:r>
          </w:p>
        </w:tc>
        <w:tc>
          <w:tcPr>
            <w:tcW w:type="dxa" w:w="7160"/>
            <w:vAlign w:val="center"/>
            <w:tcMar>
              <w:top w:w="90" w:type="dxa"/>
              <w:start w:w="110" w:type="dxa"/>
              <w:bottom w:w="90" w:type="dxa"/>
              <w:end w:w="110" w:type="dxa"/>
            </w:tcMar>
          </w:tcPr>
          <w:p>
            <w:pPr>
              <w:spacing w:before="0" w:after="0" w:line="240" w:lineRule="auto"/>
            </w:pPr>
            <w:r>
              <w:rPr>
                <w:sz w:val="17"/>
              </w:rPr>
              <w:t>Epoch-dependent power law fitted to physical-WEST P4/P5 by default; FILE and FIXED modes are supported.</w:t>
            </w:r>
          </w:p>
        </w:tc>
      </w:tr>
    </w:tbl>
    <w:p>
      <w:r>
        <w:t>The NOAA correction state is explicit. The reference builder does not silently fall back among UNCOR_FLUX, FLUX, and COR_FLUX, and each selected row records the exact east/west variables and correction-state labels. Detector attitude may use the historical SM proxy or exact per-head time-tagged vectors from a file. The AMPS arrival direction is converted to telescope look direction with the required minus sign; C19_direction_sense_diagnostic.csv preserves the production and legacy conventions.</w:t>
      </w:r>
    </w:p>
    <w:p>
      <w:pPr>
        <w:pStyle w:val="Heading3"/>
        <w:keepNext/>
        <w:pageBreakBefore w:val="0"/>
      </w:pPr>
      <w:r>
        <w:t>C19.2 Magnetic-access calculation</w:t>
      </w:r>
    </w:p>
    <w:p>
      <w:r>
        <w:t>GRIDDED Mode3D and GRIDLESS compute the same explicit three-state access function A(E,Omega): 0=physical forbidden, 1=allowed outer escape, 2=unresolved. GRIDDED interpolates a materialized field mesh; GRIDLESS evaluates the configured field directly. The default field list is IGRF+T96 and IGRF+T05/TS05, driven by the committed five-minute May 2012 file.</w:t>
      </w:r>
    </w:p>
    <w:p>
      <w:pPr>
        <w:spacing w:before="60" w:after="120"/>
        <w:ind w:left="200" w:right="120"/>
        <w:shd w:fill="F2F2F2"/>
      </w:pPr>
      <w:r>
        <w:rPr>
          <w:rFonts w:ascii="Consolas" w:hAnsi="Consolas"/>
          <w:sz w:val="16"/>
        </w:rPr>
        <w:t>--solver GRIDDED | GRIDLESS | BOTH</w:t>
        <w:br/>
        <w:t>--models T96,T05</w:t>
        <w:br/>
        <w:t>--cutoff-search DIRECT_ACCESS (default) | PENUMBRA_SCAN</w:t>
        <w:br/>
        <w:t>--dir-lon-res-deg 2.5 --dir-lat-res-deg 2.5</w:t>
        <w:br/>
        <w:t>--direction-coverage INSTRUMENT_APERTURES</w:t>
        <w:br/>
        <w:t>--adaptive-access-seed-points 12</w:t>
        <w:br/>
        <w:t>--adaptive-access-guard-depth 1</w:t>
        <w:br/>
        <w:t>--adaptive-access-max-depth 6</w:t>
        <w:br/>
        <w:t>--dt-trace 0.25 --max-steps 500000 --max-trace-time 300</w:t>
        <w:br/>
        <w:t>--unresolved-extension-passes 2 --unresolved-extension-factor 2</w:t>
      </w:r>
    </w:p>
    <w:p>
      <w:r>
        <w:t>DIRECT_ACCESS traces only response-supported energies and instrument-aperture directions; per-direction midpoint guards and recursive refinement resolve state changes. --no-adaptive-access --access-energy-points 48 supplies the dense independent reference. PENUMBRA_SCAN is an explicit, more expensive diagnostic that additionally writes full lower/effective/upper cutoff topology; it does not replace the direct detector observable.</w:t>
      </w:r>
    </w:p>
    <w:p>
      <w:pPr>
        <w:pStyle w:val="Heading3"/>
        <w:keepNext/>
        <w:pageBreakBefore w:val="0"/>
      </w:pPr>
      <w:r>
        <w:t>C19.3 Detector fold, uncertainty, and trajectory guardrails</w:t>
      </w:r>
    </w:p>
    <w:p>
      <w:r>
        <w:t>The runner folds A(E,Omega) with the event spectrum, file-defined detector energy response, angular aperture, and optional bounded upstream dipole anisotropy. Resolved state changes between rigidity nodes contribute an explicit finite-grid uncertainty interval rather than a fictitious 0.5 transmission. UNRESOLVED samples remain a separate uncertainty source and are never relabelled forbidden.</w:t>
      </w:r>
    </w:p>
    <w:tbl>
      <w:tblPr>
        <w:tblStyle w:val="TableGrid"/>
        <w:tblW w:type="dxa" w:w="9360"/>
        <w:tblLayout w:type="fixed"/>
        <w:tblLook w:firstColumn="1" w:firstRow="1" w:lastColumn="0" w:lastRow="0" w:noHBand="0" w:noVBand="1" w:val="04A0"/>
      </w:tblPr>
      <w:tblGrid>
        <w:gridCol w:w="3000"/>
        <w:gridCol w:w="6360"/>
      </w:tblGrid>
      <w:tr>
        <w:trPr>
          <w:tblHeader w:val="true"/>
        </w:trPr>
        <w:tc>
          <w:tcPr>
            <w:tcW w:type="dxa" w:w="3000"/>
            <w:vAlign w:val="center"/>
            <w:tcMar>
              <w:top w:w="90" w:type="dxa"/>
              <w:start w:w="110" w:type="dxa"/>
              <w:bottom w:w="90" w:type="dxa"/>
              <w:end w:w="110" w:type="dxa"/>
            </w:tcMar>
            <w:shd w:fill="D9EAF7"/>
          </w:tcPr>
          <w:p>
            <w:pPr>
              <w:spacing w:before="0" w:after="0" w:line="240" w:lineRule="auto"/>
            </w:pPr>
            <w:r>
              <w:rPr>
                <w:b/>
                <w:color w:val="1F4E78"/>
                <w:sz w:val="17"/>
              </w:rPr>
              <w:t>Validity control</w:t>
            </w:r>
          </w:p>
        </w:tc>
        <w:tc>
          <w:tcPr>
            <w:tcW w:type="dxa" w:w="6360"/>
            <w:vAlign w:val="center"/>
            <w:tcMar>
              <w:top w:w="90" w:type="dxa"/>
              <w:start w:w="110" w:type="dxa"/>
              <w:bottom w:w="90" w:type="dxa"/>
              <w:end w:w="110" w:type="dxa"/>
            </w:tcMar>
            <w:shd w:fill="D9EAF7"/>
          </w:tcPr>
          <w:p>
            <w:pPr>
              <w:spacing w:before="0" w:after="0" w:line="240" w:lineRule="auto"/>
            </w:pPr>
            <w:r>
              <w:rPr>
                <w:b/>
                <w:color w:val="1F4E78"/>
                <w:sz w:val="17"/>
              </w:rPr>
              <w:t>Implemented default/meaning</w:t>
            </w:r>
          </w:p>
        </w:tc>
      </w:tr>
      <w:tr>
        <w:tc>
          <w:tcPr>
            <w:tcW w:type="dxa" w:w="3000"/>
            <w:vAlign w:val="center"/>
            <w:tcMar>
              <w:top w:w="90" w:type="dxa"/>
              <w:start w:w="110" w:type="dxa"/>
              <w:bottom w:w="90" w:type="dxa"/>
              <w:end w:w="110" w:type="dxa"/>
            </w:tcMar>
          </w:tcPr>
          <w:p>
            <w:pPr>
              <w:spacing w:before="0" w:after="0" w:line="240" w:lineRule="auto"/>
            </w:pPr>
            <w:r>
              <w:rPr>
                <w:sz w:val="17"/>
              </w:rPr>
              <w:t>Aperture solid-angle coverage</w:t>
            </w:r>
          </w:p>
        </w:tc>
        <w:tc>
          <w:tcPr>
            <w:tcW w:type="dxa" w:w="6360"/>
            <w:vAlign w:val="center"/>
            <w:tcMar>
              <w:top w:w="90" w:type="dxa"/>
              <w:start w:w="110" w:type="dxa"/>
              <w:bottom w:w="90" w:type="dxa"/>
              <w:end w:w="110" w:type="dxa"/>
            </w:tcMar>
          </w:tcPr>
          <w:p>
            <w:pPr>
              <w:spacing w:before="0" w:after="0" w:line="240" w:lineRule="auto"/>
            </w:pPr>
            <w:r>
              <w:rPr>
                <w:sz w:val="17"/>
              </w:rPr>
              <w:t>&gt;=0.95 for each detector head.</w:t>
            </w:r>
          </w:p>
        </w:tc>
      </w:tr>
      <w:tr>
        <w:tc>
          <w:tcPr>
            <w:tcW w:type="dxa" w:w="3000"/>
            <w:vAlign w:val="center"/>
            <w:tcMar>
              <w:top w:w="90" w:type="dxa"/>
              <w:start w:w="110" w:type="dxa"/>
              <w:bottom w:w="90" w:type="dxa"/>
              <w:end w:w="110" w:type="dxa"/>
            </w:tcMar>
          </w:tcPr>
          <w:p>
            <w:pPr>
              <w:spacing w:before="0" w:after="0" w:line="240" w:lineRule="auto"/>
            </w:pPr>
            <w:r>
              <w:rPr>
                <w:sz w:val="17"/>
              </w:rPr>
              <w:t>Unresolved aperture fraction</w:t>
            </w:r>
          </w:p>
        </w:tc>
        <w:tc>
          <w:tcPr>
            <w:tcW w:type="dxa" w:w="6360"/>
            <w:vAlign w:val="center"/>
            <w:tcMar>
              <w:top w:w="90" w:type="dxa"/>
              <w:start w:w="110" w:type="dxa"/>
              <w:bottom w:w="90" w:type="dxa"/>
              <w:end w:w="110" w:type="dxa"/>
            </w:tcMar>
          </w:tcPr>
          <w:p>
            <w:pPr>
              <w:spacing w:before="0" w:after="0" w:line="240" w:lineRule="auto"/>
            </w:pPr>
            <w:r>
              <w:rPr>
                <w:sz w:val="17"/>
              </w:rPr>
              <w:t>&lt;=0.05 separately for EAST and WEST.</w:t>
            </w:r>
          </w:p>
        </w:tc>
      </w:tr>
      <w:tr>
        <w:tc>
          <w:tcPr>
            <w:tcW w:type="dxa" w:w="3000"/>
            <w:vAlign w:val="center"/>
            <w:tcMar>
              <w:top w:w="90" w:type="dxa"/>
              <w:start w:w="110" w:type="dxa"/>
              <w:bottom w:w="90" w:type="dxa"/>
              <w:end w:w="110" w:type="dxa"/>
            </w:tcMar>
          </w:tcPr>
          <w:p>
            <w:pPr>
              <w:spacing w:before="0" w:after="0" w:line="240" w:lineRule="auto"/>
            </w:pPr>
            <w:r>
              <w:rPr>
                <w:sz w:val="17"/>
              </w:rPr>
              <w:t>Discrete transition response fraction</w:t>
            </w:r>
          </w:p>
        </w:tc>
        <w:tc>
          <w:tcPr>
            <w:tcW w:type="dxa" w:w="6360"/>
            <w:vAlign w:val="center"/>
            <w:tcMar>
              <w:top w:w="90" w:type="dxa"/>
              <w:start w:w="110" w:type="dxa"/>
              <w:bottom w:w="90" w:type="dxa"/>
              <w:end w:w="110" w:type="dxa"/>
            </w:tcMar>
          </w:tcPr>
          <w:p>
            <w:pPr>
              <w:spacing w:before="0" w:after="0" w:line="240" w:lineRule="auto"/>
            </w:pPr>
            <w:r>
              <w:rPr>
                <w:sz w:val="17"/>
              </w:rPr>
              <w:t>&lt;=0.05; exceeding it rejects a quantitative central value as under-resolved in rigidity.</w:t>
            </w:r>
          </w:p>
        </w:tc>
      </w:tr>
      <w:tr>
        <w:tc>
          <w:tcPr>
            <w:tcW w:type="dxa" w:w="3000"/>
            <w:vAlign w:val="center"/>
            <w:tcMar>
              <w:top w:w="90" w:type="dxa"/>
              <w:start w:w="110" w:type="dxa"/>
              <w:bottom w:w="90" w:type="dxa"/>
              <w:end w:w="110" w:type="dxa"/>
            </w:tcMar>
          </w:tcPr>
          <w:p>
            <w:pPr>
              <w:spacing w:before="0" w:after="0" w:line="240" w:lineRule="auto"/>
            </w:pPr>
            <w:r>
              <w:rPr>
                <w:sz w:val="17"/>
              </w:rPr>
              <w:t>Unresolved-only extensions</w:t>
            </w:r>
          </w:p>
        </w:tc>
        <w:tc>
          <w:tcPr>
            <w:tcW w:type="dxa" w:w="6360"/>
            <w:vAlign w:val="center"/>
            <w:tcMar>
              <w:top w:w="90" w:type="dxa"/>
              <w:start w:w="110" w:type="dxa"/>
              <w:bottom w:w="90" w:type="dxa"/>
              <w:end w:w="110" w:type="dxa"/>
            </w:tcMar>
          </w:tcPr>
          <w:p>
            <w:pPr>
              <w:spacing w:before="0" w:after="0" w:line="240" w:lineRule="auto"/>
            </w:pPr>
            <w:r>
              <w:rPr>
                <w:sz w:val="17"/>
              </w:rPr>
              <w:t>Two passes by default: 300 -&gt; 600 -&gt; 1200 s; only TIME_LIMIT/STEP_LIMIT samples are retraced.</w:t>
            </w:r>
          </w:p>
        </w:tc>
      </w:tr>
      <w:tr>
        <w:tc>
          <w:tcPr>
            <w:tcW w:type="dxa" w:w="3000"/>
            <w:vAlign w:val="center"/>
            <w:tcMar>
              <w:top w:w="90" w:type="dxa"/>
              <w:start w:w="110" w:type="dxa"/>
              <w:bottom w:w="90" w:type="dxa"/>
              <w:end w:w="110" w:type="dxa"/>
            </w:tcMar>
          </w:tcPr>
          <w:p>
            <w:pPr>
              <w:spacing w:before="0" w:after="0" w:line="240" w:lineRule="auto"/>
            </w:pPr>
            <w:r>
              <w:rPr>
                <w:sz w:val="17"/>
              </w:rPr>
              <w:t>Direct ratio bounds</w:t>
            </w:r>
          </w:p>
        </w:tc>
        <w:tc>
          <w:tcPr>
            <w:tcW w:type="dxa" w:w="6360"/>
            <w:vAlign w:val="center"/>
            <w:tcMar>
              <w:top w:w="90" w:type="dxa"/>
              <w:start w:w="110" w:type="dxa"/>
              <w:bottom w:w="90" w:type="dxa"/>
              <w:end w:w="110" w:type="dxa"/>
            </w:tcMar>
          </w:tcPr>
          <w:p>
            <w:pPr>
              <w:spacing w:before="0" w:after="0" w:line="240" w:lineRule="auto"/>
            </w:pPr>
            <w:r>
              <w:rPr>
                <w:sz w:val="17"/>
              </w:rPr>
              <w:t>Rigorous lower/upper E/W bounds are always retained; maximum accepted width is disabled by default unless explicitly configured.</w:t>
            </w:r>
          </w:p>
        </w:tc>
      </w:tr>
      <w:tr>
        <w:tc>
          <w:tcPr>
            <w:tcW w:type="dxa" w:w="3000"/>
            <w:vAlign w:val="center"/>
            <w:tcMar>
              <w:top w:w="90" w:type="dxa"/>
              <w:start w:w="110" w:type="dxa"/>
              <w:bottom w:w="90" w:type="dxa"/>
              <w:end w:w="110" w:type="dxa"/>
            </w:tcMar>
          </w:tcPr>
          <w:p>
            <w:pPr>
              <w:spacing w:before="0" w:after="0" w:line="240" w:lineRule="auto"/>
            </w:pPr>
            <w:r>
              <w:rPr>
                <w:sz w:val="17"/>
              </w:rPr>
              <w:t>Frozen-field sensitivity</w:t>
            </w:r>
          </w:p>
        </w:tc>
        <w:tc>
          <w:tcPr>
            <w:tcW w:type="dxa" w:w="6360"/>
            <w:vAlign w:val="center"/>
            <w:tcMar>
              <w:top w:w="90" w:type="dxa"/>
              <w:start w:w="110" w:type="dxa"/>
              <w:bottom w:w="90" w:type="dxa"/>
              <w:end w:w="110" w:type="dxa"/>
            </w:tcMar>
          </w:tcPr>
          <w:p>
            <w:pPr>
              <w:spacing w:before="0" w:after="0" w:line="240" w:lineRule="auto"/>
            </w:pPr>
            <w:r>
              <w:rPr>
                <w:sz w:val="17"/>
              </w:rPr>
              <w:t>Long-trace dominance is an advisory warning; long-and-still-unresolved response &lt;=0.05 is a hard per-head guard by default.</w:t>
            </w:r>
          </w:p>
        </w:tc>
      </w:tr>
      <w:tr>
        <w:tc>
          <w:tcPr>
            <w:tcW w:type="dxa" w:w="3000"/>
            <w:vAlign w:val="center"/>
            <w:tcMar>
              <w:top w:w="90" w:type="dxa"/>
              <w:start w:w="110" w:type="dxa"/>
              <w:bottom w:w="90" w:type="dxa"/>
              <w:end w:w="110" w:type="dxa"/>
            </w:tcMar>
          </w:tcPr>
          <w:p>
            <w:pPr>
              <w:spacing w:before="0" w:after="0" w:line="240" w:lineRule="auto"/>
            </w:pPr>
            <w:r>
              <w:rPr>
                <w:sz w:val="17"/>
              </w:rPr>
              <w:t>Convergence label</w:t>
            </w:r>
          </w:p>
        </w:tc>
        <w:tc>
          <w:tcPr>
            <w:tcW w:type="dxa" w:w="6360"/>
            <w:vAlign w:val="center"/>
            <w:tcMar>
              <w:top w:w="90" w:type="dxa"/>
              <w:start w:w="110" w:type="dxa"/>
              <w:bottom w:w="90" w:type="dxa"/>
              <w:end w:w="110" w:type="dxa"/>
            </w:tcMar>
          </w:tcPr>
          <w:p>
            <w:pPr>
              <w:spacing w:before="0" w:after="0" w:line="240" w:lineRule="auto"/>
            </w:pPr>
            <w:r>
              <w:rPr>
                <w:sz w:val="17"/>
              </w:rPr>
              <w:t>Ordinary runs report NOT_TESTED; a separate convergence campaign may report PASS or FAIL.</w:t>
            </w:r>
          </w:p>
        </w:tc>
      </w:tr>
    </w:tbl>
    <w:p>
      <w:pPr>
        <w:pStyle w:val="Heading3"/>
        <w:keepNext/>
        <w:pageBreakBefore w:val="0"/>
      </w:pPr>
      <w:r>
        <w:t>C19.4 Staged acceptance and exit policy</w:t>
      </w:r>
    </w:p>
    <w:p>
      <w:r>
        <w:t>C19 keeps calculated, accepted, and convergence-validated values distinct. direct_calculated_* is the finite central fold before final gates; direct_bound_midpoint_* is plotting-only when only a finite rigorous interval exists; modeled_* is the accepted science scalar. Calculated-but-unaccepted and bounds-only values remain visible diagnostics but never enter observational metrics.</w:t>
      </w:r>
    </w:p>
    <w:tbl>
      <w:tblPr>
        <w:tblStyle w:val="TableGrid"/>
        <w:tblW w:type="dxa" w:w="9360"/>
        <w:tblLayout w:type="fixed"/>
        <w:tblLook w:firstColumn="1" w:firstRow="1" w:lastColumn="0" w:lastRow="0" w:noHBand="0" w:noVBand="1" w:val="04A0"/>
      </w:tblPr>
      <w:tblGrid>
        <w:gridCol w:w="2500"/>
        <w:gridCol w:w="6860"/>
      </w:tblGrid>
      <w:tr>
        <w:trPr>
          <w:tblHeader w:val="true"/>
        </w:trPr>
        <w:tc>
          <w:tcPr>
            <w:tcW w:type="dxa" w:w="2500"/>
            <w:vAlign w:val="center"/>
            <w:tcMar>
              <w:top w:w="90" w:type="dxa"/>
              <w:start w:w="110" w:type="dxa"/>
              <w:bottom w:w="90" w:type="dxa"/>
              <w:end w:w="110" w:type="dxa"/>
            </w:tcMar>
            <w:shd w:fill="D9EAF7"/>
          </w:tcPr>
          <w:p>
            <w:pPr>
              <w:spacing w:before="0" w:after="0" w:line="240" w:lineRule="auto"/>
            </w:pPr>
            <w:r>
              <w:rPr>
                <w:b/>
                <w:color w:val="1F4E78"/>
                <w:sz w:val="17"/>
              </w:rPr>
              <w:t>Stage</w:t>
            </w:r>
          </w:p>
        </w:tc>
        <w:tc>
          <w:tcPr>
            <w:tcW w:type="dxa" w:w="6860"/>
            <w:vAlign w:val="center"/>
            <w:tcMar>
              <w:top w:w="90" w:type="dxa"/>
              <w:start w:w="110" w:type="dxa"/>
              <w:bottom w:w="90" w:type="dxa"/>
              <w:end w:w="110" w:type="dxa"/>
            </w:tcMar>
            <w:shd w:fill="D9EAF7"/>
          </w:tcPr>
          <w:p>
            <w:pPr>
              <w:spacing w:before="0" w:after="0" w:line="240" w:lineRule="auto"/>
            </w:pPr>
            <w:r>
              <w:rPr>
                <w:b/>
                <w:color w:val="1F4E78"/>
                <w:sz w:val="17"/>
              </w:rPr>
              <w:t>PASS requirement</w:t>
            </w:r>
          </w:p>
        </w:tc>
      </w:tr>
      <w:tr>
        <w:tc>
          <w:tcPr>
            <w:tcW w:type="dxa" w:w="2500"/>
            <w:vAlign w:val="center"/>
            <w:tcMar>
              <w:top w:w="90" w:type="dxa"/>
              <w:start w:w="110" w:type="dxa"/>
              <w:bottom w:w="90" w:type="dxa"/>
              <w:end w:w="110" w:type="dxa"/>
            </w:tcMar>
          </w:tcPr>
          <w:p>
            <w:pPr>
              <w:spacing w:before="0" w:after="0" w:line="240" w:lineRule="auto"/>
            </w:pPr>
            <w:r>
              <w:rPr>
                <w:sz w:val="17"/>
              </w:rPr>
              <w:t>Execution complete</w:t>
            </w:r>
          </w:p>
        </w:tc>
        <w:tc>
          <w:tcPr>
            <w:tcW w:type="dxa" w:w="6860"/>
            <w:vAlign w:val="center"/>
            <w:tcMar>
              <w:top w:w="90" w:type="dxa"/>
              <w:start w:w="110" w:type="dxa"/>
              <w:bottom w:w="90" w:type="dxa"/>
              <w:end w:w="110" w:type="dxa"/>
            </w:tcMar>
          </w:tcPr>
          <w:p>
            <w:pPr>
              <w:spacing w:before="0" w:after="0" w:line="240" w:lineRule="auto"/>
            </w:pPr>
            <w:r>
              <w:rPr>
                <w:sz w:val="17"/>
              </w:rPr>
              <w:t>AMPS launch/output/postprocessing complete; operational failures use shell exit 2.</w:t>
            </w:r>
          </w:p>
        </w:tc>
      </w:tr>
      <w:tr>
        <w:tc>
          <w:tcPr>
            <w:tcW w:type="dxa" w:w="2500"/>
            <w:vAlign w:val="center"/>
            <w:tcMar>
              <w:top w:w="90" w:type="dxa"/>
              <w:start w:w="110" w:type="dxa"/>
              <w:bottom w:w="90" w:type="dxa"/>
              <w:end w:w="110" w:type="dxa"/>
            </w:tcMar>
          </w:tcPr>
          <w:p>
            <w:pPr>
              <w:spacing w:before="0" w:after="0" w:line="240" w:lineRule="auto"/>
            </w:pPr>
            <w:r>
              <w:rPr>
                <w:sz w:val="17"/>
              </w:rPr>
              <w:t>Trajectory resolution</w:t>
            </w:r>
          </w:p>
        </w:tc>
        <w:tc>
          <w:tcPr>
            <w:tcW w:type="dxa" w:w="6860"/>
            <w:vAlign w:val="center"/>
            <w:tcMar>
              <w:top w:w="90" w:type="dxa"/>
              <w:start w:w="110" w:type="dxa"/>
              <w:bottom w:w="90" w:type="dxa"/>
              <w:end w:w="110" w:type="dxa"/>
            </w:tcMar>
          </w:tcPr>
          <w:p>
            <w:pPr>
              <w:spacing w:before="0" w:after="0" w:line="240" w:lineRule="auto"/>
            </w:pPr>
            <w:r>
              <w:rPr>
                <w:sz w:val="17"/>
              </w:rPr>
              <w:t>Required access rows exist, per-head coverage passes, and unresolved/termination guardrails pass.</w:t>
            </w:r>
          </w:p>
        </w:tc>
      </w:tr>
      <w:tr>
        <w:tc>
          <w:tcPr>
            <w:tcW w:type="dxa" w:w="2500"/>
            <w:vAlign w:val="center"/>
            <w:tcMar>
              <w:top w:w="90" w:type="dxa"/>
              <w:start w:w="110" w:type="dxa"/>
              <w:bottom w:w="90" w:type="dxa"/>
              <w:end w:w="110" w:type="dxa"/>
            </w:tcMar>
          </w:tcPr>
          <w:p>
            <w:pPr>
              <w:spacing w:before="0" w:after="0" w:line="240" w:lineRule="auto"/>
            </w:pPr>
            <w:r>
              <w:rPr>
                <w:sz w:val="17"/>
              </w:rPr>
              <w:t>Instrument fold</w:t>
            </w:r>
          </w:p>
        </w:tc>
        <w:tc>
          <w:tcPr>
            <w:tcW w:type="dxa" w:w="6860"/>
            <w:vAlign w:val="center"/>
            <w:tcMar>
              <w:top w:w="90" w:type="dxa"/>
              <w:start w:w="110" w:type="dxa"/>
              <w:bottom w:w="90" w:type="dxa"/>
              <w:end w:w="110" w:type="dxa"/>
            </w:tcMar>
          </w:tcPr>
          <w:p>
            <w:pPr>
              <w:spacing w:before="0" w:after="0" w:line="240" w:lineRule="auto"/>
            </w:pPr>
            <w:r>
              <w:rPr>
                <w:sz w:val="17"/>
              </w:rPr>
              <w:t>Finite detector signals/bounds are produced with valid spectrum, response, aperture, orientation, and finite-grid uncertainty.</w:t>
            </w:r>
          </w:p>
        </w:tc>
      </w:tr>
      <w:tr>
        <w:tc>
          <w:tcPr>
            <w:tcW w:type="dxa" w:w="2500"/>
            <w:vAlign w:val="center"/>
            <w:tcMar>
              <w:top w:w="90" w:type="dxa"/>
              <w:start w:w="110" w:type="dxa"/>
              <w:bottom w:w="90" w:type="dxa"/>
              <w:end w:w="110" w:type="dxa"/>
            </w:tcMar>
          </w:tcPr>
          <w:p>
            <w:pPr>
              <w:spacing w:before="0" w:after="0" w:line="240" w:lineRule="auto"/>
            </w:pPr>
            <w:r>
              <w:rPr>
                <w:sz w:val="17"/>
              </w:rPr>
              <w:t>Observational validation</w:t>
            </w:r>
          </w:p>
        </w:tc>
        <w:tc>
          <w:tcPr>
            <w:tcW w:type="dxa" w:w="6860"/>
            <w:vAlign w:val="center"/>
            <w:tcMar>
              <w:top w:w="90" w:type="dxa"/>
              <w:start w:w="110" w:type="dxa"/>
              <w:bottom w:w="90" w:type="dxa"/>
              <w:end w:w="110" w:type="dxa"/>
            </w:tcMar>
          </w:tcPr>
          <w:p>
            <w:pPr>
              <w:spacing w:before="0" w:after="0" w:line="240" w:lineRule="auto"/>
            </w:pPr>
            <w:r>
              <w:rPr>
                <w:sz w:val="17"/>
              </w:rPr>
              <w:t>After earlier gates: finite modeled fraction &gt;=0.85; correct sign &gt;=0.90; correlation &gt;=0.60; MAE &lt;=0.20 log10; RMSE &lt;=0.30 log10.</w:t>
            </w:r>
          </w:p>
        </w:tc>
      </w:tr>
      <w:tr>
        <w:tc>
          <w:tcPr>
            <w:tcW w:type="dxa" w:w="2500"/>
            <w:vAlign w:val="center"/>
            <w:tcMar>
              <w:top w:w="90" w:type="dxa"/>
              <w:start w:w="110" w:type="dxa"/>
              <w:bottom w:w="90" w:type="dxa"/>
              <w:end w:w="110" w:type="dxa"/>
            </w:tcMar>
          </w:tcPr>
          <w:p>
            <w:pPr>
              <w:spacing w:before="0" w:after="0" w:line="240" w:lineRule="auto"/>
            </w:pPr>
            <w:r>
              <w:rPr>
                <w:sz w:val="17"/>
              </w:rPr>
              <w:t>Overall</w:t>
            </w:r>
          </w:p>
        </w:tc>
        <w:tc>
          <w:tcPr>
            <w:tcW w:type="dxa" w:w="6860"/>
            <w:vAlign w:val="center"/>
            <w:tcMar>
              <w:top w:w="90" w:type="dxa"/>
              <w:start w:w="110" w:type="dxa"/>
              <w:bottom w:w="90" w:type="dxa"/>
              <w:end w:w="110" w:type="dxa"/>
            </w:tcMar>
          </w:tcPr>
          <w:p>
            <w:pPr>
              <w:spacing w:before="0" w:after="0" w:line="240" w:lineRule="auto"/>
            </w:pPr>
            <w:r>
              <w:rPr>
                <w:sz w:val="17"/>
              </w:rPr>
              <w:t>All scientific stages pass. --enforce-acceptance changes only the shell exit policy: scientific FAIL becomes exit 1.</w:t>
            </w:r>
          </w:p>
        </w:tc>
      </w:tr>
    </w:tbl>
    <w:p>
      <w:pPr>
        <w:pStyle w:val="Heading3"/>
        <w:keepNext/>
        <w:pageBreakBefore w:val="0"/>
      </w:pPr>
      <w:r>
        <w:t>C19.5 Reproducible commands and products</w:t>
      </w:r>
    </w:p>
    <w:p>
      <w:pPr>
        <w:spacing w:before="60" w:after="120"/>
        <w:ind w:left="200" w:right="120"/>
        <w:shd w:fill="F2F2F2"/>
      </w:pPr>
      <w:r>
        <w:rPr>
          <w:rFonts w:ascii="Consolas" w:hAnsi="Consolas"/>
          <w:sz w:val="16"/>
        </w:rPr>
        <w:t>python3 srcEarth/test/C19/run_C19.py --self-test</w:t>
        <w:br/>
        <w:t>python3 srcEarth/test/C19/run_C19.py --profile SMOKE --solver GRIDDED --models T05 --cutoff-search DIRECT_ACCESS --amps ./amps -np 4 -nt 16</w:t>
        <w:br/>
        <w:t>python3 srcEarth/test/C19/run_C19.py --profile ROUTINE --solver BOTH --models T96,T05 --require-real-ephemeris --amps ./amps</w:t>
        <w:br/>
        <w:t>python3 srcEarth/test/C19/run_C19.py --profile SMOKE --solver GRIDDED --cutoff-search DIRECT_ACCESS --no-adaptive-access --access-energy-points 48 --amps ./amps</w:t>
      </w:r>
    </w:p>
    <w:tbl>
      <w:tblPr>
        <w:tblStyle w:val="TableGrid"/>
        <w:tblW w:type="dxa" w:w="9360"/>
        <w:tblLayout w:type="fixed"/>
        <w:tblLook w:firstColumn="1" w:firstRow="1" w:lastColumn="0" w:lastRow="0" w:noHBand="0" w:noVBand="1" w:val="04A0"/>
      </w:tblPr>
      <w:tblGrid>
        <w:gridCol w:w="2850"/>
        <w:gridCol w:w="6510"/>
      </w:tblGrid>
      <w:tr>
        <w:trPr>
          <w:tblHeader w:val="true"/>
        </w:trPr>
        <w:tc>
          <w:tcPr>
            <w:tcW w:type="dxa" w:w="2850"/>
            <w:vAlign w:val="center"/>
            <w:tcMar>
              <w:top w:w="90" w:type="dxa"/>
              <w:start w:w="110" w:type="dxa"/>
              <w:bottom w:w="90" w:type="dxa"/>
              <w:end w:w="110" w:type="dxa"/>
            </w:tcMar>
            <w:shd w:fill="D9EAF7"/>
          </w:tcPr>
          <w:p>
            <w:pPr>
              <w:spacing w:before="0" w:after="0" w:line="240" w:lineRule="auto"/>
            </w:pPr>
            <w:r>
              <w:rPr>
                <w:b/>
                <w:color w:val="1F4E78"/>
                <w:sz w:val="17"/>
              </w:rPr>
              <w:t>Product</w:t>
            </w:r>
          </w:p>
        </w:tc>
        <w:tc>
          <w:tcPr>
            <w:tcW w:type="dxa" w:w="6510"/>
            <w:vAlign w:val="center"/>
            <w:tcMar>
              <w:top w:w="90" w:type="dxa"/>
              <w:start w:w="110" w:type="dxa"/>
              <w:bottom w:w="90" w:type="dxa"/>
              <w:end w:w="110" w:type="dxa"/>
            </w:tcMar>
            <w:shd w:fill="D9EAF7"/>
          </w:tcPr>
          <w:p>
            <w:pPr>
              <w:spacing w:before="0" w:after="0" w:line="240" w:lineRule="auto"/>
            </w:pPr>
            <w:r>
              <w:rPr>
                <w:b/>
                <w:color w:val="1F4E78"/>
                <w:sz w:val="17"/>
              </w:rPr>
              <w:t>Contents</w:t>
            </w:r>
          </w:p>
        </w:tc>
      </w:tr>
      <w:tr>
        <w:tc>
          <w:tcPr>
            <w:tcW w:type="dxa" w:w="2850"/>
            <w:vAlign w:val="center"/>
            <w:tcMar>
              <w:top w:w="90" w:type="dxa"/>
              <w:start w:w="110" w:type="dxa"/>
              <w:bottom w:w="90" w:type="dxa"/>
              <w:end w:w="110" w:type="dxa"/>
            </w:tcMar>
          </w:tcPr>
          <w:p>
            <w:pPr>
              <w:spacing w:before="0" w:after="0" w:line="240" w:lineRule="auto"/>
            </w:pPr>
            <w:r>
              <w:rPr>
                <w:sz w:val="17"/>
              </w:rPr>
              <w:t>C19_reference_used.csv / C19_spectrum_used.csv</w:t>
            </w:r>
          </w:p>
        </w:tc>
        <w:tc>
          <w:tcPr>
            <w:tcW w:type="dxa" w:w="6510"/>
            <w:vAlign w:val="center"/>
            <w:tcMar>
              <w:top w:w="90" w:type="dxa"/>
              <w:start w:w="110" w:type="dxa"/>
              <w:bottom w:w="90" w:type="dxa"/>
              <w:end w:w="110" w:type="dxa"/>
            </w:tcMar>
          </w:tcPr>
          <w:p>
            <w:pPr>
              <w:spacing w:before="0" w:after="0" w:line="240" w:lineRule="auto"/>
            </w:pPr>
            <w:r>
              <w:rPr>
                <w:sz w:val="17"/>
              </w:rPr>
              <w:t>Selected GOES rows, detector IDs/variables/correction state, ephemeris, and epoch spectrum provenance.</w:t>
            </w:r>
          </w:p>
        </w:tc>
      </w:tr>
      <w:tr>
        <w:tc>
          <w:tcPr>
            <w:tcW w:type="dxa" w:w="2850"/>
            <w:vAlign w:val="center"/>
            <w:tcMar>
              <w:top w:w="90" w:type="dxa"/>
              <w:start w:w="110" w:type="dxa"/>
              <w:bottom w:w="90" w:type="dxa"/>
              <w:end w:w="110" w:type="dxa"/>
            </w:tcMar>
          </w:tcPr>
          <w:p>
            <w:pPr>
              <w:spacing w:before="0" w:after="0" w:line="240" w:lineRule="auto"/>
            </w:pPr>
            <w:r>
              <w:rPr>
                <w:sz w:val="17"/>
              </w:rPr>
              <w:t>C19_access_energy_grid.csv / direct access cubes</w:t>
            </w:r>
          </w:p>
        </w:tc>
        <w:tc>
          <w:tcPr>
            <w:tcW w:type="dxa" w:w="6510"/>
            <w:vAlign w:val="center"/>
            <w:tcMar>
              <w:top w:w="90" w:type="dxa"/>
              <w:start w:w="110" w:type="dxa"/>
              <w:bottom w:w="90" w:type="dxa"/>
              <w:end w:w="110" w:type="dxa"/>
            </w:tcMar>
          </w:tcPr>
          <w:p>
            <w:pPr>
              <w:spacing w:before="0" w:after="0" w:line="240" w:lineRule="auto"/>
            </w:pPr>
            <w:r>
              <w:rPr>
                <w:sz w:val="17"/>
              </w:rPr>
              <w:t>Common seed or dense energy grid and solver-native three-state A(E,Omega) values.</w:t>
            </w:r>
          </w:p>
        </w:tc>
      </w:tr>
      <w:tr>
        <w:tc>
          <w:tcPr>
            <w:tcW w:type="dxa" w:w="2850"/>
            <w:vAlign w:val="center"/>
            <w:tcMar>
              <w:top w:w="90" w:type="dxa"/>
              <w:start w:w="110" w:type="dxa"/>
              <w:bottom w:w="90" w:type="dxa"/>
              <w:end w:w="110" w:type="dxa"/>
            </w:tcMar>
          </w:tcPr>
          <w:p>
            <w:pPr>
              <w:spacing w:before="0" w:after="0" w:line="240" w:lineRule="auto"/>
            </w:pPr>
            <w:r>
              <w:rPr>
                <w:sz w:val="17"/>
              </w:rPr>
              <w:t>C19_model.csv / C19_comparison.csv</w:t>
            </w:r>
          </w:p>
        </w:tc>
        <w:tc>
          <w:tcPr>
            <w:tcW w:type="dxa" w:w="6510"/>
            <w:vAlign w:val="center"/>
            <w:tcMar>
              <w:top w:w="90" w:type="dxa"/>
              <w:start w:w="110" w:type="dxa"/>
              <w:bottom w:w="90" w:type="dxa"/>
              <w:end w:w="110" w:type="dxa"/>
            </w:tcMar>
          </w:tcPr>
          <w:p>
            <w:pPr>
              <w:spacing w:before="0" w:after="0" w:line="240" w:lineRule="auto"/>
            </w:pPr>
            <w:r>
              <w:rPr>
                <w:sz w:val="17"/>
              </w:rPr>
              <w:t>Calculated, accepted, bounds-only, and cutoff-diagnostic results with all validity flags.</w:t>
            </w:r>
          </w:p>
        </w:tc>
      </w:tr>
      <w:tr>
        <w:tc>
          <w:tcPr>
            <w:tcW w:type="dxa" w:w="2850"/>
            <w:vAlign w:val="center"/>
            <w:tcMar>
              <w:top w:w="90" w:type="dxa"/>
              <w:start w:w="110" w:type="dxa"/>
              <w:bottom w:w="90" w:type="dxa"/>
              <w:end w:w="110" w:type="dxa"/>
            </w:tcMar>
          </w:tcPr>
          <w:p>
            <w:pPr>
              <w:spacing w:before="0" w:after="0" w:line="240" w:lineRule="auto"/>
            </w:pPr>
            <w:r>
              <w:rPr>
                <w:sz w:val="17"/>
              </w:rPr>
              <w:t>C19_aperture_availability.csv / termination budget</w:t>
            </w:r>
          </w:p>
        </w:tc>
        <w:tc>
          <w:tcPr>
            <w:tcW w:type="dxa" w:w="6510"/>
            <w:vAlign w:val="center"/>
            <w:tcMar>
              <w:top w:w="90" w:type="dxa"/>
              <w:start w:w="110" w:type="dxa"/>
              <w:bottom w:w="90" w:type="dxa"/>
              <w:end w:w="110" w:type="dxa"/>
            </w:tcMar>
          </w:tcPr>
          <w:p>
            <w:pPr>
              <w:spacing w:before="0" w:after="0" w:line="240" w:lineRule="auto"/>
            </w:pPr>
            <w:r>
              <w:rPr>
                <w:sz w:val="17"/>
              </w:rPr>
              <w:t>Coverage, unresolved fractions, extension accounting, physical/numerical termination categories, and bound widths per head.</w:t>
            </w:r>
          </w:p>
        </w:tc>
      </w:tr>
      <w:tr>
        <w:tc>
          <w:tcPr>
            <w:tcW w:type="dxa" w:w="2850"/>
            <w:vAlign w:val="center"/>
            <w:tcMar>
              <w:top w:w="90" w:type="dxa"/>
              <w:start w:w="110" w:type="dxa"/>
              <w:bottom w:w="90" w:type="dxa"/>
              <w:end w:w="110" w:type="dxa"/>
            </w:tcMar>
          </w:tcPr>
          <w:p>
            <w:pPr>
              <w:spacing w:before="0" w:after="0" w:line="240" w:lineRule="auto"/>
            </w:pPr>
            <w:r>
              <w:rPr>
                <w:sz w:val="17"/>
              </w:rPr>
              <w:t>C19_access_classification_by_rigidity.csv</w:t>
            </w:r>
          </w:p>
        </w:tc>
        <w:tc>
          <w:tcPr>
            <w:tcW w:type="dxa" w:w="6510"/>
            <w:vAlign w:val="center"/>
            <w:tcMar>
              <w:top w:w="90" w:type="dxa"/>
              <w:start w:w="110" w:type="dxa"/>
              <w:bottom w:w="90" w:type="dxa"/>
              <w:end w:w="110" w:type="dxa"/>
            </w:tcMar>
          </w:tcPr>
          <w:p>
            <w:pPr>
              <w:spacing w:before="0" w:after="0" w:line="240" w:lineRule="auto"/>
            </w:pPr>
            <w:r>
              <w:rPr>
                <w:sz w:val="17"/>
              </w:rPr>
              <w:t>Stage-A allowed/forbidden/unresolved fractions and response weights on mandatory common seed rigidities.</w:t>
            </w:r>
          </w:p>
        </w:tc>
      </w:tr>
      <w:tr>
        <w:tc>
          <w:tcPr>
            <w:tcW w:type="dxa" w:w="2850"/>
            <w:vAlign w:val="center"/>
            <w:tcMar>
              <w:top w:w="90" w:type="dxa"/>
              <w:start w:w="110" w:type="dxa"/>
              <w:bottom w:w="90" w:type="dxa"/>
              <w:end w:w="110" w:type="dxa"/>
            </w:tcMar>
          </w:tcPr>
          <w:p>
            <w:pPr>
              <w:spacing w:before="0" w:after="0" w:line="240" w:lineRule="auto"/>
            </w:pPr>
            <w:r>
              <w:rPr>
                <w:sz w:val="17"/>
              </w:rPr>
              <w:t>C19_metrics.csv</w:t>
            </w:r>
          </w:p>
        </w:tc>
        <w:tc>
          <w:tcPr>
            <w:tcW w:type="dxa" w:w="6510"/>
            <w:vAlign w:val="center"/>
            <w:tcMar>
              <w:top w:w="90" w:type="dxa"/>
              <w:start w:w="110" w:type="dxa"/>
              <w:bottom w:w="90" w:type="dxa"/>
              <w:end w:w="110" w:type="dxa"/>
            </w:tcMar>
          </w:tcPr>
          <w:p>
            <w:pPr>
              <w:spacing w:before="0" w:after="0" w:line="240" w:lineRule="auto"/>
            </w:pPr>
            <w:r>
              <w:rPr>
                <w:sz w:val="17"/>
              </w:rPr>
              <w:t>Per-spacecraft and aggregate finite fraction, sign agreement, bias, MAE, RMSE, correlation, and provisional gate.</w:t>
            </w:r>
          </w:p>
        </w:tc>
      </w:tr>
      <w:tr>
        <w:tc>
          <w:tcPr>
            <w:tcW w:type="dxa" w:w="2850"/>
            <w:vAlign w:val="center"/>
            <w:tcMar>
              <w:top w:w="90" w:type="dxa"/>
              <w:start w:w="110" w:type="dxa"/>
              <w:bottom w:w="90" w:type="dxa"/>
              <w:end w:w="110" w:type="dxa"/>
            </w:tcMar>
          </w:tcPr>
          <w:p>
            <w:pPr>
              <w:spacing w:before="0" w:after="0" w:line="240" w:lineRule="auto"/>
            </w:pPr>
            <w:r>
              <w:rPr>
                <w:sz w:val="17"/>
              </w:rPr>
              <w:t>C19_result.json / C19_summary.txt / C19_commands.json</w:t>
            </w:r>
          </w:p>
        </w:tc>
        <w:tc>
          <w:tcPr>
            <w:tcW w:type="dxa" w:w="6510"/>
            <w:vAlign w:val="center"/>
            <w:tcMar>
              <w:top w:w="90" w:type="dxa"/>
              <w:start w:w="110" w:type="dxa"/>
              <w:bottom w:w="90" w:type="dxa"/>
              <w:end w:w="110" w:type="dxa"/>
            </w:tcMar>
          </w:tcPr>
          <w:p>
            <w:pPr>
              <w:spacing w:before="0" w:after="0" w:line="240" w:lineRule="auto"/>
            </w:pPr>
            <w:r>
              <w:rPr>
                <w:sz w:val="17"/>
              </w:rPr>
              <w:t>Staged status, thresholds, limitations, hashes/provenance, exact commands, failures, and plot consistency.</w:t>
            </w:r>
          </w:p>
        </w:tc>
      </w:tr>
      <w:tr>
        <w:tc>
          <w:tcPr>
            <w:tcW w:type="dxa" w:w="2850"/>
            <w:vAlign w:val="center"/>
            <w:tcMar>
              <w:top w:w="90" w:type="dxa"/>
              <w:start w:w="110" w:type="dxa"/>
              <w:bottom w:w="90" w:type="dxa"/>
              <w:end w:w="110" w:type="dxa"/>
            </w:tcMar>
          </w:tcPr>
          <w:p>
            <w:pPr>
              <w:spacing w:before="0" w:after="0" w:line="240" w:lineRule="auto"/>
            </w:pPr>
            <w:r>
              <w:rPr>
                <w:sz w:val="17"/>
              </w:rPr>
              <w:t>Plots (PNG and EPS)</w:t>
            </w:r>
          </w:p>
        </w:tc>
        <w:tc>
          <w:tcPr>
            <w:tcW w:type="dxa" w:w="6510"/>
            <w:vAlign w:val="center"/>
            <w:tcMar>
              <w:top w:w="90" w:type="dxa"/>
              <w:start w:w="110" w:type="dxa"/>
              <w:bottom w:w="90" w:type="dxa"/>
              <w:end w:w="110" w:type="dxa"/>
            </w:tcMar>
          </w:tcPr>
          <w:p>
            <w:pPr>
              <w:spacing w:before="0" w:after="0" w:line="240" w:lineRule="auto"/>
            </w:pPr>
            <w:r>
              <w:rPr>
                <w:sz w:val="17"/>
              </w:rPr>
              <w:t>Comparison, scatter/parity/residual, transmission, aperture/classification, cutoff topology, trace extension, and boundary spectrum.</w:t>
            </w:r>
          </w:p>
        </w:tc>
      </w:tr>
    </w:tbl>
    <w:p>
      <w:pPr>
        <w:pStyle w:val="Heading3"/>
        <w:keepNext/>
        <w:pageBreakBefore w:val="0"/>
      </w:pPr>
      <w:r>
        <w:t>C19.6 Interpretation and limitations</w:t>
      </w:r>
    </w:p>
    <w:p>
      <w:r>
        <w:t>A passing science run supports agreement of the measured and detector-folded directional East-West ratio for this event under the documented spectrum, field, position, attitude, response, and convergence assumptions. It is not an exact count-rate validation. The default response remains factorized in energy and angle, secondary response geometry is approximate, detector-head intercalibration may remain, OBSERVED_WEST is not an independent upstream spectrum, the default upstream distribution is isotropic, and the provisional thresholds require extension to more events/yaw states.</w:t>
      </w:r>
    </w:p>
    <w:p>
      <w:r>
        <w:t>Publication-quality use should enable real ephemeris and orientation, use an independent spectrum and calibrated energy-angle response when available, repeat adaptive-versus-dense/angular/mesh convergence on difficult epochs, and archive C19_result.json with all provenance. The extracted test-only archive does not include srcEarth/util/amps_param_parser.cpp required by the runner self-test; execute C19 inside the full AMPS source tree.</w:t>
      </w:r>
    </w:p>
    <w:p>
      <w:pPr>
        <w:pStyle w:val="Heading2"/>
        <w:keepNext/>
        <w:pageBreakBefore w:val="0"/>
      </w:pPr>
      <w:r>
        <w:t>F14. Density/flux transmission-mode consistency: DIRECT versus SCAN versus ADAPTIVE [planned - not in archive]</w:t>
      </w:r>
    </w:p>
    <w:p>
      <w:pPr>
        <w:spacing w:after="120"/>
        <w:shd w:fill="FFF2CC"/>
      </w:pPr>
      <w:r>
        <w:rPr>
          <w:b/>
        </w:rPr>
        <w:t xml:space="preserve">Implementation status: Planned. </w:t>
      </w:r>
      <w:r>
        <w:t>No F14 directory or runner is present in all-test(1).tar. The following material is a proposed validation specification, not an executed archive test.</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keepNext/>
        <w:pageBreakBefore w:val="0"/>
      </w:pPr>
      <w:r>
        <w:t>F15. Density normalization from differential flux and relativistic speed factor [implemented]</w:t>
      </w:r>
    </w:p>
    <w:p>
      <w:pPr>
        <w:shd w:fill="FFF2CC"/>
      </w:pPr>
      <w:r>
        <w:rPr>
          <w:b/>
        </w:rPr>
        <w:t xml:space="preserve">Implementation status: </w:t>
      </w:r>
      <w:r>
        <w:t>Implemented as an exact zero-field relativistic normalization test using four narrow top-hat TABLE spectra.</w:t>
      </w:r>
    </w:p>
    <w:p>
      <w:r>
        <w:t>The cases are centered at 1,10,100,1000 MeV with default full width 0.02 E0. FIELD_MODEL NONE, EFIELD_MODEL NONE, R_INNER=0, and DIRECT transmission make T(E)=1 at both the center and near-boundary points.</w:t>
      </w:r>
    </w:p>
    <w:p>
      <w:pPr>
        <w:spacing w:before="60" w:after="120"/>
        <w:ind w:left="200" w:right="120"/>
        <w:shd w:fill="F2F2F2"/>
      </w:pPr>
      <w:r>
        <w:rPr>
          <w:rFonts w:ascii="Consolas" w:hAnsi="Consolas"/>
          <w:sz w:val="16"/>
        </w:rPr>
        <w:t>F = 4*pi*J0*(E2-E1)</w:t>
        <w:br/>
        <w:t>n = (4*pi*J0/c) * [sqrt(E2*(E2+2m)) - sqrt(E1*(E1+2m))]</w:t>
        <w:br/>
        <w:t>v(E)/c = sqrt(E*(E+2m))/(E+m)</w:t>
      </w:r>
    </w:p>
    <w:tbl>
      <w:tblPr>
        <w:tblStyle w:val="TableGrid"/>
        <w:tblW w:type="dxa" w:w="9360"/>
        <w:tblLayout w:type="fixed"/>
        <w:tblLook w:firstColumn="1" w:firstRow="1" w:lastColumn="0" w:lastRow="0" w:noHBand="0" w:noVBand="1" w:val="04A0"/>
      </w:tblPr>
      <w:tblGrid>
        <w:gridCol w:w="3100"/>
        <w:gridCol w:w="6260"/>
      </w:tblGrid>
      <w:tr>
        <w:trPr>
          <w:tblHeader w:val="true"/>
        </w:trPr>
        <w:tc>
          <w:tcPr>
            <w:tcW w:type="dxa" w:w="3100"/>
            <w:vAlign w:val="center"/>
            <w:tcMar>
              <w:top w:w="90" w:type="dxa"/>
              <w:start w:w="110" w:type="dxa"/>
              <w:bottom w:w="90" w:type="dxa"/>
              <w:end w:w="110" w:type="dxa"/>
            </w:tcMar>
            <w:shd w:fill="D9EAF7"/>
          </w:tcPr>
          <w:p>
            <w:pPr>
              <w:spacing w:before="0" w:after="0" w:line="240" w:lineRule="auto"/>
            </w:pPr>
            <w:r>
              <w:rPr>
                <w:b/>
                <w:color w:val="1F4E78"/>
                <w:sz w:val="17"/>
              </w:rPr>
              <w:t>Check</w:t>
            </w:r>
          </w:p>
        </w:tc>
        <w:tc>
          <w:tcPr>
            <w:tcW w:type="dxa" w:w="6260"/>
            <w:vAlign w:val="center"/>
            <w:tcMar>
              <w:top w:w="90" w:type="dxa"/>
              <w:start w:w="110" w:type="dxa"/>
              <w:bottom w:w="90" w:type="dxa"/>
              <w:end w:w="110" w:type="dxa"/>
            </w:tcMar>
            <w:shd w:fill="D9EAF7"/>
          </w:tcPr>
          <w:p>
            <w:pPr>
              <w:spacing w:before="0" w:after="0" w:line="240" w:lineRule="auto"/>
            </w:pPr>
            <w:r>
              <w:rPr>
                <w:b/>
                <w:color w:val="1F4E78"/>
                <w:sz w:val="17"/>
              </w:rPr>
              <w:t>Implemented expectation</w:t>
            </w:r>
          </w:p>
        </w:tc>
      </w:tr>
      <w:tr>
        <w:tc>
          <w:tcPr>
            <w:tcW w:type="dxa" w:w="3100"/>
            <w:vAlign w:val="center"/>
            <w:tcMar>
              <w:top w:w="90" w:type="dxa"/>
              <w:start w:w="110" w:type="dxa"/>
              <w:bottom w:w="90" w:type="dxa"/>
              <w:end w:w="110" w:type="dxa"/>
            </w:tcMar>
          </w:tcPr>
          <w:p>
            <w:pPr>
              <w:spacing w:before="0" w:after="0" w:line="240" w:lineRule="auto"/>
            </w:pPr>
            <w:r>
              <w:rPr>
                <w:sz w:val="17"/>
              </w:rPr>
              <w:t>Total flux and density</w:t>
            </w:r>
          </w:p>
        </w:tc>
        <w:tc>
          <w:tcPr>
            <w:tcW w:type="dxa" w:w="6260"/>
            <w:vAlign w:val="center"/>
            <w:tcMar>
              <w:top w:w="90" w:type="dxa"/>
              <w:start w:w="110" w:type="dxa"/>
              <w:bottom w:w="90" w:type="dxa"/>
              <w:end w:w="110" w:type="dxa"/>
            </w:tcMar>
          </w:tcPr>
          <w:p>
            <w:pPr>
              <w:spacing w:before="0" w:after="0" w:line="240" w:lineRule="auto"/>
            </w:pPr>
            <w:r>
              <w:rPr>
                <w:sz w:val="17"/>
              </w:rPr>
              <w:t>Match the finite top-hat closed forms.</w:t>
            </w:r>
          </w:p>
        </w:tc>
      </w:tr>
      <w:tr>
        <w:tc>
          <w:tcPr>
            <w:tcW w:type="dxa" w:w="3100"/>
            <w:vAlign w:val="center"/>
            <w:tcMar>
              <w:top w:w="90" w:type="dxa"/>
              <w:start w:w="110" w:type="dxa"/>
              <w:bottom w:w="90" w:type="dxa"/>
              <w:end w:w="110" w:type="dxa"/>
            </w:tcMar>
          </w:tcPr>
          <w:p>
            <w:pPr>
              <w:spacing w:before="0" w:after="0" w:line="240" w:lineRule="auto"/>
            </w:pPr>
            <w:r>
              <w:rPr>
                <w:sz w:val="17"/>
              </w:rPr>
              <w:t>Effective speed F/n</w:t>
            </w:r>
          </w:p>
        </w:tc>
        <w:tc>
          <w:tcPr>
            <w:tcW w:type="dxa" w:w="6260"/>
            <w:vAlign w:val="center"/>
            <w:tcMar>
              <w:top w:w="90" w:type="dxa"/>
              <w:start w:w="110" w:type="dxa"/>
              <w:bottom w:w="90" w:type="dxa"/>
              <w:end w:w="110" w:type="dxa"/>
            </w:tcMar>
          </w:tcPr>
          <w:p>
            <w:pPr>
              <w:spacing w:before="0" w:after="0" w:line="240" w:lineRule="auto"/>
            </w:pPr>
            <w:r>
              <w:rPr>
                <w:sz w:val="17"/>
              </w:rPr>
              <w:t>Matches the analytical finite-width value and monoenergetic correction.</w:t>
            </w:r>
          </w:p>
        </w:tc>
      </w:tr>
      <w:tr>
        <w:tc>
          <w:tcPr>
            <w:tcW w:type="dxa" w:w="3100"/>
            <w:vAlign w:val="center"/>
            <w:tcMar>
              <w:top w:w="90" w:type="dxa"/>
              <w:start w:w="110" w:type="dxa"/>
              <w:bottom w:w="90" w:type="dxa"/>
              <w:end w:w="110" w:type="dxa"/>
            </w:tcMar>
          </w:tcPr>
          <w:p>
            <w:pPr>
              <w:spacing w:before="0" w:after="0" w:line="240" w:lineRule="auto"/>
            </w:pPr>
            <w:r>
              <w:rPr>
                <w:sz w:val="17"/>
              </w:rPr>
              <w:t>Saved spectrum</w:t>
            </w:r>
          </w:p>
        </w:tc>
        <w:tc>
          <w:tcPr>
            <w:tcW w:type="dxa" w:w="6260"/>
            <w:vAlign w:val="center"/>
            <w:tcMar>
              <w:top w:w="90" w:type="dxa"/>
              <w:start w:w="110" w:type="dxa"/>
              <w:bottom w:w="90" w:type="dxa"/>
              <w:end w:w="110" w:type="dxa"/>
            </w:tcMar>
          </w:tcPr>
          <w:p>
            <w:pPr>
              <w:spacing w:before="0" w:after="0" w:line="240" w:lineRule="auto"/>
            </w:pPr>
            <w:r>
              <w:rPr>
                <w:sz w:val="17"/>
              </w:rPr>
              <w:t>T=1, J_local/J_boundary=1, and reconstruction agrees with integrated files.</w:t>
            </w:r>
          </w:p>
        </w:tc>
      </w:tr>
      <w:tr>
        <w:tc>
          <w:tcPr>
            <w:tcW w:type="dxa" w:w="3100"/>
            <w:vAlign w:val="center"/>
            <w:tcMar>
              <w:top w:w="90" w:type="dxa"/>
              <w:start w:w="110" w:type="dxa"/>
              <w:bottom w:w="90" w:type="dxa"/>
              <w:end w:w="110" w:type="dxa"/>
            </w:tcMar>
          </w:tcPr>
          <w:p>
            <w:pPr>
              <w:spacing w:before="0" w:after="0" w:line="240" w:lineRule="auto"/>
            </w:pPr>
            <w:r>
              <w:rPr>
                <w:sz w:val="17"/>
              </w:rPr>
              <w:t>Spatial invariance</w:t>
            </w:r>
          </w:p>
        </w:tc>
        <w:tc>
          <w:tcPr>
            <w:tcW w:type="dxa" w:w="6260"/>
            <w:vAlign w:val="center"/>
            <w:tcMar>
              <w:top w:w="90" w:type="dxa"/>
              <w:start w:w="110" w:type="dxa"/>
              <w:bottom w:w="90" w:type="dxa"/>
              <w:end w:w="110" w:type="dxa"/>
            </w:tcMar>
          </w:tcPr>
          <w:p>
            <w:pPr>
              <w:spacing w:before="0" w:after="0" w:line="240" w:lineRule="auto"/>
            </w:pPr>
            <w:r>
              <w:rPr>
                <w:sz w:val="17"/>
              </w:rPr>
              <w:t>Center and near-boundary points agree in the zero-field box.</w:t>
            </w:r>
          </w:p>
        </w:tc>
      </w:tr>
      <w:tr>
        <w:tc>
          <w:tcPr>
            <w:tcW w:type="dxa" w:w="3100"/>
            <w:vAlign w:val="center"/>
            <w:tcMar>
              <w:top w:w="90" w:type="dxa"/>
              <w:start w:w="110" w:type="dxa"/>
              <w:bottom w:w="90" w:type="dxa"/>
              <w:end w:w="110" w:type="dxa"/>
            </w:tcMar>
          </w:tcPr>
          <w:p>
            <w:pPr>
              <w:spacing w:before="0" w:after="0" w:line="240" w:lineRule="auto"/>
            </w:pPr>
            <w:r>
              <w:rPr>
                <w:sz w:val="17"/>
              </w:rPr>
              <w:t>Endpoint protection</w:t>
            </w:r>
          </w:p>
        </w:tc>
        <w:tc>
          <w:tcPr>
            <w:tcW w:type="dxa" w:w="6260"/>
            <w:vAlign w:val="center"/>
            <w:tcMar>
              <w:top w:w="90" w:type="dxa"/>
              <w:start w:w="110" w:type="dxa"/>
              <w:bottom w:w="90" w:type="dxa"/>
              <w:end w:w="110" w:type="dxa"/>
            </w:tcMar>
          </w:tcPr>
          <w:p>
            <w:pPr>
              <w:spacing w:before="0" w:after="0" w:line="240" w:lineRule="auto"/>
            </w:pPr>
            <w:r>
              <w:rPr>
                <w:sz w:val="17"/>
              </w:rPr>
              <w:t>TABLE/SPEC endpoints tolerate only roundoff-sized conversion excursions.</w:t>
            </w:r>
          </w:p>
        </w:tc>
      </w:tr>
    </w:tbl>
    <w:p>
      <w:pPr>
        <w:pStyle w:val="Heading2"/>
        <w:keepNext/>
        <w:pageBreakBefore w:val="0"/>
      </w:pPr>
      <w:r>
        <w:t>F16. Blocked-access zero-flux regression [implemented]</w:t>
      </w:r>
    </w:p>
    <w:p>
      <w:pPr>
        <w:shd w:fill="FFF2CC"/>
      </w:pPr>
      <w:r>
        <w:rPr>
          <w:b/>
        </w:rPr>
        <w:t xml:space="preserve">Implementation status: </w:t>
      </w:r>
      <w:r>
        <w:t>Implemented as an exact GRIDLESS blocked-access regression.</w:t>
      </w:r>
    </w:p>
    <w:p>
      <w:r>
        <w:t>Every diagnostic point is inside the absorbing inner sphere. The classifier therefore rejects every direction before the first push even though the incident power-law spectrum is nonzero. This is not an equatorial dipole-shell scan.</w:t>
      </w:r>
    </w:p>
    <w:p>
      <w:pPr>
        <w:spacing w:before="60" w:after="120"/>
        <w:ind w:left="200" w:right="120"/>
        <w:shd w:fill="F2F2F2"/>
      </w:pPr>
      <w:r>
        <w:rPr>
          <w:rFonts w:ascii="Consolas" w:hAnsi="Consolas"/>
          <w:sz w:val="16"/>
        </w:rPr>
        <w:t>FIELD_MODEL NONE</w:t>
        <w:br/>
        <w:t>OUTPUT_MODE POINTS</w:t>
        <w:br/>
        <w:t>all points satisfy r &lt; R_INNER</w:t>
        <w:br/>
        <w:t>nonzero boundary power-law spectrum</w:t>
        <w:br/>
        <w:t>expected T(E)=J_local(E)=density=total flux=channel flux=0</w:t>
      </w:r>
    </w:p>
    <w:tbl>
      <w:tblPr>
        <w:tblStyle w:val="TableGrid"/>
        <w:tblW w:type="dxa" w:w="9360"/>
        <w:tblLayout w:type="fixed"/>
        <w:tblLook w:firstColumn="1" w:firstRow="1" w:lastColumn="0" w:lastRow="0" w:noHBand="0" w:noVBand="1" w:val="04A0"/>
      </w:tblPr>
      <w:tblGrid>
        <w:gridCol w:w="3200"/>
        <w:gridCol w:w="6160"/>
      </w:tblGrid>
      <w:tr>
        <w:trPr>
          <w:tblHeader w:val="true"/>
        </w:trPr>
        <w:tc>
          <w:tcPr>
            <w:tcW w:type="dxa" w:w="3200"/>
            <w:vAlign w:val="center"/>
            <w:tcMar>
              <w:top w:w="90" w:type="dxa"/>
              <w:start w:w="110" w:type="dxa"/>
              <w:bottom w:w="90" w:type="dxa"/>
              <w:end w:w="110" w:type="dxa"/>
            </w:tcMar>
            <w:shd w:fill="D9EAF7"/>
          </w:tcPr>
          <w:p>
            <w:pPr>
              <w:spacing w:before="0" w:after="0" w:line="240" w:lineRule="auto"/>
            </w:pPr>
            <w:r>
              <w:rPr>
                <w:b/>
                <w:color w:val="1F4E78"/>
                <w:sz w:val="17"/>
              </w:rPr>
              <w:t>Gate</w:t>
            </w:r>
          </w:p>
        </w:tc>
        <w:tc>
          <w:tcPr>
            <w:tcW w:type="dxa" w:w="6160"/>
            <w:vAlign w:val="center"/>
            <w:tcMar>
              <w:top w:w="90" w:type="dxa"/>
              <w:start w:w="110" w:type="dxa"/>
              <w:bottom w:w="90" w:type="dxa"/>
              <w:end w:w="110" w:type="dxa"/>
            </w:tcMar>
            <w:shd w:fill="D9EAF7"/>
          </w:tcPr>
          <w:p>
            <w:pPr>
              <w:spacing w:before="0" w:after="0" w:line="240" w:lineRule="auto"/>
            </w:pPr>
            <w:r>
              <w:rPr>
                <w:b/>
                <w:color w:val="1F4E78"/>
                <w:sz w:val="17"/>
              </w:rPr>
              <w:t>Expected</w:t>
            </w:r>
          </w:p>
        </w:tc>
      </w:tr>
      <w:tr>
        <w:tc>
          <w:tcPr>
            <w:tcW w:type="dxa" w:w="3200"/>
            <w:vAlign w:val="center"/>
            <w:tcMar>
              <w:top w:w="90" w:type="dxa"/>
              <w:start w:w="110" w:type="dxa"/>
              <w:bottom w:w="90" w:type="dxa"/>
              <w:end w:w="110" w:type="dxa"/>
            </w:tcMar>
          </w:tcPr>
          <w:p>
            <w:pPr>
              <w:spacing w:before="0" w:after="0" w:line="240" w:lineRule="auto"/>
            </w:pPr>
            <w:r>
              <w:rPr>
                <w:sz w:val="17"/>
              </w:rPr>
              <w:t>Transmission and local spectrum</w:t>
            </w:r>
          </w:p>
        </w:tc>
        <w:tc>
          <w:tcPr>
            <w:tcW w:type="dxa" w:w="6160"/>
            <w:vAlign w:val="center"/>
            <w:tcMar>
              <w:top w:w="90" w:type="dxa"/>
              <w:start w:w="110" w:type="dxa"/>
              <w:bottom w:w="90" w:type="dxa"/>
              <w:end w:w="110" w:type="dxa"/>
            </w:tcMar>
          </w:tcPr>
          <w:p>
            <w:pPr>
              <w:spacing w:before="0" w:after="0" w:line="240" w:lineRule="auto"/>
            </w:pPr>
            <w:r>
              <w:rPr>
                <w:sz w:val="17"/>
              </w:rPr>
              <w:t>Exactly zero at every sampled energy.</w:t>
            </w:r>
          </w:p>
        </w:tc>
      </w:tr>
      <w:tr>
        <w:tc>
          <w:tcPr>
            <w:tcW w:type="dxa" w:w="3200"/>
            <w:vAlign w:val="center"/>
            <w:tcMar>
              <w:top w:w="90" w:type="dxa"/>
              <w:start w:w="110" w:type="dxa"/>
              <w:bottom w:w="90" w:type="dxa"/>
              <w:end w:w="110" w:type="dxa"/>
            </w:tcMar>
          </w:tcPr>
          <w:p>
            <w:pPr>
              <w:spacing w:before="0" w:after="0" w:line="240" w:lineRule="auto"/>
            </w:pPr>
            <w:r>
              <w:rPr>
                <w:sz w:val="17"/>
              </w:rPr>
              <w:t>Density and all flux products</w:t>
            </w:r>
          </w:p>
        </w:tc>
        <w:tc>
          <w:tcPr>
            <w:tcW w:type="dxa" w:w="6160"/>
            <w:vAlign w:val="center"/>
            <w:tcMar>
              <w:top w:w="90" w:type="dxa"/>
              <w:start w:w="110" w:type="dxa"/>
              <w:bottom w:w="90" w:type="dxa"/>
              <w:end w:w="110" w:type="dxa"/>
            </w:tcMar>
          </w:tcPr>
          <w:p>
            <w:pPr>
              <w:spacing w:before="0" w:after="0" w:line="240" w:lineRule="auto"/>
            </w:pPr>
            <w:r>
              <w:rPr>
                <w:sz w:val="17"/>
              </w:rPr>
              <w:t>Zero within the configured zero tolerance.</w:t>
            </w:r>
          </w:p>
        </w:tc>
      </w:tr>
      <w:tr>
        <w:tc>
          <w:tcPr>
            <w:tcW w:type="dxa" w:w="3200"/>
            <w:vAlign w:val="center"/>
            <w:tcMar>
              <w:top w:w="90" w:type="dxa"/>
              <w:start w:w="110" w:type="dxa"/>
              <w:bottom w:w="90" w:type="dxa"/>
              <w:end w:w="110" w:type="dxa"/>
            </w:tcMar>
          </w:tcPr>
          <w:p>
            <w:pPr>
              <w:spacing w:before="0" w:after="0" w:line="240" w:lineRule="auto"/>
            </w:pPr>
            <w:r>
              <w:rPr>
                <w:sz w:val="17"/>
              </w:rPr>
              <w:t>Boundary spectrum</w:t>
            </w:r>
          </w:p>
        </w:tc>
        <w:tc>
          <w:tcPr>
            <w:tcW w:type="dxa" w:w="6160"/>
            <w:vAlign w:val="center"/>
            <w:tcMar>
              <w:top w:w="90" w:type="dxa"/>
              <w:start w:w="110" w:type="dxa"/>
              <w:bottom w:w="90" w:type="dxa"/>
              <w:end w:w="110" w:type="dxa"/>
            </w:tcMar>
          </w:tcPr>
          <w:p>
            <w:pPr>
              <w:spacing w:before="0" w:after="0" w:line="240" w:lineRule="auto"/>
            </w:pPr>
            <w:r>
              <w:rPr>
                <w:sz w:val="17"/>
              </w:rPr>
              <w:t>Verified nonzero so the case cannot pass as a zero-input test.</w:t>
            </w:r>
          </w:p>
        </w:tc>
      </w:tr>
    </w:tbl>
    <w:p>
      <w:pPr>
        <w:pStyle w:val="Heading2"/>
        <w:keepNext/>
        <w:pageBreakBefore w:val="0"/>
      </w:pPr>
      <w:r>
        <w:t>F17. Event-level closure across GEO boundary, LEO flux transition, and cutoff boundary [planned - not in archive]</w:t>
      </w:r>
    </w:p>
    <w:p>
      <w:pPr>
        <w:spacing w:after="120"/>
        <w:shd w:fill="FFF2CC"/>
      </w:pPr>
      <w:r>
        <w:rPr>
          <w:b/>
        </w:rPr>
        <w:t xml:space="preserve">Implementation status: Planned. </w:t>
      </w:r>
      <w:r>
        <w:t>No F17 directory or runner is present in all-test(1).tar. The following material is a proposed validation specification, not an executed archive test.</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keepNext/>
        <w:pageBreakBefore/>
      </w:pPr>
      <w:r>
        <w:t>9. Additional references retained and added in v8</w:t>
      </w:r>
    </w:p>
    <w:p>
      <w:r>
        <w:t>The v6 reference list above is retained unchanged. The following references support the supplemental tests added in Section 8.</w:t>
      </w:r>
    </w:p>
    <w:p>
      <w:pPr>
        <w:pStyle w:val="ListBullet"/>
        <w:spacing w:after="60"/>
      </w:pPr>
      <w:r>
        <w:t>[R16] Cooke, D. J., Humble, J. E., Shea, M. A., Smart, D. F., Lund, N., Rasmussen, I. L., Byrnak, B., Goret, P., and Petrou, N. (1991). On cosmic-ray cutoff terminology. Il Nuovo Cimento C. Recommended for precise lower/upper/effective cutoff and penumbra terminology.</w:t>
      </w:r>
    </w:p>
    <w:p>
      <w:pPr>
        <w:pStyle w:val="ListBullet"/>
        <w:spacing w:after="60"/>
      </w:pPr>
      <w:r>
        <w:t>[R17] Desorgher, L., Flückiger, E. O., Gurtner, M., Moser, M. R., and Bütikofer, R. (2005). Magnetocosmics / PLANETOCOSMICS trajectory tracing and geomagnetic cutoff calculations. Useful as an independent trajectory-code comparison family.</w:t>
      </w:r>
    </w:p>
    <w:p>
      <w:pPr>
        <w:pStyle w:val="ListBullet"/>
        <w:spacing w:after="60"/>
      </w:pPr>
      <w:r>
        <w:t>[R18] Kudela, K., and Usoskin, I. G. (2004/2005). Magnetospheric transmissivity and cosmic-ray cutoff-rigidity studies. Useful context for transmission-function based validation rather than a single scalar cutoff.</w:t>
      </w:r>
    </w:p>
    <w:p>
      <w:pPr>
        <w:pStyle w:val="ListBullet"/>
        <w:spacing w:after="60"/>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spacing w:after="60"/>
      </w:pPr>
      <w:r>
        <w:t>[R20] Northrop, T. G. (1963). The Adiabatic Motion of Charged Particles. Interscience. Useful background for guiding-center invariants and mover validation near the limits of GC applicability.</w:t>
      </w:r>
    </w:p>
    <w:p>
      <w:pPr>
        <w:pStyle w:val="ListBullet"/>
        <w:spacing w:after="60"/>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spacing w:after="60"/>
      </w:pPr>
      <w:r>
        <w:rPr>
          <w:i w:val="0"/>
        </w:rPr>
        <w:t>[R22] Smart, D. F., and Shea, M. A. (2008). World Grid of Calculated Cosmic Ray Vertical Cutoff Rigidities for Epoch 2000.0. Proceedings of the 30th International Cosmic Ray Conference, Vol. 1, 737-740.</w:t>
      </w:r>
    </w:p>
    <w:p>
      <w:pPr>
        <w:pStyle w:val="ListBullet"/>
        <w:spacing w:after="60"/>
      </w:pPr>
      <w:r>
        <w:rPr>
          <w:i w:val="0"/>
        </w:rPr>
        <w:t>[R23] Copeland, K. (2019). CARI-7 Documentation: Geomagnetic Cutoff Rigidity Calculations and Tables for 1965-2010. Federal Aviation Administration report DOT/FAA/AM-19/4.</w:t>
      </w:r>
    </w:p>
    <w:p>
      <w:pPr>
        <w:pStyle w:val="ListBullet"/>
        <w:spacing w:after="60"/>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spacing w:after="60"/>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pStyle w:val="ListBullet"/>
        <w:spacing w:after="60"/>
      </w:pPr>
      <w:r>
        <w:t>[R26] NOAA National Centers for Environmental Information. NOAA GOES 1-15 SEM L1B/L2 operational five-minute EPEAD p17ew products used by C19A.</w:t>
      </w:r>
    </w:p>
    <w:p>
      <w:pPr>
        <w:pStyle w:val="ListBullet"/>
        <w:spacing w:after="60"/>
      </w:pPr>
      <w:r>
        <w:t>[R27] Rodriguez, J. V., Onsager, T. G., and Mazur, J. E. (2010). The east-west effect in solar proton flux measurements in geostationary orbit: A new GOES capability. Geophysical Research Letters, 37, L07109.</w:t>
      </w:r>
    </w:p>
    <w:p>
      <w:pPr>
        <w:pStyle w:val="ListBullet"/>
        <w:spacing w:after="60"/>
      </w:pPr>
      <w:r>
        <w:t>[R28] Rodriguez, J. V., Krosschell, J. C., and Green, J. C. (2014). Intercalibration of GOES 8-15 solar proton detectors. Space Weather, 12, 92-109.</w:t>
      </w:r>
    </w:p>
    <w:p>
      <w:pPr>
        <w:pStyle w:val="ListBullet"/>
        <w:spacing w:after="60"/>
      </w:pPr>
      <w:r>
        <w:t>[R29] Kress, B. T., Rodriguez, J. V., Mazur, J. E., and Engel, M. (2013). Modeling solar proton access to geostationary spacecraft with geomagnetic cutoffs. Advances in Space Research, 52, 1939-1948.</w:t>
      </w:r>
    </w:p>
    <w:p>
      <w:pPr>
        <w:pStyle w:val="ListBullet"/>
        <w:spacing w:after="60"/>
      </w:pPr>
      <w:r>
        <w:t>[R30] Rodriguez, J. V. et al. (2017). On the use of NOAA GOES energetic particle detector integral fluxes. Space Weather, 15, 290-309.</w:t>
      </w:r>
    </w:p>
    <w:p>
      <w:pPr>
        <w:pStyle w:val="ListBullet"/>
        <w:spacing w:after="60"/>
      </w:pPr>
      <w:r>
        <w:t>[R31] Tsyganenko, N. A., and Sitnov, M. I. (2005). Modeling the dynamics of the inner magnetosphere during strong geomagnetic storms. Journal of Geophysical Research, 110, A03208.</w:t>
      </w:r>
    </w:p>
    <w:p>
      <w:pPr/>
      <w:r>
        <w:rPr>
          <w:i w:val="0"/>
        </w:rPr>
      </w:r>
    </w:p>
    <w:p>
      <w:pPr>
        <w:pStyle w:val="Heading1"/>
        <w:keepNext/>
        <w:pageBreakBefore/>
      </w:pPr>
      <w:r>
        <w:t>Appendix A. all-test(1).tar implementation inventory</w:t>
      </w:r>
    </w:p>
    <w:p>
      <w:r>
        <w:t>This appendix is the authoritative mapping for the supplied all-test(1).tar snapshot and replaces the former seed-file mapping. A test is called implemented only when its directory and runner/configuration files are present in this archive.</w:t>
      </w:r>
    </w:p>
    <w:p>
      <w:pPr>
        <w:pStyle w:val="Heading2"/>
        <w:keepNext/>
        <w:pageBreakBefore w:val="0"/>
      </w:pPr>
      <w:r>
        <w:t>A.1 Implemented cutoff-rigidity tests</w:t>
      </w:r>
    </w:p>
    <w:tbl>
      <w:tblPr>
        <w:tblStyle w:val="TableGrid"/>
        <w:tblW w:type="dxa" w:w="9360"/>
        <w:tblLayout w:type="fixed"/>
        <w:tblLook w:firstColumn="1" w:firstRow="1" w:lastColumn="0" w:lastRow="0" w:noHBand="0" w:noVBand="1" w:val="04A0"/>
      </w:tblPr>
      <w:tblGrid>
        <w:gridCol w:w="950"/>
        <w:gridCol w:w="1650"/>
        <w:gridCol w:w="6760"/>
      </w:tblGrid>
      <w:tr>
        <w:trPr>
          <w:tblHeader w:val="true"/>
        </w:trPr>
        <w:tc>
          <w:tcPr>
            <w:tcW w:type="dxa" w:w="950"/>
            <w:vAlign w:val="center"/>
            <w:tcMar>
              <w:top w:w="90" w:type="dxa"/>
              <w:start w:w="110" w:type="dxa"/>
              <w:bottom w:w="90" w:type="dxa"/>
              <w:end w:w="110" w:type="dxa"/>
            </w:tcMar>
            <w:shd w:fill="D9EAF7"/>
          </w:tcPr>
          <w:p>
            <w:pPr>
              <w:spacing w:before="0" w:after="0" w:line="240" w:lineRule="auto"/>
            </w:pPr>
            <w:r>
              <w:rPr>
                <w:b/>
                <w:color w:val="1F4E78"/>
                <w:sz w:val="17"/>
              </w:rPr>
              <w:t>Test</w:t>
            </w:r>
          </w:p>
        </w:tc>
        <w:tc>
          <w:tcPr>
            <w:tcW w:type="dxa" w:w="1650"/>
            <w:vAlign w:val="center"/>
            <w:tcMar>
              <w:top w:w="90" w:type="dxa"/>
              <w:start w:w="110" w:type="dxa"/>
              <w:bottom w:w="90" w:type="dxa"/>
              <w:end w:w="110" w:type="dxa"/>
            </w:tcMar>
            <w:shd w:fill="D9EAF7"/>
          </w:tcPr>
          <w:p>
            <w:pPr>
              <w:spacing w:before="0" w:after="0" w:line="240" w:lineRule="auto"/>
            </w:pPr>
            <w:r>
              <w:rPr>
                <w:b/>
                <w:color w:val="1F4E78"/>
                <w:sz w:val="17"/>
              </w:rPr>
              <w:t>Archive status</w:t>
            </w:r>
          </w:p>
        </w:tc>
        <w:tc>
          <w:tcPr>
            <w:tcW w:type="dxa" w:w="6760"/>
            <w:vAlign w:val="center"/>
            <w:tcMar>
              <w:top w:w="90" w:type="dxa"/>
              <w:start w:w="110" w:type="dxa"/>
              <w:bottom w:w="90" w:type="dxa"/>
              <w:end w:w="110" w:type="dxa"/>
            </w:tcMar>
            <w:shd w:fill="D9EAF7"/>
          </w:tcPr>
          <w:p>
            <w:pPr>
              <w:spacing w:before="0" w:after="0" w:line="240" w:lineRule="auto"/>
            </w:pPr>
            <w:r>
              <w:rPr>
                <w:b/>
                <w:color w:val="1F4E78"/>
                <w:sz w:val="17"/>
              </w:rPr>
              <w:t>Implemented scope</w:t>
            </w:r>
          </w:p>
        </w:tc>
      </w:tr>
      <w:tr>
        <w:tc>
          <w:tcPr>
            <w:tcW w:type="dxa" w:w="950"/>
            <w:vAlign w:val="center"/>
            <w:tcMar>
              <w:top w:w="90" w:type="dxa"/>
              <w:start w:w="110" w:type="dxa"/>
              <w:bottom w:w="90" w:type="dxa"/>
              <w:end w:w="110" w:type="dxa"/>
            </w:tcMar>
          </w:tcPr>
          <w:p>
            <w:pPr>
              <w:spacing w:before="0" w:after="0" w:line="240" w:lineRule="auto"/>
            </w:pPr>
            <w:r>
              <w:rPr>
                <w:sz w:val="17"/>
              </w:rPr>
              <w:t>C1</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Analytical dipole vertical cutoff</w:t>
            </w:r>
          </w:p>
        </w:tc>
      </w:tr>
      <w:tr>
        <w:tc>
          <w:tcPr>
            <w:tcW w:type="dxa" w:w="950"/>
            <w:vAlign w:val="center"/>
            <w:tcMar>
              <w:top w:w="90" w:type="dxa"/>
              <w:start w:w="110" w:type="dxa"/>
              <w:bottom w:w="90" w:type="dxa"/>
              <w:end w:w="110" w:type="dxa"/>
            </w:tcMar>
          </w:tcPr>
          <w:p>
            <w:pPr>
              <w:spacing w:before="0" w:after="0" w:line="240" w:lineRule="auto"/>
            </w:pPr>
            <w:r>
              <w:rPr>
                <w:sz w:val="17"/>
              </w:rPr>
              <w:t>C2</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Dipole longitude and north/south symmetry</w:t>
            </w:r>
          </w:p>
        </w:tc>
      </w:tr>
      <w:tr>
        <w:tc>
          <w:tcPr>
            <w:tcW w:type="dxa" w:w="950"/>
            <w:vAlign w:val="center"/>
            <w:tcMar>
              <w:top w:w="90" w:type="dxa"/>
              <w:start w:w="110" w:type="dxa"/>
              <w:bottom w:w="90" w:type="dxa"/>
              <w:end w:w="110" w:type="dxa"/>
            </w:tcMar>
          </w:tcPr>
          <w:p>
            <w:pPr>
              <w:spacing w:before="0" w:after="0" w:line="240" w:lineRule="auto"/>
            </w:pPr>
            <w:r>
              <w:rPr>
                <w:sz w:val="17"/>
              </w:rPr>
              <w:t>C3</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UPPER_SCAN penumbra regression</w:t>
            </w:r>
          </w:p>
        </w:tc>
      </w:tr>
      <w:tr>
        <w:tc>
          <w:tcPr>
            <w:tcW w:type="dxa" w:w="950"/>
            <w:vAlign w:val="center"/>
            <w:tcMar>
              <w:top w:w="90" w:type="dxa"/>
              <w:start w:w="110" w:type="dxa"/>
              <w:bottom w:w="90" w:type="dxa"/>
              <w:end w:w="110" w:type="dxa"/>
            </w:tcMar>
          </w:tcPr>
          <w:p>
            <w:pPr>
              <w:spacing w:before="0" w:after="0" w:line="240" w:lineRule="auto"/>
            </w:pPr>
            <w:r>
              <w:rPr>
                <w:sz w:val="17"/>
              </w:rPr>
              <w:t>C4</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Mode3D trajectory exit/invariant diagnostic</w:t>
            </w:r>
          </w:p>
        </w:tc>
      </w:tr>
      <w:tr>
        <w:tc>
          <w:tcPr>
            <w:tcW w:type="dxa" w:w="950"/>
            <w:vAlign w:val="center"/>
            <w:tcMar>
              <w:top w:w="90" w:type="dxa"/>
              <w:start w:w="110" w:type="dxa"/>
              <w:bottom w:w="90" w:type="dxa"/>
              <w:end w:w="110" w:type="dxa"/>
            </w:tcMar>
          </w:tcPr>
          <w:p>
            <w:pPr>
              <w:spacing w:before="0" w:after="0" w:line="240" w:lineRule="auto"/>
            </w:pPr>
            <w:r>
              <w:rPr>
                <w:sz w:val="17"/>
              </w:rPr>
              <w:t>C5</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Mode3D mesh-interpolation convergence</w:t>
            </w:r>
          </w:p>
        </w:tc>
      </w:tr>
      <w:tr>
        <w:tc>
          <w:tcPr>
            <w:tcW w:type="dxa" w:w="950"/>
            <w:vAlign w:val="center"/>
            <w:tcMar>
              <w:top w:w="90" w:type="dxa"/>
              <w:start w:w="110" w:type="dxa"/>
              <w:bottom w:w="90" w:type="dxa"/>
              <w:end w:w="110" w:type="dxa"/>
            </w:tcMar>
          </w:tcPr>
          <w:p>
            <w:pPr>
              <w:spacing w:before="0" w:after="0" w:line="240" w:lineRule="auto"/>
            </w:pPr>
            <w:r>
              <w:rPr>
                <w:sz w:val="17"/>
              </w:rPr>
              <w:t>C6</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Global IGRF effective vertical cutoff</w:t>
            </w:r>
          </w:p>
        </w:tc>
      </w:tr>
      <w:tr>
        <w:tc>
          <w:tcPr>
            <w:tcW w:type="dxa" w:w="950"/>
            <w:vAlign w:val="center"/>
            <w:tcMar>
              <w:top w:w="90" w:type="dxa"/>
              <w:start w:w="110" w:type="dxa"/>
              <w:bottom w:w="90" w:type="dxa"/>
              <w:end w:w="110" w:type="dxa"/>
            </w:tcMar>
          </w:tcPr>
          <w:p>
            <w:pPr>
              <w:spacing w:before="0" w:after="0" w:line="240" w:lineRule="auto"/>
            </w:pPr>
            <w:r>
              <w:rPr>
                <w:sz w:val="17"/>
              </w:rPr>
              <w:t>C7</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IZMIRAN T96 external benchmark</w:t>
            </w:r>
          </w:p>
        </w:tc>
      </w:tr>
      <w:tr>
        <w:tc>
          <w:tcPr>
            <w:tcW w:type="dxa" w:w="950"/>
            <w:vAlign w:val="center"/>
            <w:tcMar>
              <w:top w:w="90" w:type="dxa"/>
              <w:start w:w="110" w:type="dxa"/>
              <w:bottom w:w="90" w:type="dxa"/>
              <w:end w:w="110" w:type="dxa"/>
            </w:tcMar>
          </w:tcPr>
          <w:p>
            <w:pPr>
              <w:spacing w:before="0" w:after="0" w:line="240" w:lineRule="auto"/>
            </w:pPr>
            <w:r>
              <w:rPr>
                <w:sz w:val="17"/>
              </w:rPr>
              <w:t>C9</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PAMELA cutoff-latitude validation</w:t>
            </w:r>
          </w:p>
        </w:tc>
      </w:tr>
      <w:tr>
        <w:tc>
          <w:tcPr>
            <w:tcW w:type="dxa" w:w="950"/>
            <w:vAlign w:val="center"/>
            <w:tcMar>
              <w:top w:w="90" w:type="dxa"/>
              <w:start w:w="110" w:type="dxa"/>
              <w:bottom w:w="90" w:type="dxa"/>
              <w:end w:w="110" w:type="dxa"/>
            </w:tcMar>
          </w:tcPr>
          <w:p>
            <w:pPr>
              <w:spacing w:before="0" w:after="0" w:line="240" w:lineRule="auto"/>
            </w:pPr>
            <w:r>
              <w:rPr>
                <w:sz w:val="17"/>
              </w:rPr>
              <w:t>C10</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POES/MetOp proton-access boundary</w:t>
            </w:r>
          </w:p>
        </w:tc>
      </w:tr>
      <w:tr>
        <w:tc>
          <w:tcPr>
            <w:tcW w:type="dxa" w:w="950"/>
            <w:vAlign w:val="center"/>
            <w:tcMar>
              <w:top w:w="90" w:type="dxa"/>
              <w:start w:w="110" w:type="dxa"/>
              <w:bottom w:w="90" w:type="dxa"/>
              <w:end w:w="110" w:type="dxa"/>
            </w:tcMar>
          </w:tcPr>
          <w:p>
            <w:pPr>
              <w:spacing w:before="0" w:after="0" w:line="240" w:lineRule="auto"/>
            </w:pPr>
            <w:r>
              <w:rPr>
                <w:sz w:val="17"/>
              </w:rPr>
              <w:t>C11</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BINARY Rmin-collapse regression</w:t>
            </w:r>
          </w:p>
        </w:tc>
      </w:tr>
      <w:tr>
        <w:tc>
          <w:tcPr>
            <w:tcW w:type="dxa" w:w="950"/>
            <w:vAlign w:val="center"/>
            <w:tcMar>
              <w:top w:w="90" w:type="dxa"/>
              <w:start w:w="110" w:type="dxa"/>
              <w:bottom w:w="90" w:type="dxa"/>
              <w:end w:w="110" w:type="dxa"/>
            </w:tcMar>
          </w:tcPr>
          <w:p>
            <w:pPr>
              <w:spacing w:before="0" w:after="0" w:line="240" w:lineRule="auto"/>
            </w:pPr>
            <w:r>
              <w:rPr>
                <w:sz w:val="17"/>
              </w:rPr>
              <w:t>C12</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Gridless mover cross-validation</w:t>
            </w:r>
          </w:p>
        </w:tc>
      </w:tr>
      <w:tr>
        <w:tc>
          <w:tcPr>
            <w:tcW w:type="dxa" w:w="950"/>
            <w:vAlign w:val="center"/>
            <w:tcMar>
              <w:top w:w="90" w:type="dxa"/>
              <w:start w:w="110" w:type="dxa"/>
              <w:bottom w:w="90" w:type="dxa"/>
              <w:end w:w="110" w:type="dxa"/>
            </w:tcMar>
          </w:tcPr>
          <w:p>
            <w:pPr>
              <w:spacing w:before="0" w:after="0" w:line="240" w:lineRule="auto"/>
            </w:pPr>
            <w:r>
              <w:rPr>
                <w:sz w:val="17"/>
              </w:rPr>
              <w:t>C14</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Mode3D/gridless cross-solver comparison</w:t>
            </w:r>
          </w:p>
        </w:tc>
      </w:tr>
      <w:tr>
        <w:tc>
          <w:tcPr>
            <w:tcW w:type="dxa" w:w="950"/>
            <w:vAlign w:val="center"/>
            <w:tcMar>
              <w:top w:w="90" w:type="dxa"/>
              <w:start w:w="110" w:type="dxa"/>
              <w:bottom w:w="90" w:type="dxa"/>
              <w:end w:w="110" w:type="dxa"/>
            </w:tcMar>
          </w:tcPr>
          <w:p>
            <w:pPr>
              <w:spacing w:before="0" w:after="0" w:line="240" w:lineRule="auto"/>
            </w:pPr>
            <w:r>
              <w:rPr>
                <w:sz w:val="17"/>
              </w:rPr>
              <w:t>C17</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Charge-sign/velocity-reversal symmetry</w:t>
            </w:r>
          </w:p>
        </w:tc>
      </w:tr>
      <w:tr>
        <w:tc>
          <w:tcPr>
            <w:tcW w:type="dxa" w:w="950"/>
            <w:vAlign w:val="center"/>
            <w:tcMar>
              <w:top w:w="90" w:type="dxa"/>
              <w:start w:w="110" w:type="dxa"/>
              <w:bottom w:w="90" w:type="dxa"/>
              <w:end w:w="110" w:type="dxa"/>
            </w:tcMar>
          </w:tcPr>
          <w:p>
            <w:pPr>
              <w:spacing w:before="0" w:after="0" w:line="240" w:lineRule="auto"/>
            </w:pPr>
            <w:r>
              <w:rPr>
                <w:sz w:val="17"/>
              </w:rPr>
              <w:t>C18</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Threaded field-initialization determinism</w:t>
            </w:r>
          </w:p>
        </w:tc>
      </w:tr>
      <w:tr>
        <w:tc>
          <w:tcPr>
            <w:tcW w:type="dxa" w:w="950"/>
            <w:vAlign w:val="center"/>
            <w:tcMar>
              <w:top w:w="90" w:type="dxa"/>
              <w:start w:w="110" w:type="dxa"/>
              <w:bottom w:w="90" w:type="dxa"/>
              <w:end w:w="110" w:type="dxa"/>
            </w:tcMar>
          </w:tcPr>
          <w:p>
            <w:pPr>
              <w:spacing w:before="0" w:after="0" w:line="240" w:lineRule="auto"/>
            </w:pPr>
            <w:r>
              <w:rPr>
                <w:sz w:val="17"/>
              </w:rPr>
              <w:t>C19</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GOES EPEAD East-West directional access</w:t>
            </w:r>
          </w:p>
        </w:tc>
      </w:tr>
    </w:tbl>
    <w:p>
      <w:pPr>
        <w:pStyle w:val="Heading2"/>
        <w:keepNext/>
        <w:pageBreakBefore w:val="0"/>
      </w:pPr>
      <w:r>
        <w:t>A.2 Implemented density/flux tests</w:t>
      </w:r>
    </w:p>
    <w:tbl>
      <w:tblPr>
        <w:tblStyle w:val="TableGrid"/>
        <w:tblW w:type="dxa" w:w="9360"/>
        <w:tblLayout w:type="fixed"/>
        <w:tblLook w:firstColumn="1" w:firstRow="1" w:lastColumn="0" w:lastRow="0" w:noHBand="0" w:noVBand="1" w:val="04A0"/>
      </w:tblPr>
      <w:tblGrid>
        <w:gridCol w:w="950"/>
        <w:gridCol w:w="1650"/>
        <w:gridCol w:w="6760"/>
      </w:tblGrid>
      <w:tr>
        <w:trPr>
          <w:tblHeader w:val="true"/>
        </w:trPr>
        <w:tc>
          <w:tcPr>
            <w:tcW w:type="dxa" w:w="950"/>
            <w:vAlign w:val="center"/>
            <w:tcMar>
              <w:top w:w="90" w:type="dxa"/>
              <w:start w:w="110" w:type="dxa"/>
              <w:bottom w:w="90" w:type="dxa"/>
              <w:end w:w="110" w:type="dxa"/>
            </w:tcMar>
            <w:shd w:fill="D9EAF7"/>
          </w:tcPr>
          <w:p>
            <w:pPr>
              <w:spacing w:before="0" w:after="0" w:line="240" w:lineRule="auto"/>
            </w:pPr>
            <w:r>
              <w:rPr>
                <w:b/>
                <w:color w:val="1F4E78"/>
                <w:sz w:val="17"/>
              </w:rPr>
              <w:t>Test</w:t>
            </w:r>
          </w:p>
        </w:tc>
        <w:tc>
          <w:tcPr>
            <w:tcW w:type="dxa" w:w="1650"/>
            <w:vAlign w:val="center"/>
            <w:tcMar>
              <w:top w:w="90" w:type="dxa"/>
              <w:start w:w="110" w:type="dxa"/>
              <w:bottom w:w="90" w:type="dxa"/>
              <w:end w:w="110" w:type="dxa"/>
            </w:tcMar>
            <w:shd w:fill="D9EAF7"/>
          </w:tcPr>
          <w:p>
            <w:pPr>
              <w:spacing w:before="0" w:after="0" w:line="240" w:lineRule="auto"/>
            </w:pPr>
            <w:r>
              <w:rPr>
                <w:b/>
                <w:color w:val="1F4E78"/>
                <w:sz w:val="17"/>
              </w:rPr>
              <w:t>Archive status</w:t>
            </w:r>
          </w:p>
        </w:tc>
        <w:tc>
          <w:tcPr>
            <w:tcW w:type="dxa" w:w="6760"/>
            <w:vAlign w:val="center"/>
            <w:tcMar>
              <w:top w:w="90" w:type="dxa"/>
              <w:start w:w="110" w:type="dxa"/>
              <w:bottom w:w="90" w:type="dxa"/>
              <w:end w:w="110" w:type="dxa"/>
            </w:tcMar>
            <w:shd w:fill="D9EAF7"/>
          </w:tcPr>
          <w:p>
            <w:pPr>
              <w:spacing w:before="0" w:after="0" w:line="240" w:lineRule="auto"/>
            </w:pPr>
            <w:r>
              <w:rPr>
                <w:b/>
                <w:color w:val="1F4E78"/>
                <w:sz w:val="17"/>
              </w:rPr>
              <w:t>Implemented scope</w:t>
            </w:r>
          </w:p>
        </w:tc>
      </w:tr>
      <w:tr>
        <w:tc>
          <w:tcPr>
            <w:tcW w:type="dxa" w:w="950"/>
            <w:vAlign w:val="center"/>
            <w:tcMar>
              <w:top w:w="90" w:type="dxa"/>
              <w:start w:w="110" w:type="dxa"/>
              <w:bottom w:w="90" w:type="dxa"/>
              <w:end w:w="110" w:type="dxa"/>
            </w:tcMar>
          </w:tcPr>
          <w:p>
            <w:pPr>
              <w:spacing w:before="0" w:after="0" w:line="240" w:lineRule="auto"/>
            </w:pPr>
            <w:r>
              <w:rPr>
                <w:sz w:val="17"/>
              </w:rPr>
              <w:t>F1</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Zero-field normalization</w:t>
            </w:r>
          </w:p>
        </w:tc>
      </w:tr>
      <w:tr>
        <w:tc>
          <w:tcPr>
            <w:tcW w:type="dxa" w:w="950"/>
            <w:vAlign w:val="center"/>
            <w:tcMar>
              <w:top w:w="90" w:type="dxa"/>
              <w:start w:w="110" w:type="dxa"/>
              <w:bottom w:w="90" w:type="dxa"/>
              <w:end w:w="110" w:type="dxa"/>
            </w:tcMar>
          </w:tcPr>
          <w:p>
            <w:pPr>
              <w:spacing w:before="0" w:after="0" w:line="240" w:lineRule="auto"/>
            </w:pPr>
            <w:r>
              <w:rPr>
                <w:sz w:val="17"/>
              </w:rPr>
              <w:t>F2</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Power-law energy integration</w:t>
            </w:r>
          </w:p>
        </w:tc>
      </w:tr>
      <w:tr>
        <w:tc>
          <w:tcPr>
            <w:tcW w:type="dxa" w:w="950"/>
            <w:vAlign w:val="center"/>
            <w:tcMar>
              <w:top w:w="90" w:type="dxa"/>
              <w:start w:w="110" w:type="dxa"/>
              <w:bottom w:w="90" w:type="dxa"/>
              <w:end w:w="110" w:type="dxa"/>
            </w:tcMar>
          </w:tcPr>
          <w:p>
            <w:pPr>
              <w:spacing w:before="0" w:after="0" w:line="240" w:lineRule="auto"/>
            </w:pPr>
            <w:r>
              <w:rPr>
                <w:sz w:val="17"/>
              </w:rPr>
              <w:t>F3</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Dipole cutoff-filtered flux</w:t>
            </w:r>
          </w:p>
        </w:tc>
      </w:tr>
      <w:tr>
        <w:tc>
          <w:tcPr>
            <w:tcW w:type="dxa" w:w="950"/>
            <w:vAlign w:val="center"/>
            <w:tcMar>
              <w:top w:w="90" w:type="dxa"/>
              <w:start w:w="110" w:type="dxa"/>
              <w:bottom w:w="90" w:type="dxa"/>
              <w:end w:w="110" w:type="dxa"/>
            </w:tcMar>
          </w:tcPr>
          <w:p>
            <w:pPr>
              <w:spacing w:before="0" w:after="0" w:line="240" w:lineRule="auto"/>
            </w:pPr>
            <w:r>
              <w:rPr>
                <w:sz w:val="17"/>
              </w:rPr>
              <w:t>F4</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Transmission reconstruction closure</w:t>
            </w:r>
          </w:p>
        </w:tc>
      </w:tr>
      <w:tr>
        <w:tc>
          <w:tcPr>
            <w:tcW w:type="dxa" w:w="950"/>
            <w:vAlign w:val="center"/>
            <w:tcMar>
              <w:top w:w="90" w:type="dxa"/>
              <w:start w:w="110" w:type="dxa"/>
              <w:bottom w:w="90" w:type="dxa"/>
              <w:end w:w="110" w:type="dxa"/>
            </w:tcMar>
          </w:tcPr>
          <w:p>
            <w:pPr>
              <w:spacing w:before="0" w:after="0" w:line="240" w:lineRule="auto"/>
            </w:pPr>
            <w:r>
              <w:rPr>
                <w:sz w:val="17"/>
              </w:rPr>
              <w:t>F5</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Exact complementary PAD mapping</w:t>
            </w:r>
          </w:p>
        </w:tc>
      </w:tr>
      <w:tr>
        <w:tc>
          <w:tcPr>
            <w:tcW w:type="dxa" w:w="950"/>
            <w:vAlign w:val="center"/>
            <w:tcMar>
              <w:top w:w="90" w:type="dxa"/>
              <w:start w:w="110" w:type="dxa"/>
              <w:bottom w:w="90" w:type="dxa"/>
              <w:end w:w="110" w:type="dxa"/>
            </w:tcMar>
          </w:tcPr>
          <w:p>
            <w:pPr>
              <w:spacing w:before="0" w:after="0" w:line="240" w:lineRule="auto"/>
            </w:pPr>
            <w:r>
              <w:rPr>
                <w:sz w:val="17"/>
              </w:rPr>
              <w:t>F11</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PAD identity matrix</w:t>
            </w:r>
          </w:p>
        </w:tc>
      </w:tr>
      <w:tr>
        <w:tc>
          <w:tcPr>
            <w:tcW w:type="dxa" w:w="950"/>
            <w:vAlign w:val="center"/>
            <w:tcMar>
              <w:top w:w="90" w:type="dxa"/>
              <w:start w:w="110" w:type="dxa"/>
              <w:bottom w:w="90" w:type="dxa"/>
              <w:end w:w="110" w:type="dxa"/>
            </w:tcMar>
          </w:tcPr>
          <w:p>
            <w:pPr>
              <w:spacing w:before="0" w:after="0" w:line="240" w:lineRule="auto"/>
            </w:pPr>
            <w:r>
              <w:rPr>
                <w:sz w:val="17"/>
              </w:rPr>
              <w:t>F12</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Exact day/night spatial-factor identities</w:t>
            </w:r>
          </w:p>
        </w:tc>
      </w:tr>
      <w:tr>
        <w:tc>
          <w:tcPr>
            <w:tcW w:type="dxa" w:w="950"/>
            <w:vAlign w:val="center"/>
            <w:tcMar>
              <w:top w:w="90" w:type="dxa"/>
              <w:start w:w="110" w:type="dxa"/>
              <w:bottom w:w="90" w:type="dxa"/>
              <w:end w:w="110" w:type="dxa"/>
            </w:tcMar>
          </w:tcPr>
          <w:p>
            <w:pPr>
              <w:spacing w:before="0" w:after="0" w:line="240" w:lineRule="auto"/>
            </w:pPr>
            <w:r>
              <w:rPr>
                <w:sz w:val="17"/>
              </w:rPr>
              <w:t>F15</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Differential-flux-to-density normalization</w:t>
            </w:r>
          </w:p>
        </w:tc>
      </w:tr>
      <w:tr>
        <w:tc>
          <w:tcPr>
            <w:tcW w:type="dxa" w:w="950"/>
            <w:vAlign w:val="center"/>
            <w:tcMar>
              <w:top w:w="90" w:type="dxa"/>
              <w:start w:w="110" w:type="dxa"/>
              <w:bottom w:w="90" w:type="dxa"/>
              <w:end w:w="110" w:type="dxa"/>
            </w:tcMar>
          </w:tcPr>
          <w:p>
            <w:pPr>
              <w:spacing w:before="0" w:after="0" w:line="240" w:lineRule="auto"/>
            </w:pPr>
            <w:r>
              <w:rPr>
                <w:sz w:val="17"/>
              </w:rPr>
              <w:t>F16</w:t>
            </w:r>
          </w:p>
        </w:tc>
        <w:tc>
          <w:tcPr>
            <w:tcW w:type="dxa" w:w="1650"/>
            <w:vAlign w:val="center"/>
            <w:tcMar>
              <w:top w:w="90" w:type="dxa"/>
              <w:start w:w="110" w:type="dxa"/>
              <w:bottom w:w="90" w:type="dxa"/>
              <w:end w:w="110" w:type="dxa"/>
            </w:tcMar>
          </w:tcPr>
          <w:p>
            <w:pPr>
              <w:spacing w:before="0" w:after="0" w:line="240" w:lineRule="auto"/>
            </w:pPr>
            <w:r>
              <w:rPr>
                <w:sz w:val="17"/>
              </w:rPr>
              <w:t>Implemented</w:t>
            </w:r>
          </w:p>
        </w:tc>
        <w:tc>
          <w:tcPr>
            <w:tcW w:type="dxa" w:w="6760"/>
            <w:vAlign w:val="center"/>
            <w:tcMar>
              <w:top w:w="90" w:type="dxa"/>
              <w:start w:w="110" w:type="dxa"/>
              <w:bottom w:w="90" w:type="dxa"/>
              <w:end w:w="110" w:type="dxa"/>
            </w:tcMar>
          </w:tcPr>
          <w:p>
            <w:pPr>
              <w:spacing w:before="0" w:after="0" w:line="240" w:lineRule="auto"/>
            </w:pPr>
            <w:r>
              <w:rPr>
                <w:sz w:val="17"/>
              </w:rPr>
              <w:t>Blocked-access zero-flux regression</w:t>
            </w:r>
          </w:p>
        </w:tc>
      </w:tr>
    </w:tbl>
    <w:p>
      <w:pPr>
        <w:pStyle w:val="Heading2"/>
        <w:keepNext/>
        <w:pageBreakBefore w:val="0"/>
      </w:pPr>
      <w:r>
        <w:t>A.3 Planned descriptions not present in the archive</w:t>
      </w:r>
    </w:p>
    <w:tbl>
      <w:tblPr>
        <w:tblStyle w:val="TableGrid"/>
        <w:tblW w:type="dxa" w:w="9360"/>
        <w:tblLayout w:type="fixed"/>
        <w:tblLook w:firstColumn="1" w:firstRow="1" w:lastColumn="0" w:lastRow="0" w:noHBand="0" w:noVBand="1" w:val="04A0"/>
      </w:tblPr>
      <w:tblGrid>
        <w:gridCol w:w="1800"/>
        <w:gridCol w:w="7560"/>
      </w:tblGrid>
      <w:tr>
        <w:trPr>
          <w:tblHeader w:val="true"/>
        </w:trPr>
        <w:tc>
          <w:tcPr>
            <w:tcW w:type="dxa" w:w="1800"/>
            <w:vAlign w:val="center"/>
            <w:tcMar>
              <w:top w:w="90" w:type="dxa"/>
              <w:start w:w="110" w:type="dxa"/>
              <w:bottom w:w="90" w:type="dxa"/>
              <w:end w:w="110" w:type="dxa"/>
            </w:tcMar>
            <w:shd w:fill="D9EAF7"/>
          </w:tcPr>
          <w:p>
            <w:pPr>
              <w:spacing w:before="0" w:after="0" w:line="240" w:lineRule="auto"/>
            </w:pPr>
            <w:r>
              <w:rPr>
                <w:b/>
                <w:color w:val="1F4E78"/>
                <w:sz w:val="17"/>
              </w:rPr>
              <w:t>Class</w:t>
            </w:r>
          </w:p>
        </w:tc>
        <w:tc>
          <w:tcPr>
            <w:tcW w:type="dxa" w:w="7560"/>
            <w:vAlign w:val="center"/>
            <w:tcMar>
              <w:top w:w="90" w:type="dxa"/>
              <w:start w:w="110" w:type="dxa"/>
              <w:bottom w:w="90" w:type="dxa"/>
              <w:end w:w="110" w:type="dxa"/>
            </w:tcMar>
            <w:shd w:fill="D9EAF7"/>
          </w:tcPr>
          <w:p>
            <w:pPr>
              <w:spacing w:before="0" w:after="0" w:line="240" w:lineRule="auto"/>
            </w:pPr>
            <w:r>
              <w:rPr>
                <w:b/>
                <w:color w:val="1F4E78"/>
                <w:sz w:val="17"/>
              </w:rPr>
              <w:t>Descriptions retained as validation plans</w:t>
            </w:r>
          </w:p>
        </w:tc>
      </w:tr>
      <w:tr>
        <w:tc>
          <w:tcPr>
            <w:tcW w:type="dxa" w:w="1800"/>
            <w:vAlign w:val="center"/>
            <w:tcMar>
              <w:top w:w="90" w:type="dxa"/>
              <w:start w:w="110" w:type="dxa"/>
              <w:bottom w:w="90" w:type="dxa"/>
              <w:end w:w="110" w:type="dxa"/>
            </w:tcMar>
          </w:tcPr>
          <w:p>
            <w:pPr>
              <w:spacing w:before="0" w:after="0" w:line="240" w:lineRule="auto"/>
            </w:pPr>
            <w:r>
              <w:rPr>
                <w:sz w:val="17"/>
              </w:rPr>
              <w:t>Cutoff</w:t>
            </w:r>
          </w:p>
        </w:tc>
        <w:tc>
          <w:tcPr>
            <w:tcW w:type="dxa" w:w="7560"/>
            <w:vAlign w:val="center"/>
            <w:tcMar>
              <w:top w:w="90" w:type="dxa"/>
              <w:start w:w="110" w:type="dxa"/>
              <w:bottom w:w="90" w:type="dxa"/>
              <w:end w:w="110" w:type="dxa"/>
            </w:tcMar>
          </w:tcPr>
          <w:p>
            <w:pPr>
              <w:spacing w:before="0" w:after="0" w:line="240" w:lineRule="auto"/>
            </w:pPr>
            <w:r>
              <w:rPr>
                <w:sz w:val="17"/>
              </w:rPr>
              <w:t>C8, C13, C15, C16, and C-PARALLEL</w:t>
            </w:r>
          </w:p>
        </w:tc>
      </w:tr>
      <w:tr>
        <w:tc>
          <w:tcPr>
            <w:tcW w:type="dxa" w:w="1800"/>
            <w:vAlign w:val="center"/>
            <w:tcMar>
              <w:top w:w="90" w:type="dxa"/>
              <w:start w:w="110" w:type="dxa"/>
              <w:bottom w:w="90" w:type="dxa"/>
              <w:end w:w="110" w:type="dxa"/>
            </w:tcMar>
          </w:tcPr>
          <w:p>
            <w:pPr>
              <w:spacing w:before="0" w:after="0" w:line="240" w:lineRule="auto"/>
            </w:pPr>
            <w:r>
              <w:rPr>
                <w:sz w:val="17"/>
              </w:rPr>
              <w:t>Density/flux</w:t>
            </w:r>
          </w:p>
        </w:tc>
        <w:tc>
          <w:tcPr>
            <w:tcW w:type="dxa" w:w="7560"/>
            <w:vAlign w:val="center"/>
            <w:tcMar>
              <w:top w:w="90" w:type="dxa"/>
              <w:start w:w="110" w:type="dxa"/>
              <w:bottom w:w="90" w:type="dxa"/>
              <w:end w:w="110" w:type="dxa"/>
            </w:tcMar>
          </w:tcPr>
          <w:p>
            <w:pPr>
              <w:spacing w:before="0" w:after="0" w:line="240" w:lineRule="auto"/>
            </w:pPr>
            <w:r>
              <w:rPr>
                <w:sz w:val="17"/>
              </w:rPr>
              <w:t>F6, F7, F8, F9, F10, F13, F14, and F17</w:t>
            </w:r>
          </w:p>
        </w:tc>
      </w:tr>
    </w:tbl>
    <w:p>
      <w:r>
        <w:t>These sections remain useful specifications, but they must not be reported as executed or packaged tests until a directory, parser-valid input, runner, reference data (when required), and result contract are added.</w:t>
      </w:r>
    </w:p>
    <w:p>
      <w:pPr>
        <w:pStyle w:val="Heading2"/>
        <w:keepNext/>
        <w:pageBreakBefore w:val="0"/>
      </w:pPr>
      <w:r>
        <w:t>A.4 Verification and packaging notes</w:t>
      </w:r>
    </w:p>
    <w:p>
      <w:pPr>
        <w:pStyle w:val="ListBullet"/>
        <w:spacing w:after="60"/>
      </w:pPr>
      <w:r>
        <w:t>The supplied archive contains 24 test directories: 15 C-series directories and 9 F-series directories.</w:t>
      </w:r>
    </w:p>
    <w:p>
      <w:pPr>
        <w:pStyle w:val="ListBullet"/>
        <w:spacing w:after="60"/>
      </w:pPr>
      <w:r>
        <w:t>All included Python files compile successfully with Python 3.12 in this workspace.</w:t>
      </w:r>
    </w:p>
    <w:p>
      <w:pPr>
        <w:pStyle w:val="ListBullet"/>
        <w:spacing w:after="60"/>
      </w:pPr>
      <w:r>
        <w:t>The C10 offline unit suite contains 16 tests, not 24; all 16 passed during this reconciliation.</w:t>
      </w:r>
    </w:p>
    <w:p>
      <w:pPr>
        <w:pStyle w:val="ListBullet"/>
        <w:spacing w:after="60"/>
      </w:pPr>
      <w:r>
        <w:t>C6, C7, C9, and C10 bundled reference/driver validation paths passed, and the C18 self-test passed.</w:t>
      </w:r>
    </w:p>
    <w:p>
      <w:pPr>
        <w:pStyle w:val="ListBullet"/>
        <w:spacing w:after="60"/>
      </w:pPr>
      <w:r>
        <w:t>C19's standalone self-test imports the full repository source file srcEarth/util/amps_param_parser.cpp. That file is absent from the test-only tar, so the extracted snapshot alone is not a self-contained C19 self-test package. Run C19 inside the full AMPS source tree.</w:t>
      </w:r>
    </w:p>
    <w:p>
      <w:pPr>
        <w:pStyle w:val="ListBullet"/>
        <w:spacing w:after="60"/>
      </w:pPr>
      <w:r>
        <w:t>Physics calculations were not executed during document reconciliation because the archive does not include a built AMPS executable. A validation result must distinguish packaging/static checks from actual trajectory execution.</w:t>
      </w:r>
    </w:p>
    <w:p>
      <w:pPr>
        <w:pStyle w:val="Heading2"/>
        <w:keepNext/>
        <w:pageBreakBefore w:val="0"/>
      </w:pPr>
      <w:r>
        <w:t>A.5 Required products for an executed test</w:t>
      </w:r>
    </w:p>
    <w:p>
      <w:pPr>
        <w:pStyle w:val="ListBullet"/>
        <w:spacing w:after="60"/>
      </w:pPr>
      <w:r>
        <w:t>Exact input file and generated input, complete command line, executable/source revision, MPI/thread/scheduler settings, and runtime log.</w:t>
      </w:r>
    </w:p>
    <w:p>
      <w:pPr>
        <w:pStyle w:val="ListBullet"/>
        <w:spacing w:after="60"/>
      </w:pPr>
      <w:r>
        <w:t>Machine-readable summary/result files and the reference data actually used, including hashes or provenance when the runner provides them.</w:t>
      </w:r>
    </w:p>
    <w:p>
      <w:pPr>
        <w:pStyle w:val="ListBullet"/>
        <w:spacing w:after="60"/>
      </w:pPr>
      <w:r>
        <w:t>Numerical convergence evidence when the test definition makes convergence a gate; otherwise label convergence NOT_TESTED rather than implying it passed.</w:t>
      </w:r>
    </w:p>
    <w:p>
      <w:pPr>
        <w:pStyle w:val="ListBullet"/>
        <w:spacing w:after="60"/>
      </w:pPr>
      <w:r>
        <w:t>Plots generated from the same accepted data population as the metrics, with diagnostic-only values visibly separated from accepted science values.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v8</dc:title>
  <dc:subject>Reconciled validation descriptions for all-test(1).tar</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