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jc w:val="left"/>
      </w:pPr>
      <w:r>
        <w:t>srcSEP Physics Validation Campaign</w:t>
      </w:r>
    </w:p>
    <w:p>
      <w:pPr>
        <w:pStyle w:val="Subtitle"/>
        <w:jc w:val="left"/>
      </w:pPr>
      <w:r>
        <w:t>Field Line Solar Energetic Particle Transport</w:t>
      </w:r>
    </w:p>
    <w:p>
      <w:pPr>
        <w:spacing w:before="680" w:after="280"/>
      </w:pPr>
      <w:r>
        <w:rPr>
          <w:b/>
          <w:color w:val="17365D"/>
          <w:sz w:val="24"/>
        </w:rPr>
        <w:t>Implementation ready validation specification</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Purpose</w:t>
            </w:r>
          </w:p>
        </w:tc>
        <w:tc>
          <w:tcPr>
            <w:tcW w:type="dxa" w:w="7891"/>
            <w:vAlign w:val="top"/>
            <w:shd w:fill="FFFFFF"/>
            <w:tcMar>
              <w:top w:w="90" w:type="dxa"/>
              <w:start w:w="100" w:type="dxa"/>
              <w:bottom w:w="90" w:type="dxa"/>
              <w:end w:w="100" w:type="dxa"/>
            </w:tcMar>
          </w:tcPr>
          <w:p>
            <w:pPr>
              <w:spacing w:after="0"/>
            </w:pPr>
            <w:r>
              <w:t>Define reproducible analytical, numerical, cross-model, and observational validation gates for srcSEP.</w:t>
            </w:r>
          </w:p>
        </w:tc>
      </w:tr>
      <w:tr>
        <w:tc>
          <w:tcPr>
            <w:tcW w:type="dxa" w:w="2045"/>
            <w:vAlign w:val="top"/>
            <w:shd w:fill="EEF1F4"/>
            <w:tcMar>
              <w:top w:w="90" w:type="dxa"/>
              <w:start w:w="100" w:type="dxa"/>
              <w:bottom w:w="90" w:type="dxa"/>
              <w:end w:w="100" w:type="dxa"/>
            </w:tcMar>
          </w:tcPr>
          <w:p>
            <w:pPr>
              <w:spacing w:after="0"/>
            </w:pPr>
            <w:r>
              <w:rPr>
                <w:b/>
                <w:color w:val="17365D"/>
              </w:rPr>
              <w:t>Version</w:t>
            </w:r>
          </w:p>
        </w:tc>
        <w:tc>
          <w:tcPr>
            <w:tcW w:type="dxa" w:w="7891"/>
            <w:vAlign w:val="top"/>
            <w:shd w:fill="FFFFFF"/>
            <w:tcMar>
              <w:top w:w="90" w:type="dxa"/>
              <w:start w:w="100" w:type="dxa"/>
              <w:bottom w:w="90" w:type="dxa"/>
              <w:end w:w="100" w:type="dxa"/>
            </w:tcMar>
          </w:tcPr>
          <w:p>
            <w:pPr>
              <w:spacing w:after="0"/>
            </w:pPr>
            <w:r>
              <w:t>1.1</w:t>
            </w:r>
          </w:p>
        </w:tc>
      </w:tr>
      <w:tr>
        <w:tc>
          <w:tcPr>
            <w:tcW w:type="dxa" w:w="2045"/>
            <w:vAlign w:val="top"/>
            <w:shd w:fill="D9EAF7"/>
            <w:tcMar>
              <w:top w:w="90" w:type="dxa"/>
              <w:start w:w="100" w:type="dxa"/>
              <w:bottom w:w="90" w:type="dxa"/>
              <w:end w:w="100" w:type="dxa"/>
            </w:tcMar>
          </w:tcPr>
          <w:p>
            <w:pPr>
              <w:spacing w:after="0"/>
            </w:pPr>
            <w:r>
              <w:rPr>
                <w:b/>
                <w:color w:val="17365D"/>
              </w:rPr>
              <w:t>Prepared</w:t>
            </w:r>
          </w:p>
        </w:tc>
        <w:tc>
          <w:tcPr>
            <w:tcW w:type="dxa" w:w="7891"/>
            <w:vAlign w:val="top"/>
            <w:shd w:fill="FFFFFF"/>
            <w:tcMar>
              <w:top w:w="90" w:type="dxa"/>
              <w:start w:w="100" w:type="dxa"/>
              <w:bottom w:w="90" w:type="dxa"/>
              <w:end w:w="100" w:type="dxa"/>
            </w:tcMar>
          </w:tcPr>
          <w:p>
            <w:pPr>
              <w:spacing w:after="0"/>
            </w:pPr>
            <w:r>
              <w:t>2026-09-15</w:t>
            </w:r>
          </w:p>
        </w:tc>
      </w:tr>
      <w:tr>
        <w:tc>
          <w:tcPr>
            <w:tcW w:type="dxa" w:w="2045"/>
            <w:vAlign w:val="top"/>
            <w:shd w:fill="EEF1F4"/>
            <w:tcMar>
              <w:top w:w="90" w:type="dxa"/>
              <w:start w:w="100" w:type="dxa"/>
              <w:bottom w:w="90" w:type="dxa"/>
              <w:end w:w="100" w:type="dxa"/>
            </w:tcMar>
          </w:tcPr>
          <w:p>
            <w:pPr>
              <w:spacing w:after="0"/>
            </w:pPr>
            <w:r>
              <w:rPr>
                <w:b/>
                <w:color w:val="17365D"/>
              </w:rPr>
              <w:t>Primary scope</w:t>
            </w:r>
          </w:p>
        </w:tc>
        <w:tc>
          <w:tcPr>
            <w:tcW w:type="dxa" w:w="7891"/>
            <w:vAlign w:val="top"/>
            <w:shd w:fill="FFFFFF"/>
            <w:tcMar>
              <w:top w:w="90" w:type="dxa"/>
              <w:start w:w="100" w:type="dxa"/>
              <w:bottom w:w="90" w:type="dxa"/>
              <w:end w:w="100" w:type="dxa"/>
            </w:tcMar>
          </w:tcPr>
          <w:p>
            <w:pPr>
              <w:spacing w:after="0"/>
            </w:pPr>
            <w:r>
              <w:t>Gyrotropic SEP transport along evolving heliospheric magnetic field lines, including pitch-angle scattering, focusing, adiabatic energy change, shocks, and resonant turbulence.</w:t>
            </w:r>
          </w:p>
        </w:tc>
      </w:tr>
      <w:tr>
        <w:tc>
          <w:tcPr>
            <w:tcW w:type="dxa" w:w="2045"/>
            <w:vAlign w:val="top"/>
            <w:shd w:fill="D9EAF7"/>
            <w:tcMar>
              <w:top w:w="90" w:type="dxa"/>
              <w:start w:w="100" w:type="dxa"/>
              <w:bottom w:w="90" w:type="dxa"/>
              <w:end w:w="100" w:type="dxa"/>
            </w:tcMar>
          </w:tcPr>
          <w:p>
            <w:pPr>
              <w:spacing w:after="0"/>
            </w:pPr>
            <w:r>
              <w:rPr>
                <w:b/>
                <w:color w:val="17365D"/>
              </w:rPr>
              <w:t>Primary users</w:t>
            </w:r>
          </w:p>
        </w:tc>
        <w:tc>
          <w:tcPr>
            <w:tcW w:type="dxa" w:w="7891"/>
            <w:vAlign w:val="top"/>
            <w:shd w:fill="FFFFFF"/>
            <w:tcMar>
              <w:top w:w="90" w:type="dxa"/>
              <w:start w:w="100" w:type="dxa"/>
              <w:bottom w:w="90" w:type="dxa"/>
              <w:end w:w="100" w:type="dxa"/>
            </w:tcMar>
          </w:tcPr>
          <w:p>
            <w:pPr>
              <w:spacing w:after="0"/>
            </w:pPr>
            <w:r>
              <w:t>srcSEP developers, physics owners, validation analysts, reviewers, and release managers.</w:t>
            </w:r>
          </w:p>
        </w:tc>
      </w:tr>
    </w:tbl>
    <w:p>
      <w:pPr>
        <w:spacing w:before="440"/>
      </w:pPr>
      <w:r>
        <w:rPr>
          <w:b/>
        </w:rPr>
        <w:t xml:space="preserve">Status  </w:t>
      </w:r>
      <w:r>
        <w:t>Actionable baseline. Numerical thresholds labeled provisional must be frozen after the pilot phase and before held-out scoring.</w:t>
      </w:r>
    </w:p>
    <w:p>
      <w:r>
        <w:br w:type="page"/>
      </w:r>
    </w:p>
    <w:p>
      <w:pPr>
        <w:pStyle w:val="Heading1"/>
      </w:pPr>
      <w:r>
        <w:t>Executive summary</w:t>
      </w:r>
    </w:p>
    <w:p>
      <w:r>
        <w:t>This plan converts srcSEP validation into a staged evidence chain. Analytical cases first prove individual operators and invariants. Manufactured cases then verify operator coupling and moving geometry. Independent solvers and M-FLAMPA provide numerical and community context. Finally, instrument-aware event studies and locked ensemble campaigns test scientific usefulness without confusing input uncertainty or out-of-scope cross-field transport with code correctness. Each individual case has a sequential campaign number and a stable registry ID so it can be cited unambiguously in issues, reviews, and result files.</w:t>
      </w:r>
    </w:p>
    <w:p>
      <w:pPr>
        <w:pStyle w:val="Heading2"/>
      </w:pPr>
      <w:r>
        <w:t>Decision policy</w:t>
      </w:r>
    </w:p>
    <w:p>
      <w:pPr>
        <w:pStyle w:val="ListBullet"/>
        <w:ind w:left="317" w:hanging="173"/>
      </w:pPr>
      <w:r>
        <w:t>A failed analytical or conservation gate blocks merge or release because the expected answer is known and the test isolates srcSEP behavior.</w:t>
      </w:r>
    </w:p>
    <w:p>
      <w:pPr>
        <w:pStyle w:val="ListBullet"/>
        <w:ind w:left="317" w:hanging="173"/>
      </w:pPr>
      <w:r>
        <w:t>A cross-model discrepancy blocks release only when supposedly equivalent equations and inputs cannot be reconciled; documented differences in continuum assumptions remain scientific findings.</w:t>
      </w:r>
    </w:p>
    <w:p>
      <w:pPr>
        <w:pStyle w:val="ListBullet"/>
        <w:ind w:left="317" w:hanging="173"/>
      </w:pPr>
      <w:r>
        <w:t>An observational miss never overrides a failed code-verification gate. It triggers the failure taxonomy: data/response, source/injection, connection/background, transport coefficient, missing physics, or numerical error.</w:t>
      </w:r>
    </w:p>
    <w:p>
      <w:pPr>
        <w:pStyle w:val="ListBullet"/>
        <w:ind w:left="317" w:hanging="173"/>
      </w:pPr>
      <w:r>
        <w:t>Diagnostic stress cases expose scope limitations. They must not be converted into apparent passes by event-specific tuning.</w:t>
      </w:r>
    </w:p>
    <w:p>
      <w:pPr>
        <w:pStyle w:val="ListBullet"/>
        <w:ind w:left="317" w:hanging="173"/>
      </w:pPr>
      <w:r>
        <w:t>Calibration, model selection, held-out evaluation, and prospective evaluation use separate event partitions and immutable manifests.</w:t>
      </w:r>
    </w:p>
    <w:p>
      <w:pPr>
        <w:pStyle w:val="Heading2"/>
      </w:pPr>
      <w:r>
        <w:t>Campaign deliverables</w:t>
      </w:r>
    </w:p>
    <w:p>
      <w:pPr>
        <w:pStyle w:val="ListBullet"/>
        <w:ind w:left="317" w:hanging="173"/>
      </w:pPr>
      <w:r>
        <w:t>A registry entry and machine-readable configuration for every case ID.</w:t>
      </w:r>
    </w:p>
    <w:p>
      <w:pPr>
        <w:pStyle w:val="ListBullet"/>
        <w:ind w:left="317" w:hanging="173"/>
      </w:pPr>
      <w:r>
        <w:t>A one-command runner supporting one case, a tag, a group, or the entire campaign.</w:t>
      </w:r>
    </w:p>
    <w:p>
      <w:pPr>
        <w:pStyle w:val="ListBullet"/>
        <w:ind w:left="317" w:hanging="173"/>
      </w:pPr>
      <w:r>
        <w:t>PNG and EPS model–reference figures for every analytical or observational comparison, plus JSON/CSV metrics.</w:t>
      </w:r>
    </w:p>
    <w:p>
      <w:pPr>
        <w:pStyle w:val="ListBullet"/>
        <w:ind w:left="317" w:hanging="173"/>
      </w:pPr>
      <w:r>
        <w:t>Immutable raw-data bundles or scripted downloads, checksums, licenses/terms, release notes, and a transformation ledger.</w:t>
      </w:r>
    </w:p>
    <w:p>
      <w:pPr>
        <w:pStyle w:val="ListBullet"/>
        <w:ind w:left="317" w:hanging="173"/>
      </w:pPr>
      <w:r>
        <w:t>A release scorecard that distinguishes pass, fail, diagnostic, skipped-with-reason, and input-limited outcomes.</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A  Analytical component verification</w:t>
            </w:r>
          </w:p>
        </w:tc>
        <w:tc>
          <w:tcPr>
            <w:tcW w:type="dxa" w:w="7891"/>
            <w:vAlign w:val="top"/>
            <w:shd w:fill="FFFFFF"/>
            <w:tcMar>
              <w:top w:w="90" w:type="dxa"/>
              <w:start w:w="100" w:type="dxa"/>
              <w:bottom w:w="90" w:type="dxa"/>
              <w:end w:w="100" w:type="dxa"/>
            </w:tcMar>
          </w:tcPr>
          <w:p>
            <w:pPr>
              <w:spacing w:after="0"/>
            </w:pPr>
            <w:r>
              <w:t>Strict, inexpensive gates that isolate one mathematical operator or invariant.  Tests 01–12; registry IDs CV01–CV12.</w:t>
            </w:r>
          </w:p>
        </w:tc>
      </w:tr>
      <w:tr>
        <w:tc>
          <w:tcPr>
            <w:tcW w:type="dxa" w:w="2045"/>
            <w:vAlign w:val="top"/>
            <w:shd w:fill="EEF1F4"/>
            <w:tcMar>
              <w:top w:w="90" w:type="dxa"/>
              <w:start w:w="100" w:type="dxa"/>
              <w:bottom w:w="90" w:type="dxa"/>
              <w:end w:w="100" w:type="dxa"/>
            </w:tcMar>
          </w:tcPr>
          <w:p>
            <w:pPr>
              <w:spacing w:after="0"/>
            </w:pPr>
            <w:r>
              <w:rPr>
                <w:b/>
                <w:color w:val="17365D"/>
              </w:rPr>
              <w:t>B  Integrated manufactured verification</w:t>
            </w:r>
          </w:p>
        </w:tc>
        <w:tc>
          <w:tcPr>
            <w:tcW w:type="dxa" w:w="7891"/>
            <w:vAlign w:val="top"/>
            <w:shd w:fill="FFFFFF"/>
            <w:tcMar>
              <w:top w:w="90" w:type="dxa"/>
              <w:start w:w="100" w:type="dxa"/>
              <w:bottom w:w="90" w:type="dxa"/>
              <w:end w:w="100" w:type="dxa"/>
            </w:tcMar>
          </w:tcPr>
          <w:p>
            <w:pPr>
              <w:spacing w:after="0"/>
            </w:pPr>
            <w:r>
              <w:t>Controlled combinations that verify operator coupling, geometry, moving meshes, shocks, and nonlinear feedback.  Tests 13–18; registry IDs IV01–IV06.</w:t>
            </w:r>
          </w:p>
        </w:tc>
      </w:tr>
      <w:tr>
        <w:tc>
          <w:tcPr>
            <w:tcW w:type="dxa" w:w="2045"/>
            <w:vAlign w:val="top"/>
            <w:shd w:fill="D9EAF7"/>
            <w:tcMar>
              <w:top w:w="90" w:type="dxa"/>
              <w:start w:w="100" w:type="dxa"/>
              <w:bottom w:w="90" w:type="dxa"/>
              <w:end w:w="100" w:type="dxa"/>
            </w:tcMar>
          </w:tcPr>
          <w:p>
            <w:pPr>
              <w:spacing w:after="0"/>
            </w:pPr>
            <w:r>
              <w:rPr>
                <w:b/>
                <w:color w:val="17365D"/>
              </w:rPr>
              <w:t>C  Cross-model validation</w:t>
            </w:r>
          </w:p>
        </w:tc>
        <w:tc>
          <w:tcPr>
            <w:tcW w:type="dxa" w:w="7891"/>
            <w:vAlign w:val="top"/>
            <w:shd w:fill="FFFFFF"/>
            <w:tcMar>
              <w:top w:w="90" w:type="dxa"/>
              <w:start w:w="100" w:type="dxa"/>
              <w:bottom w:w="90" w:type="dxa"/>
              <w:end w:w="100" w:type="dxa"/>
            </w:tcMar>
          </w:tcPr>
          <w:p>
            <w:pPr>
              <w:spacing w:after="0"/>
            </w:pPr>
            <w:r>
              <w:t>Independent numerical and community-model comparisons at increasing realism.  Tests 19–21; registry IDs XM01–XM03.</w:t>
            </w:r>
          </w:p>
        </w:tc>
      </w:tr>
      <w:tr>
        <w:tc>
          <w:tcPr>
            <w:tcW w:type="dxa" w:w="2045"/>
            <w:vAlign w:val="top"/>
            <w:shd w:fill="EEF1F4"/>
            <w:tcMar>
              <w:top w:w="90" w:type="dxa"/>
              <w:start w:w="100" w:type="dxa"/>
              <w:bottom w:w="90" w:type="dxa"/>
              <w:end w:w="100" w:type="dxa"/>
            </w:tcMar>
          </w:tcPr>
          <w:p>
            <w:pPr>
              <w:spacing w:after="0"/>
            </w:pPr>
            <w:r>
              <w:rPr>
                <w:b/>
                <w:color w:val="17365D"/>
              </w:rPr>
              <w:t>D  Observational validation</w:t>
            </w:r>
          </w:p>
        </w:tc>
        <w:tc>
          <w:tcPr>
            <w:tcW w:type="dxa" w:w="7891"/>
            <w:vAlign w:val="top"/>
            <w:shd w:fill="FFFFFF"/>
            <w:tcMar>
              <w:top w:w="90" w:type="dxa"/>
              <w:start w:w="100" w:type="dxa"/>
              <w:bottom w:w="90" w:type="dxa"/>
              <w:end w:w="100" w:type="dxa"/>
            </w:tcMar>
          </w:tcPr>
          <w:p>
            <w:pPr>
              <w:spacing w:after="0"/>
            </w:pPr>
            <w:r>
              <w:t>Event-specific tests with immutable data provenance, instrument-aware processing, and explicit model-scope classification.  Tests 22–26; registry IDs OV01–OV05.</w:t>
            </w:r>
          </w:p>
        </w:tc>
      </w:tr>
      <w:tr>
        <w:tc>
          <w:tcPr>
            <w:tcW w:type="dxa" w:w="2045"/>
            <w:vAlign w:val="top"/>
            <w:shd w:fill="D9EAF7"/>
            <w:tcMar>
              <w:top w:w="90" w:type="dxa"/>
              <w:start w:w="100" w:type="dxa"/>
              <w:bottom w:w="90" w:type="dxa"/>
              <w:end w:w="100" w:type="dxa"/>
            </w:tcMar>
          </w:tcPr>
          <w:p>
            <w:pPr>
              <w:spacing w:after="0"/>
            </w:pPr>
            <w:r>
              <w:rPr>
                <w:b/>
                <w:color w:val="17365D"/>
              </w:rPr>
              <w:t>E  Campaign-level evidence</w:t>
            </w:r>
          </w:p>
        </w:tc>
        <w:tc>
          <w:tcPr>
            <w:tcW w:type="dxa" w:w="7891"/>
            <w:vAlign w:val="top"/>
            <w:shd w:fill="FFFFFF"/>
            <w:tcMar>
              <w:top w:w="90" w:type="dxa"/>
              <w:start w:w="100" w:type="dxa"/>
              <w:bottom w:w="90" w:type="dxa"/>
              <w:end w:w="100" w:type="dxa"/>
            </w:tcMar>
          </w:tcPr>
          <w:p>
            <w:pPr>
              <w:spacing w:after="0"/>
            </w:pPr>
            <w:r>
              <w:t>Ensemble calibration, identifiability, held-out scoring, and prospective validation.  Tests 27–28; registry IDs EV01–EV02.</w:t>
            </w:r>
          </w:p>
        </w:tc>
      </w:tr>
      <w:tr>
        <w:tc>
          <w:tcPr>
            <w:tcW w:type="dxa" w:w="2045"/>
            <w:vAlign w:val="top"/>
            <w:shd w:fill="EEF1F4"/>
            <w:tcMar>
              <w:top w:w="90" w:type="dxa"/>
              <w:start w:w="100" w:type="dxa"/>
              <w:bottom w:w="90" w:type="dxa"/>
              <w:end w:w="100" w:type="dxa"/>
            </w:tcMar>
          </w:tcPr>
          <w:p>
            <w:pPr>
              <w:spacing w:after="0"/>
            </w:pPr>
            <w:r>
              <w:rPr>
                <w:b/>
                <w:color w:val="17365D"/>
              </w:rPr>
              <w:t>F  Standard data and preprocessing pipeline</w:t>
            </w:r>
          </w:p>
        </w:tc>
        <w:tc>
          <w:tcPr>
            <w:tcW w:type="dxa" w:w="7891"/>
            <w:vAlign w:val="top"/>
            <w:shd w:fill="FFFFFF"/>
            <w:tcMar>
              <w:top w:w="90" w:type="dxa"/>
              <w:start w:w="100" w:type="dxa"/>
              <w:bottom w:w="90" w:type="dxa"/>
              <w:end w:w="100" w:type="dxa"/>
            </w:tcMar>
          </w:tcPr>
          <w:p>
            <w:pPr>
              <w:spacing w:after="0"/>
            </w:pPr>
            <w:r>
              <w:t>Common acquisition, quality, harmonization, feature-extraction, and provenance workflow.</w:t>
            </w:r>
          </w:p>
        </w:tc>
      </w:tr>
      <w:tr>
        <w:tc>
          <w:tcPr>
            <w:tcW w:type="dxa" w:w="2045"/>
            <w:vAlign w:val="top"/>
            <w:shd w:fill="D9EAF7"/>
            <w:tcMar>
              <w:top w:w="90" w:type="dxa"/>
              <w:start w:w="100" w:type="dxa"/>
              <w:bottom w:w="90" w:type="dxa"/>
              <w:end w:w="100" w:type="dxa"/>
            </w:tcMar>
          </w:tcPr>
          <w:p>
            <w:pPr>
              <w:spacing w:after="0"/>
            </w:pPr>
            <w:r>
              <w:rPr>
                <w:b/>
                <w:color w:val="17365D"/>
              </w:rPr>
              <w:t>G  Metrics and acceptance methodology</w:t>
            </w:r>
          </w:p>
        </w:tc>
        <w:tc>
          <w:tcPr>
            <w:tcW w:type="dxa" w:w="7891"/>
            <w:vAlign w:val="top"/>
            <w:shd w:fill="FFFFFF"/>
            <w:tcMar>
              <w:top w:w="90" w:type="dxa"/>
              <w:start w:w="100" w:type="dxa"/>
              <w:bottom w:w="90" w:type="dxa"/>
              <w:end w:w="100" w:type="dxa"/>
            </w:tcMar>
          </w:tcPr>
          <w:p>
            <w:pPr>
              <w:spacing w:after="0"/>
            </w:pPr>
            <w:r>
              <w:t>Deterministic, stochastic, observational, and uncertainty-aware scoring rules.</w:t>
            </w:r>
          </w:p>
        </w:tc>
      </w:tr>
      <w:tr>
        <w:tc>
          <w:tcPr>
            <w:tcW w:type="dxa" w:w="2045"/>
            <w:vAlign w:val="top"/>
            <w:shd w:fill="EEF1F4"/>
            <w:tcMar>
              <w:top w:w="90" w:type="dxa"/>
              <w:start w:w="100" w:type="dxa"/>
              <w:bottom w:w="90" w:type="dxa"/>
              <w:end w:w="100" w:type="dxa"/>
            </w:tcMar>
          </w:tcPr>
          <w:p>
            <w:pPr>
              <w:spacing w:after="0"/>
            </w:pPr>
            <w:r>
              <w:rPr>
                <w:b/>
                <w:color w:val="17365D"/>
              </w:rPr>
              <w:t>H  Software architecture and file contracts</w:t>
            </w:r>
          </w:p>
        </w:tc>
        <w:tc>
          <w:tcPr>
            <w:tcW w:type="dxa" w:w="7891"/>
            <w:vAlign w:val="top"/>
            <w:shd w:fill="FFFFFF"/>
            <w:tcMar>
              <w:top w:w="90" w:type="dxa"/>
              <w:start w:w="100" w:type="dxa"/>
              <w:bottom w:w="90" w:type="dxa"/>
              <w:end w:w="100" w:type="dxa"/>
            </w:tcMar>
          </w:tcPr>
          <w:p>
            <w:pPr>
              <w:spacing w:after="0"/>
            </w:pPr>
            <w:r>
              <w:t>Runner interface, registry, schemas, artifact paths, and provenance fields.</w:t>
            </w:r>
          </w:p>
        </w:tc>
      </w:tr>
      <w:tr>
        <w:tc>
          <w:tcPr>
            <w:tcW w:type="dxa" w:w="2045"/>
            <w:vAlign w:val="top"/>
            <w:shd w:fill="D9EAF7"/>
            <w:tcMar>
              <w:top w:w="90" w:type="dxa"/>
              <w:start w:w="100" w:type="dxa"/>
              <w:bottom w:w="90" w:type="dxa"/>
              <w:end w:w="100" w:type="dxa"/>
            </w:tcMar>
          </w:tcPr>
          <w:p>
            <w:pPr>
              <w:spacing w:after="0"/>
            </w:pPr>
            <w:r>
              <w:rPr>
                <w:b/>
                <w:color w:val="17365D"/>
              </w:rPr>
              <w:t>I  Implementation sequence and ownership</w:t>
            </w:r>
          </w:p>
        </w:tc>
        <w:tc>
          <w:tcPr>
            <w:tcW w:type="dxa" w:w="7891"/>
            <w:vAlign w:val="top"/>
            <w:shd w:fill="FFFFFF"/>
            <w:tcMar>
              <w:top w:w="90" w:type="dxa"/>
              <w:start w:w="100" w:type="dxa"/>
              <w:bottom w:w="90" w:type="dxa"/>
              <w:end w:w="100" w:type="dxa"/>
            </w:tcMar>
          </w:tcPr>
          <w:p>
            <w:pPr>
              <w:spacing w:after="0"/>
            </w:pPr>
            <w:r>
              <w:t>Phases, accountable roles, definition of done, and immediate backlog.</w:t>
            </w:r>
          </w:p>
        </w:tc>
      </w:tr>
      <w:tr>
        <w:tc>
          <w:tcPr>
            <w:tcW w:type="dxa" w:w="2045"/>
            <w:vAlign w:val="top"/>
            <w:shd w:fill="EEF1F4"/>
            <w:tcMar>
              <w:top w:w="90" w:type="dxa"/>
              <w:start w:w="100" w:type="dxa"/>
              <w:bottom w:w="90" w:type="dxa"/>
              <w:end w:w="100" w:type="dxa"/>
            </w:tcMar>
          </w:tcPr>
          <w:p>
            <w:pPr>
              <w:spacing w:after="0"/>
            </w:pPr>
            <w:r>
              <w:rPr>
                <w:b/>
                <w:color w:val="17365D"/>
              </w:rPr>
              <w:t>J  Data-source directory and references</w:t>
            </w:r>
          </w:p>
        </w:tc>
        <w:tc>
          <w:tcPr>
            <w:tcW w:type="dxa" w:w="7891"/>
            <w:vAlign w:val="top"/>
            <w:shd w:fill="FFFFFF"/>
            <w:tcMar>
              <w:top w:w="90" w:type="dxa"/>
              <w:start w:w="100" w:type="dxa"/>
              <w:bottom w:w="90" w:type="dxa"/>
              <w:end w:w="100" w:type="dxa"/>
            </w:tcMar>
          </w:tcPr>
          <w:p>
            <w:pPr>
              <w:spacing w:after="0"/>
            </w:pPr>
            <w:r>
              <w:t>Official mission archives, community comparators, event context, and source-selection rules.</w:t>
            </w:r>
          </w:p>
        </w:tc>
      </w:tr>
    </w:tbl>
    <w:p>
      <w:r>
        <w:br w:type="page"/>
      </w:r>
    </w:p>
    <w:p>
      <w:pPr>
        <w:pStyle w:val="Heading1"/>
      </w:pPr>
      <w:r>
        <w:t>Master validation matrix</w:t>
      </w:r>
    </w:p>
    <w:p>
      <w:r>
        <w:t>The matrix is a release-planning index. The complete specification for each case follows in its own section.</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547"/>
            <w:shd w:fill="17365D"/>
            <w:tcMar>
              <w:top w:w="70" w:type="dxa"/>
              <w:start w:w="70" w:type="dxa"/>
              <w:bottom w:w="70" w:type="dxa"/>
              <w:end w:w="70" w:type="dxa"/>
            </w:tcMar>
          </w:tcPr>
          <w:p>
            <w:pPr>
              <w:spacing w:after="0"/>
            </w:pPr>
            <w:r>
              <w:rPr>
                <w:b/>
                <w:color w:val="FFFFFF"/>
                <w:sz w:val="17"/>
              </w:rPr>
              <w:t>No.</w:t>
            </w:r>
          </w:p>
        </w:tc>
        <w:tc>
          <w:tcPr>
            <w:tcW w:type="dxa" w:w="691"/>
            <w:shd w:fill="17365D"/>
            <w:tcMar>
              <w:top w:w="70" w:type="dxa"/>
              <w:start w:w="70" w:type="dxa"/>
              <w:bottom w:w="70" w:type="dxa"/>
              <w:end w:w="70" w:type="dxa"/>
            </w:tcMar>
          </w:tcPr>
          <w:p>
            <w:pPr>
              <w:spacing w:after="0"/>
            </w:pPr>
            <w:r>
              <w:rPr>
                <w:b/>
                <w:color w:val="FFFFFF"/>
                <w:sz w:val="17"/>
              </w:rPr>
              <w:t>ID</w:t>
            </w:r>
          </w:p>
        </w:tc>
        <w:tc>
          <w:tcPr>
            <w:tcW w:type="dxa" w:w="3240"/>
            <w:shd w:fill="17365D"/>
            <w:tcMar>
              <w:top w:w="70" w:type="dxa"/>
              <w:start w:w="70" w:type="dxa"/>
              <w:bottom w:w="70" w:type="dxa"/>
              <w:end w:w="70" w:type="dxa"/>
            </w:tcMar>
          </w:tcPr>
          <w:p>
            <w:pPr>
              <w:spacing w:after="0"/>
            </w:pPr>
            <w:r>
              <w:rPr>
                <w:b/>
                <w:color w:val="FFFFFF"/>
                <w:sz w:val="17"/>
              </w:rPr>
              <w:t>Validation case</w:t>
            </w:r>
          </w:p>
        </w:tc>
        <w:tc>
          <w:tcPr>
            <w:tcW w:type="dxa" w:w="1944"/>
            <w:shd w:fill="17365D"/>
            <w:tcMar>
              <w:top w:w="70" w:type="dxa"/>
              <w:start w:w="70" w:type="dxa"/>
              <w:bottom w:w="70" w:type="dxa"/>
              <w:end w:w="70" w:type="dxa"/>
            </w:tcMar>
          </w:tcPr>
          <w:p>
            <w:pPr>
              <w:spacing w:after="0"/>
            </w:pPr>
            <w:r>
              <w:rPr>
                <w:b/>
                <w:color w:val="FFFFFF"/>
                <w:sz w:val="17"/>
              </w:rPr>
              <w:t>Evidence</w:t>
            </w:r>
          </w:p>
        </w:tc>
        <w:tc>
          <w:tcPr>
            <w:tcW w:type="dxa" w:w="1181"/>
            <w:shd w:fill="17365D"/>
            <w:tcMar>
              <w:top w:w="70" w:type="dxa"/>
              <w:start w:w="70" w:type="dxa"/>
              <w:bottom w:w="70" w:type="dxa"/>
              <w:end w:w="70" w:type="dxa"/>
            </w:tcMar>
          </w:tcPr>
          <w:p>
            <w:pPr>
              <w:spacing w:after="0"/>
            </w:pPr>
            <w:r>
              <w:rPr>
                <w:b/>
                <w:color w:val="FFFFFF"/>
                <w:sz w:val="17"/>
              </w:rPr>
              <w:t>External data</w:t>
            </w:r>
          </w:p>
        </w:tc>
        <w:tc>
          <w:tcPr>
            <w:tcW w:type="dxa" w:w="1757"/>
            <w:shd w:fill="17365D"/>
            <w:tcMar>
              <w:top w:w="70" w:type="dxa"/>
              <w:start w:w="70" w:type="dxa"/>
              <w:bottom w:w="70" w:type="dxa"/>
              <w:end w:w="70" w:type="dxa"/>
            </w:tcMar>
          </w:tcPr>
          <w:p>
            <w:pPr>
              <w:spacing w:after="0"/>
            </w:pPr>
            <w:r>
              <w:rPr>
                <w:b/>
                <w:color w:val="FFFFFF"/>
                <w:sz w:val="17"/>
              </w:rPr>
              <w:t>Gate</w:t>
            </w:r>
          </w:p>
        </w:tc>
      </w:tr>
      <w:tr>
        <w:tc>
          <w:tcPr>
            <w:tcW w:type="dxa" w:w="547"/>
            <w:tcMar>
              <w:top w:w="55" w:type="dxa"/>
              <w:start w:w="60" w:type="dxa"/>
              <w:bottom w:w="55" w:type="dxa"/>
              <w:end w:w="60" w:type="dxa"/>
            </w:tcMar>
            <w:shd w:fill="F7F9FB"/>
          </w:tcPr>
          <w:p>
            <w:pPr>
              <w:spacing w:after="0"/>
            </w:pPr>
            <w:r>
              <w:rPr>
                <w:sz w:val="16"/>
              </w:rPr>
              <w:t>01</w:t>
            </w:r>
          </w:p>
        </w:tc>
        <w:tc>
          <w:tcPr>
            <w:tcW w:type="dxa" w:w="691"/>
            <w:tcMar>
              <w:top w:w="55" w:type="dxa"/>
              <w:start w:w="60" w:type="dxa"/>
              <w:bottom w:w="55" w:type="dxa"/>
              <w:end w:w="60" w:type="dxa"/>
            </w:tcMar>
            <w:shd w:fill="F7F9FB"/>
          </w:tcPr>
          <w:p>
            <w:pPr>
              <w:spacing w:after="0"/>
            </w:pPr>
            <w:r>
              <w:rPr>
                <w:sz w:val="16"/>
              </w:rPr>
              <w:t>CV01</w:t>
            </w:r>
          </w:p>
        </w:tc>
        <w:tc>
          <w:tcPr>
            <w:tcW w:type="dxa" w:w="3240"/>
            <w:tcMar>
              <w:top w:w="55" w:type="dxa"/>
              <w:start w:w="60" w:type="dxa"/>
              <w:bottom w:w="55" w:type="dxa"/>
              <w:end w:w="60" w:type="dxa"/>
            </w:tcMar>
            <w:shd w:fill="F7F9FB"/>
          </w:tcPr>
          <w:p>
            <w:pPr>
              <w:spacing w:after="0"/>
            </w:pPr>
            <w:r>
              <w:rPr>
                <w:sz w:val="16"/>
              </w:rPr>
              <w:t>Ballistic streaming on a uniform field line</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02</w:t>
            </w:r>
          </w:p>
        </w:tc>
        <w:tc>
          <w:tcPr>
            <w:tcW w:type="dxa" w:w="691"/>
            <w:tcMar>
              <w:top w:w="55" w:type="dxa"/>
              <w:start w:w="60" w:type="dxa"/>
              <w:bottom w:w="55" w:type="dxa"/>
              <w:end w:w="60" w:type="dxa"/>
            </w:tcMar>
          </w:tcPr>
          <w:p>
            <w:pPr>
              <w:spacing w:after="0"/>
            </w:pPr>
            <w:r>
              <w:rPr>
                <w:sz w:val="16"/>
              </w:rPr>
              <w:t>CV02</w:t>
            </w:r>
          </w:p>
        </w:tc>
        <w:tc>
          <w:tcPr>
            <w:tcW w:type="dxa" w:w="3240"/>
            <w:tcMar>
              <w:top w:w="55" w:type="dxa"/>
              <w:start w:w="60" w:type="dxa"/>
              <w:bottom w:w="55" w:type="dxa"/>
              <w:end w:w="60" w:type="dxa"/>
            </w:tcMar>
          </w:tcPr>
          <w:p>
            <w:pPr>
              <w:spacing w:after="0"/>
            </w:pPr>
            <w:r>
              <w:rPr>
                <w:sz w:val="16"/>
              </w:rPr>
              <w:t>Constant-coefficient spatial diffusion Green function</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03</w:t>
            </w:r>
          </w:p>
        </w:tc>
        <w:tc>
          <w:tcPr>
            <w:tcW w:type="dxa" w:w="691"/>
            <w:tcMar>
              <w:top w:w="55" w:type="dxa"/>
              <w:start w:w="60" w:type="dxa"/>
              <w:bottom w:w="55" w:type="dxa"/>
              <w:end w:w="60" w:type="dxa"/>
            </w:tcMar>
            <w:shd w:fill="F7F9FB"/>
          </w:tcPr>
          <w:p>
            <w:pPr>
              <w:spacing w:after="0"/>
            </w:pPr>
            <w:r>
              <w:rPr>
                <w:sz w:val="16"/>
              </w:rPr>
              <w:t>CV03</w:t>
            </w:r>
          </w:p>
        </w:tc>
        <w:tc>
          <w:tcPr>
            <w:tcW w:type="dxa" w:w="3240"/>
            <w:tcMar>
              <w:top w:w="55" w:type="dxa"/>
              <w:start w:w="60" w:type="dxa"/>
              <w:bottom w:w="55" w:type="dxa"/>
              <w:end w:w="60" w:type="dxa"/>
            </w:tcMar>
            <w:shd w:fill="F7F9FB"/>
          </w:tcPr>
          <w:p>
            <w:pPr>
              <w:spacing w:after="0"/>
            </w:pPr>
            <w:r>
              <w:rPr>
                <w:sz w:val="16"/>
              </w:rPr>
              <w:t>Nonuniform diffusion and stochastic-calculus drift</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04</w:t>
            </w:r>
          </w:p>
        </w:tc>
        <w:tc>
          <w:tcPr>
            <w:tcW w:type="dxa" w:w="691"/>
            <w:tcMar>
              <w:top w:w="55" w:type="dxa"/>
              <w:start w:w="60" w:type="dxa"/>
              <w:bottom w:w="55" w:type="dxa"/>
              <w:end w:w="60" w:type="dxa"/>
            </w:tcMar>
          </w:tcPr>
          <w:p>
            <w:pPr>
              <w:spacing w:after="0"/>
            </w:pPr>
            <w:r>
              <w:rPr>
                <w:sz w:val="16"/>
              </w:rPr>
              <w:t>CV04</w:t>
            </w:r>
          </w:p>
        </w:tc>
        <w:tc>
          <w:tcPr>
            <w:tcW w:type="dxa" w:w="3240"/>
            <w:tcMar>
              <w:top w:w="55" w:type="dxa"/>
              <w:start w:w="60" w:type="dxa"/>
              <w:bottom w:w="55" w:type="dxa"/>
              <w:end w:w="60" w:type="dxa"/>
            </w:tcMar>
          </w:tcPr>
          <w:p>
            <w:pPr>
              <w:spacing w:after="0"/>
            </w:pPr>
            <w:r>
              <w:rPr>
                <w:sz w:val="16"/>
              </w:rPr>
              <w:t>Adiabatic momentum change in expanding solar wind</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05</w:t>
            </w:r>
          </w:p>
        </w:tc>
        <w:tc>
          <w:tcPr>
            <w:tcW w:type="dxa" w:w="691"/>
            <w:tcMar>
              <w:top w:w="55" w:type="dxa"/>
              <w:start w:w="60" w:type="dxa"/>
              <w:bottom w:w="55" w:type="dxa"/>
              <w:end w:w="60" w:type="dxa"/>
            </w:tcMar>
            <w:shd w:fill="F7F9FB"/>
          </w:tcPr>
          <w:p>
            <w:pPr>
              <w:spacing w:after="0"/>
            </w:pPr>
            <w:r>
              <w:rPr>
                <w:sz w:val="16"/>
              </w:rPr>
              <w:t>CV05</w:t>
            </w:r>
          </w:p>
        </w:tc>
        <w:tc>
          <w:tcPr>
            <w:tcW w:type="dxa" w:w="3240"/>
            <w:tcMar>
              <w:top w:w="55" w:type="dxa"/>
              <w:start w:w="60" w:type="dxa"/>
              <w:bottom w:w="55" w:type="dxa"/>
              <w:end w:w="60" w:type="dxa"/>
            </w:tcMar>
            <w:shd w:fill="F7F9FB"/>
          </w:tcPr>
          <w:p>
            <w:pPr>
              <w:spacing w:after="0"/>
            </w:pPr>
            <w:r>
              <w:rPr>
                <w:sz w:val="16"/>
              </w:rPr>
              <w:t>Magnetic focusing in a prescribed field gradient</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06</w:t>
            </w:r>
          </w:p>
        </w:tc>
        <w:tc>
          <w:tcPr>
            <w:tcW w:type="dxa" w:w="691"/>
            <w:tcMar>
              <w:top w:w="55" w:type="dxa"/>
              <w:start w:w="60" w:type="dxa"/>
              <w:bottom w:w="55" w:type="dxa"/>
              <w:end w:w="60" w:type="dxa"/>
            </w:tcMar>
          </w:tcPr>
          <w:p>
            <w:pPr>
              <w:spacing w:after="0"/>
            </w:pPr>
            <w:r>
              <w:rPr>
                <w:sz w:val="16"/>
              </w:rPr>
              <w:t>CV06</w:t>
            </w:r>
          </w:p>
        </w:tc>
        <w:tc>
          <w:tcPr>
            <w:tcW w:type="dxa" w:w="3240"/>
            <w:tcMar>
              <w:top w:w="55" w:type="dxa"/>
              <w:start w:w="60" w:type="dxa"/>
              <w:bottom w:w="55" w:type="dxa"/>
              <w:end w:w="60" w:type="dxa"/>
            </w:tcMar>
          </w:tcPr>
          <w:p>
            <w:pPr>
              <w:spacing w:after="0"/>
            </w:pPr>
            <w:r>
              <w:rPr>
                <w:sz w:val="16"/>
              </w:rPr>
              <w:t>Legendre-mode pitch-angle diffusion</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07</w:t>
            </w:r>
          </w:p>
        </w:tc>
        <w:tc>
          <w:tcPr>
            <w:tcW w:type="dxa" w:w="691"/>
            <w:tcMar>
              <w:top w:w="55" w:type="dxa"/>
              <w:start w:w="60" w:type="dxa"/>
              <w:bottom w:w="55" w:type="dxa"/>
              <w:end w:w="60" w:type="dxa"/>
            </w:tcMar>
            <w:shd w:fill="F7F9FB"/>
          </w:tcPr>
          <w:p>
            <w:pPr>
              <w:spacing w:after="0"/>
            </w:pPr>
            <w:r>
              <w:rPr>
                <w:sz w:val="16"/>
              </w:rPr>
              <w:t>CV07</w:t>
            </w:r>
          </w:p>
        </w:tc>
        <w:tc>
          <w:tcPr>
            <w:tcW w:type="dxa" w:w="3240"/>
            <w:tcMar>
              <w:top w:w="55" w:type="dxa"/>
              <w:start w:w="60" w:type="dxa"/>
              <w:bottom w:w="55" w:type="dxa"/>
              <w:end w:w="60" w:type="dxa"/>
            </w:tcMar>
            <w:shd w:fill="F7F9FB"/>
          </w:tcPr>
          <w:p>
            <w:pPr>
              <w:spacing w:after="0"/>
            </w:pPr>
            <w:r>
              <w:rPr>
                <w:sz w:val="16"/>
              </w:rPr>
              <w:t>Telegraph transport and diffusion limit</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08</w:t>
            </w:r>
          </w:p>
        </w:tc>
        <w:tc>
          <w:tcPr>
            <w:tcW w:type="dxa" w:w="691"/>
            <w:tcMar>
              <w:top w:w="55" w:type="dxa"/>
              <w:start w:w="60" w:type="dxa"/>
              <w:bottom w:w="55" w:type="dxa"/>
              <w:end w:w="60" w:type="dxa"/>
            </w:tcMar>
          </w:tcPr>
          <w:p>
            <w:pPr>
              <w:spacing w:after="0"/>
            </w:pPr>
            <w:r>
              <w:rPr>
                <w:sz w:val="16"/>
              </w:rPr>
              <w:t>CV08</w:t>
            </w:r>
          </w:p>
        </w:tc>
        <w:tc>
          <w:tcPr>
            <w:tcW w:type="dxa" w:w="3240"/>
            <w:tcMar>
              <w:top w:w="55" w:type="dxa"/>
              <w:start w:w="60" w:type="dxa"/>
              <w:bottom w:w="55" w:type="dxa"/>
              <w:end w:w="60" w:type="dxa"/>
            </w:tcMar>
          </w:tcPr>
          <w:p>
            <w:pPr>
              <w:spacing w:after="0"/>
            </w:pPr>
            <w:r>
              <w:rPr>
                <w:sz w:val="16"/>
              </w:rPr>
              <w:t>Absorbing-boundary first-passage distribution</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09</w:t>
            </w:r>
          </w:p>
        </w:tc>
        <w:tc>
          <w:tcPr>
            <w:tcW w:type="dxa" w:w="691"/>
            <w:tcMar>
              <w:top w:w="55" w:type="dxa"/>
              <w:start w:w="60" w:type="dxa"/>
              <w:bottom w:w="55" w:type="dxa"/>
              <w:end w:w="60" w:type="dxa"/>
            </w:tcMar>
            <w:shd w:fill="F7F9FB"/>
          </w:tcPr>
          <w:p>
            <w:pPr>
              <w:spacing w:after="0"/>
            </w:pPr>
            <w:r>
              <w:rPr>
                <w:sz w:val="16"/>
              </w:rPr>
              <w:t>CV09</w:t>
            </w:r>
          </w:p>
        </w:tc>
        <w:tc>
          <w:tcPr>
            <w:tcW w:type="dxa" w:w="3240"/>
            <w:tcMar>
              <w:top w:w="55" w:type="dxa"/>
              <w:start w:w="60" w:type="dxa"/>
              <w:bottom w:w="55" w:type="dxa"/>
              <w:end w:w="60" w:type="dxa"/>
            </w:tcMar>
            <w:shd w:fill="F7F9FB"/>
          </w:tcPr>
          <w:p>
            <w:pPr>
              <w:spacing w:after="0"/>
            </w:pPr>
            <w:r>
              <w:rPr>
                <w:sz w:val="16"/>
              </w:rPr>
              <w:t>Planar diffusive shock acceleration spectrum</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10</w:t>
            </w:r>
          </w:p>
        </w:tc>
        <w:tc>
          <w:tcPr>
            <w:tcW w:type="dxa" w:w="691"/>
            <w:tcMar>
              <w:top w:w="55" w:type="dxa"/>
              <w:start w:w="60" w:type="dxa"/>
              <w:bottom w:w="55" w:type="dxa"/>
              <w:end w:w="60" w:type="dxa"/>
            </w:tcMar>
          </w:tcPr>
          <w:p>
            <w:pPr>
              <w:spacing w:after="0"/>
            </w:pPr>
            <w:r>
              <w:rPr>
                <w:sz w:val="16"/>
              </w:rPr>
              <w:t>CV10</w:t>
            </w:r>
          </w:p>
        </w:tc>
        <w:tc>
          <w:tcPr>
            <w:tcW w:type="dxa" w:w="3240"/>
            <w:tcMar>
              <w:top w:w="55" w:type="dxa"/>
              <w:start w:w="60" w:type="dxa"/>
              <w:bottom w:w="55" w:type="dxa"/>
              <w:end w:w="60" w:type="dxa"/>
            </w:tcMar>
          </w:tcPr>
          <w:p>
            <w:pPr>
              <w:spacing w:after="0"/>
            </w:pPr>
            <w:r>
              <w:rPr>
                <w:sz w:val="16"/>
              </w:rPr>
              <w:t>Nonuniform turbulence advection</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11</w:t>
            </w:r>
          </w:p>
        </w:tc>
        <w:tc>
          <w:tcPr>
            <w:tcW w:type="dxa" w:w="691"/>
            <w:tcMar>
              <w:top w:w="55" w:type="dxa"/>
              <w:start w:w="60" w:type="dxa"/>
              <w:bottom w:w="55" w:type="dxa"/>
              <w:end w:w="60" w:type="dxa"/>
            </w:tcMar>
            <w:shd w:fill="F7F9FB"/>
          </w:tcPr>
          <w:p>
            <w:pPr>
              <w:spacing w:after="0"/>
            </w:pPr>
            <w:r>
              <w:rPr>
                <w:sz w:val="16"/>
              </w:rPr>
              <w:t>CV11</w:t>
            </w:r>
          </w:p>
        </w:tc>
        <w:tc>
          <w:tcPr>
            <w:tcW w:type="dxa" w:w="3240"/>
            <w:tcMar>
              <w:top w:w="55" w:type="dxa"/>
              <w:start w:w="60" w:type="dxa"/>
              <w:bottom w:w="55" w:type="dxa"/>
              <w:end w:w="60" w:type="dxa"/>
            </w:tcMar>
            <w:shd w:fill="F7F9FB"/>
          </w:tcPr>
          <w:p>
            <w:pPr>
              <w:spacing w:after="0"/>
            </w:pPr>
            <w:r>
              <w:rPr>
                <w:sz w:val="16"/>
              </w:rPr>
              <w:t>Time-dependent resonant wave growth and damping</w:t>
            </w:r>
          </w:p>
        </w:tc>
        <w:tc>
          <w:tcPr>
            <w:tcW w:type="dxa" w:w="1944"/>
            <w:tcMar>
              <w:top w:w="55" w:type="dxa"/>
              <w:start w:w="60" w:type="dxa"/>
              <w:bottom w:w="55" w:type="dxa"/>
              <w:end w:w="60" w:type="dxa"/>
            </w:tcMar>
            <w:shd w:fill="F7F9FB"/>
          </w:tcPr>
          <w:p>
            <w:pPr>
              <w:spacing w:after="0"/>
            </w:pPr>
            <w:r>
              <w:rPr>
                <w:sz w:val="16"/>
              </w:rPr>
              <w:t>Analytical component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pre-merge</w:t>
            </w:r>
          </w:p>
        </w:tc>
      </w:tr>
      <w:tr>
        <w:tc>
          <w:tcPr>
            <w:tcW w:type="dxa" w:w="547"/>
            <w:tcMar>
              <w:top w:w="55" w:type="dxa"/>
              <w:start w:w="60" w:type="dxa"/>
              <w:bottom w:w="55" w:type="dxa"/>
              <w:end w:w="60" w:type="dxa"/>
            </w:tcMar>
          </w:tcPr>
          <w:p>
            <w:pPr>
              <w:spacing w:after="0"/>
            </w:pPr>
            <w:r>
              <w:rPr>
                <w:sz w:val="16"/>
              </w:rPr>
              <w:t>12</w:t>
            </w:r>
          </w:p>
        </w:tc>
        <w:tc>
          <w:tcPr>
            <w:tcW w:type="dxa" w:w="691"/>
            <w:tcMar>
              <w:top w:w="55" w:type="dxa"/>
              <w:start w:w="60" w:type="dxa"/>
              <w:bottom w:w="55" w:type="dxa"/>
              <w:end w:w="60" w:type="dxa"/>
            </w:tcMar>
          </w:tcPr>
          <w:p>
            <w:pPr>
              <w:spacing w:after="0"/>
            </w:pPr>
            <w:r>
              <w:rPr>
                <w:sz w:val="16"/>
              </w:rPr>
              <w:t>CV12</w:t>
            </w:r>
          </w:p>
        </w:tc>
        <w:tc>
          <w:tcPr>
            <w:tcW w:type="dxa" w:w="3240"/>
            <w:tcMar>
              <w:top w:w="55" w:type="dxa"/>
              <w:start w:w="60" w:type="dxa"/>
              <w:bottom w:w="55" w:type="dxa"/>
              <w:end w:w="60" w:type="dxa"/>
            </w:tcMar>
          </w:tcPr>
          <w:p>
            <w:pPr>
              <w:spacing w:after="0"/>
            </w:pPr>
            <w:r>
              <w:rPr>
                <w:sz w:val="16"/>
              </w:rPr>
              <w:t>Controlled particle–wave total-energy exchange</w:t>
            </w:r>
          </w:p>
        </w:tc>
        <w:tc>
          <w:tcPr>
            <w:tcW w:type="dxa" w:w="1944"/>
            <w:tcMar>
              <w:top w:w="55" w:type="dxa"/>
              <w:start w:w="60" w:type="dxa"/>
              <w:bottom w:w="55" w:type="dxa"/>
              <w:end w:w="60" w:type="dxa"/>
            </w:tcMar>
          </w:tcPr>
          <w:p>
            <w:pPr>
              <w:spacing w:after="0"/>
            </w:pPr>
            <w:r>
              <w:rPr>
                <w:sz w:val="16"/>
              </w:rPr>
              <w:t>Analytical component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pre-merge</w:t>
            </w:r>
          </w:p>
        </w:tc>
      </w:tr>
      <w:tr>
        <w:tc>
          <w:tcPr>
            <w:tcW w:type="dxa" w:w="547"/>
            <w:tcMar>
              <w:top w:w="55" w:type="dxa"/>
              <w:start w:w="60" w:type="dxa"/>
              <w:bottom w:w="55" w:type="dxa"/>
              <w:end w:w="60" w:type="dxa"/>
            </w:tcMar>
            <w:shd w:fill="F7F9FB"/>
          </w:tcPr>
          <w:p>
            <w:pPr>
              <w:spacing w:after="0"/>
            </w:pPr>
            <w:r>
              <w:rPr>
                <w:sz w:val="16"/>
              </w:rPr>
              <w:t>13</w:t>
            </w:r>
          </w:p>
        </w:tc>
        <w:tc>
          <w:tcPr>
            <w:tcW w:type="dxa" w:w="691"/>
            <w:tcMar>
              <w:top w:w="55" w:type="dxa"/>
              <w:start w:w="60" w:type="dxa"/>
              <w:bottom w:w="55" w:type="dxa"/>
              <w:end w:w="60" w:type="dxa"/>
            </w:tcMar>
            <w:shd w:fill="F7F9FB"/>
          </w:tcPr>
          <w:p>
            <w:pPr>
              <w:spacing w:after="0"/>
            </w:pPr>
            <w:r>
              <w:rPr>
                <w:sz w:val="16"/>
              </w:rPr>
              <w:t>IV01</w:t>
            </w:r>
          </w:p>
        </w:tc>
        <w:tc>
          <w:tcPr>
            <w:tcW w:type="dxa" w:w="3240"/>
            <w:tcMar>
              <w:top w:w="55" w:type="dxa"/>
              <w:start w:w="60" w:type="dxa"/>
              <w:bottom w:w="55" w:type="dxa"/>
              <w:end w:w="60" w:type="dxa"/>
            </w:tcMar>
            <w:shd w:fill="F7F9FB"/>
          </w:tcPr>
          <w:p>
            <w:pPr>
              <w:spacing w:after="0"/>
            </w:pPr>
            <w:r>
              <w:rPr>
                <w:sz w:val="16"/>
              </w:rPr>
              <w:t>Streaming plus Parker-spiral focusing</w:t>
            </w:r>
          </w:p>
        </w:tc>
        <w:tc>
          <w:tcPr>
            <w:tcW w:type="dxa" w:w="1944"/>
            <w:tcMar>
              <w:top w:w="55" w:type="dxa"/>
              <w:start w:w="60" w:type="dxa"/>
              <w:bottom w:w="55" w:type="dxa"/>
              <w:end w:w="60" w:type="dxa"/>
            </w:tcMar>
            <w:shd w:fill="F7F9FB"/>
          </w:tcPr>
          <w:p>
            <w:pPr>
              <w:spacing w:after="0"/>
            </w:pPr>
            <w:r>
              <w:rPr>
                <w:sz w:val="16"/>
              </w:rPr>
              <w:t>Integrated manufactured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nightly</w:t>
            </w:r>
          </w:p>
        </w:tc>
      </w:tr>
      <w:tr>
        <w:tc>
          <w:tcPr>
            <w:tcW w:type="dxa" w:w="547"/>
            <w:tcMar>
              <w:top w:w="55" w:type="dxa"/>
              <w:start w:w="60" w:type="dxa"/>
              <w:bottom w:w="55" w:type="dxa"/>
              <w:end w:w="60" w:type="dxa"/>
            </w:tcMar>
          </w:tcPr>
          <w:p>
            <w:pPr>
              <w:spacing w:after="0"/>
            </w:pPr>
            <w:r>
              <w:rPr>
                <w:sz w:val="16"/>
              </w:rPr>
              <w:t>14</w:t>
            </w:r>
          </w:p>
        </w:tc>
        <w:tc>
          <w:tcPr>
            <w:tcW w:type="dxa" w:w="691"/>
            <w:tcMar>
              <w:top w:w="55" w:type="dxa"/>
              <w:start w:w="60" w:type="dxa"/>
              <w:bottom w:w="55" w:type="dxa"/>
              <w:end w:w="60" w:type="dxa"/>
            </w:tcMar>
          </w:tcPr>
          <w:p>
            <w:pPr>
              <w:spacing w:after="0"/>
            </w:pPr>
            <w:r>
              <w:rPr>
                <w:sz w:val="16"/>
              </w:rPr>
              <w:t>IV02</w:t>
            </w:r>
          </w:p>
        </w:tc>
        <w:tc>
          <w:tcPr>
            <w:tcW w:type="dxa" w:w="3240"/>
            <w:tcMar>
              <w:top w:w="55" w:type="dxa"/>
              <w:start w:w="60" w:type="dxa"/>
              <w:bottom w:w="55" w:type="dxa"/>
              <w:end w:w="60" w:type="dxa"/>
            </w:tcMar>
          </w:tcPr>
          <w:p>
            <w:pPr>
              <w:spacing w:after="0"/>
            </w:pPr>
            <w:r>
              <w:rPr>
                <w:sz w:val="16"/>
              </w:rPr>
              <w:t>Scattering–focusing equilibrium</w:t>
            </w:r>
          </w:p>
        </w:tc>
        <w:tc>
          <w:tcPr>
            <w:tcW w:type="dxa" w:w="1944"/>
            <w:tcMar>
              <w:top w:w="55" w:type="dxa"/>
              <w:start w:w="60" w:type="dxa"/>
              <w:bottom w:w="55" w:type="dxa"/>
              <w:end w:w="60" w:type="dxa"/>
            </w:tcMar>
          </w:tcPr>
          <w:p>
            <w:pPr>
              <w:spacing w:after="0"/>
            </w:pPr>
            <w:r>
              <w:rPr>
                <w:sz w:val="16"/>
              </w:rPr>
              <w:t>Integrated manufactured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nightly</w:t>
            </w:r>
          </w:p>
        </w:tc>
      </w:tr>
      <w:tr>
        <w:tc>
          <w:tcPr>
            <w:tcW w:type="dxa" w:w="547"/>
            <w:tcMar>
              <w:top w:w="55" w:type="dxa"/>
              <w:start w:w="60" w:type="dxa"/>
              <w:bottom w:w="55" w:type="dxa"/>
              <w:end w:w="60" w:type="dxa"/>
            </w:tcMar>
            <w:shd w:fill="F7F9FB"/>
          </w:tcPr>
          <w:p>
            <w:pPr>
              <w:spacing w:after="0"/>
            </w:pPr>
            <w:r>
              <w:rPr>
                <w:sz w:val="16"/>
              </w:rPr>
              <w:t>15</w:t>
            </w:r>
          </w:p>
        </w:tc>
        <w:tc>
          <w:tcPr>
            <w:tcW w:type="dxa" w:w="691"/>
            <w:tcMar>
              <w:top w:w="55" w:type="dxa"/>
              <w:start w:w="60" w:type="dxa"/>
              <w:bottom w:w="55" w:type="dxa"/>
              <w:end w:w="60" w:type="dxa"/>
            </w:tcMar>
            <w:shd w:fill="F7F9FB"/>
          </w:tcPr>
          <w:p>
            <w:pPr>
              <w:spacing w:after="0"/>
            </w:pPr>
            <w:r>
              <w:rPr>
                <w:sz w:val="16"/>
              </w:rPr>
              <w:t>IV03</w:t>
            </w:r>
          </w:p>
        </w:tc>
        <w:tc>
          <w:tcPr>
            <w:tcW w:type="dxa" w:w="3240"/>
            <w:tcMar>
              <w:top w:w="55" w:type="dxa"/>
              <w:start w:w="60" w:type="dxa"/>
              <w:bottom w:w="55" w:type="dxa"/>
              <w:end w:w="60" w:type="dxa"/>
            </w:tcMar>
            <w:shd w:fill="F7F9FB"/>
          </w:tcPr>
          <w:p>
            <w:pPr>
              <w:spacing w:after="0"/>
            </w:pPr>
            <w:r>
              <w:rPr>
                <w:sz w:val="16"/>
              </w:rPr>
              <w:t>Manufactured spatial–pitch–momentum transport</w:t>
            </w:r>
          </w:p>
        </w:tc>
        <w:tc>
          <w:tcPr>
            <w:tcW w:type="dxa" w:w="1944"/>
            <w:tcMar>
              <w:top w:w="55" w:type="dxa"/>
              <w:start w:w="60" w:type="dxa"/>
              <w:bottom w:w="55" w:type="dxa"/>
              <w:end w:w="60" w:type="dxa"/>
            </w:tcMar>
            <w:shd w:fill="F7F9FB"/>
          </w:tcPr>
          <w:p>
            <w:pPr>
              <w:spacing w:after="0"/>
            </w:pPr>
            <w:r>
              <w:rPr>
                <w:sz w:val="16"/>
              </w:rPr>
              <w:t>Integrated manufactured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nightly</w:t>
            </w:r>
          </w:p>
        </w:tc>
      </w:tr>
      <w:tr>
        <w:tc>
          <w:tcPr>
            <w:tcW w:type="dxa" w:w="547"/>
            <w:tcMar>
              <w:top w:w="55" w:type="dxa"/>
              <w:start w:w="60" w:type="dxa"/>
              <w:bottom w:w="55" w:type="dxa"/>
              <w:end w:w="60" w:type="dxa"/>
            </w:tcMar>
          </w:tcPr>
          <w:p>
            <w:pPr>
              <w:spacing w:after="0"/>
            </w:pPr>
            <w:r>
              <w:rPr>
                <w:sz w:val="16"/>
              </w:rPr>
              <w:t>16</w:t>
            </w:r>
          </w:p>
        </w:tc>
        <w:tc>
          <w:tcPr>
            <w:tcW w:type="dxa" w:w="691"/>
            <w:tcMar>
              <w:top w:w="55" w:type="dxa"/>
              <w:start w:w="60" w:type="dxa"/>
              <w:bottom w:w="55" w:type="dxa"/>
              <w:end w:w="60" w:type="dxa"/>
            </w:tcMar>
          </w:tcPr>
          <w:p>
            <w:pPr>
              <w:spacing w:after="0"/>
            </w:pPr>
            <w:r>
              <w:rPr>
                <w:sz w:val="16"/>
              </w:rPr>
              <w:t>IV04</w:t>
            </w:r>
          </w:p>
        </w:tc>
        <w:tc>
          <w:tcPr>
            <w:tcW w:type="dxa" w:w="3240"/>
            <w:tcMar>
              <w:top w:w="55" w:type="dxa"/>
              <w:start w:w="60" w:type="dxa"/>
              <w:bottom w:w="55" w:type="dxa"/>
              <w:end w:w="60" w:type="dxa"/>
            </w:tcMar>
          </w:tcPr>
          <w:p>
            <w:pPr>
              <w:spacing w:after="0"/>
            </w:pPr>
            <w:r>
              <w:rPr>
                <w:sz w:val="16"/>
              </w:rPr>
              <w:t>Moving field-line grid conservation and geometric conservation law</w:t>
            </w:r>
          </w:p>
        </w:tc>
        <w:tc>
          <w:tcPr>
            <w:tcW w:type="dxa" w:w="1944"/>
            <w:tcMar>
              <w:top w:w="55" w:type="dxa"/>
              <w:start w:w="60" w:type="dxa"/>
              <w:bottom w:w="55" w:type="dxa"/>
              <w:end w:w="60" w:type="dxa"/>
            </w:tcMar>
          </w:tcPr>
          <w:p>
            <w:pPr>
              <w:spacing w:after="0"/>
            </w:pPr>
            <w:r>
              <w:rPr>
                <w:sz w:val="16"/>
              </w:rPr>
              <w:t>Integrated manufactured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nightly</w:t>
            </w:r>
          </w:p>
        </w:tc>
      </w:tr>
      <w:tr>
        <w:tc>
          <w:tcPr>
            <w:tcW w:type="dxa" w:w="547"/>
            <w:tcMar>
              <w:top w:w="55" w:type="dxa"/>
              <w:start w:w="60" w:type="dxa"/>
              <w:bottom w:w="55" w:type="dxa"/>
              <w:end w:w="60" w:type="dxa"/>
            </w:tcMar>
            <w:shd w:fill="F7F9FB"/>
          </w:tcPr>
          <w:p>
            <w:pPr>
              <w:spacing w:after="0"/>
            </w:pPr>
            <w:r>
              <w:rPr>
                <w:sz w:val="16"/>
              </w:rPr>
              <w:t>17</w:t>
            </w:r>
          </w:p>
        </w:tc>
        <w:tc>
          <w:tcPr>
            <w:tcW w:type="dxa" w:w="691"/>
            <w:tcMar>
              <w:top w:w="55" w:type="dxa"/>
              <w:start w:w="60" w:type="dxa"/>
              <w:bottom w:w="55" w:type="dxa"/>
              <w:end w:w="60" w:type="dxa"/>
            </w:tcMar>
            <w:shd w:fill="F7F9FB"/>
          </w:tcPr>
          <w:p>
            <w:pPr>
              <w:spacing w:after="0"/>
            </w:pPr>
            <w:r>
              <w:rPr>
                <w:sz w:val="16"/>
              </w:rPr>
              <w:t>IV05</w:t>
            </w:r>
          </w:p>
        </w:tc>
        <w:tc>
          <w:tcPr>
            <w:tcW w:type="dxa" w:w="3240"/>
            <w:tcMar>
              <w:top w:w="55" w:type="dxa"/>
              <w:start w:w="60" w:type="dxa"/>
              <w:bottom w:w="55" w:type="dxa"/>
              <w:end w:w="60" w:type="dxa"/>
            </w:tcMar>
            <w:shd w:fill="F7F9FB"/>
          </w:tcPr>
          <w:p>
            <w:pPr>
              <w:spacing w:after="0"/>
            </w:pPr>
            <w:r>
              <w:rPr>
                <w:sz w:val="16"/>
              </w:rPr>
              <w:t>Moving shock crossing and acceleration</w:t>
            </w:r>
          </w:p>
        </w:tc>
        <w:tc>
          <w:tcPr>
            <w:tcW w:type="dxa" w:w="1944"/>
            <w:tcMar>
              <w:top w:w="55" w:type="dxa"/>
              <w:start w:w="60" w:type="dxa"/>
              <w:bottom w:w="55" w:type="dxa"/>
              <w:end w:w="60" w:type="dxa"/>
            </w:tcMar>
            <w:shd w:fill="F7F9FB"/>
          </w:tcPr>
          <w:p>
            <w:pPr>
              <w:spacing w:after="0"/>
            </w:pPr>
            <w:r>
              <w:rPr>
                <w:sz w:val="16"/>
              </w:rPr>
              <w:t>Integrated manufactured verification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nightly</w:t>
            </w:r>
          </w:p>
        </w:tc>
      </w:tr>
      <w:tr>
        <w:tc>
          <w:tcPr>
            <w:tcW w:type="dxa" w:w="547"/>
            <w:tcMar>
              <w:top w:w="55" w:type="dxa"/>
              <w:start w:w="60" w:type="dxa"/>
              <w:bottom w:w="55" w:type="dxa"/>
              <w:end w:w="60" w:type="dxa"/>
            </w:tcMar>
          </w:tcPr>
          <w:p>
            <w:pPr>
              <w:spacing w:after="0"/>
            </w:pPr>
            <w:r>
              <w:rPr>
                <w:sz w:val="16"/>
              </w:rPr>
              <w:t>18</w:t>
            </w:r>
          </w:p>
        </w:tc>
        <w:tc>
          <w:tcPr>
            <w:tcW w:type="dxa" w:w="691"/>
            <w:tcMar>
              <w:top w:w="55" w:type="dxa"/>
              <w:start w:w="60" w:type="dxa"/>
              <w:bottom w:w="55" w:type="dxa"/>
              <w:end w:w="60" w:type="dxa"/>
            </w:tcMar>
          </w:tcPr>
          <w:p>
            <w:pPr>
              <w:spacing w:after="0"/>
            </w:pPr>
            <w:r>
              <w:rPr>
                <w:sz w:val="16"/>
              </w:rPr>
              <w:t>IV06</w:t>
            </w:r>
          </w:p>
        </w:tc>
        <w:tc>
          <w:tcPr>
            <w:tcW w:type="dxa" w:w="3240"/>
            <w:tcMar>
              <w:top w:w="55" w:type="dxa"/>
              <w:start w:w="60" w:type="dxa"/>
              <w:bottom w:w="55" w:type="dxa"/>
              <w:end w:w="60" w:type="dxa"/>
            </w:tcMar>
          </w:tcPr>
          <w:p>
            <w:pPr>
              <w:spacing w:after="0"/>
            </w:pPr>
            <w:r>
              <w:rPr>
                <w:sz w:val="16"/>
              </w:rPr>
              <w:t>Coupled self-generated turbulence feedback</w:t>
            </w:r>
          </w:p>
        </w:tc>
        <w:tc>
          <w:tcPr>
            <w:tcW w:type="dxa" w:w="1944"/>
            <w:tcMar>
              <w:top w:w="55" w:type="dxa"/>
              <w:start w:w="60" w:type="dxa"/>
              <w:bottom w:w="55" w:type="dxa"/>
              <w:end w:w="60" w:type="dxa"/>
            </w:tcMar>
          </w:tcPr>
          <w:p>
            <w:pPr>
              <w:spacing w:after="0"/>
            </w:pPr>
            <w:r>
              <w:rPr>
                <w:sz w:val="16"/>
              </w:rPr>
              <w:t>Integrated manufactured verification</w:t>
            </w:r>
          </w:p>
        </w:tc>
        <w:tc>
          <w:tcPr>
            <w:tcW w:type="dxa" w:w="1181"/>
            <w:tcMar>
              <w:top w:w="55" w:type="dxa"/>
              <w:start w:w="60" w:type="dxa"/>
              <w:bottom w:w="55" w:type="dxa"/>
              <w:end w:w="60" w:type="dxa"/>
            </w:tcMar>
          </w:tcPr>
          <w:p>
            <w:pPr>
              <w:spacing w:after="0"/>
            </w:pPr>
            <w:r>
              <w:rPr>
                <w:sz w:val="16"/>
              </w:rPr>
              <w:t>No</w:t>
            </w:r>
          </w:p>
        </w:tc>
        <w:tc>
          <w:tcPr>
            <w:tcW w:type="dxa" w:w="1757"/>
            <w:tcMar>
              <w:top w:w="55" w:type="dxa"/>
              <w:start w:w="60" w:type="dxa"/>
              <w:bottom w:w="55" w:type="dxa"/>
              <w:end w:w="60" w:type="dxa"/>
            </w:tcMar>
          </w:tcPr>
          <w:p>
            <w:pPr>
              <w:spacing w:after="0"/>
            </w:pPr>
            <w:r>
              <w:rPr>
                <w:sz w:val="16"/>
              </w:rPr>
              <w:t>Required nightly</w:t>
            </w:r>
          </w:p>
        </w:tc>
      </w:tr>
      <w:tr>
        <w:tc>
          <w:tcPr>
            <w:tcW w:type="dxa" w:w="547"/>
            <w:tcMar>
              <w:top w:w="55" w:type="dxa"/>
              <w:start w:w="60" w:type="dxa"/>
              <w:bottom w:w="55" w:type="dxa"/>
              <w:end w:w="60" w:type="dxa"/>
            </w:tcMar>
            <w:shd w:fill="F7F9FB"/>
          </w:tcPr>
          <w:p>
            <w:pPr>
              <w:spacing w:after="0"/>
            </w:pPr>
            <w:r>
              <w:rPr>
                <w:sz w:val="16"/>
              </w:rPr>
              <w:t>19</w:t>
            </w:r>
          </w:p>
        </w:tc>
        <w:tc>
          <w:tcPr>
            <w:tcW w:type="dxa" w:w="691"/>
            <w:tcMar>
              <w:top w:w="55" w:type="dxa"/>
              <w:start w:w="60" w:type="dxa"/>
              <w:bottom w:w="55" w:type="dxa"/>
              <w:end w:w="60" w:type="dxa"/>
            </w:tcMar>
            <w:shd w:fill="F7F9FB"/>
          </w:tcPr>
          <w:p>
            <w:pPr>
              <w:spacing w:after="0"/>
            </w:pPr>
            <w:r>
              <w:rPr>
                <w:sz w:val="16"/>
              </w:rPr>
              <w:t>XM01</w:t>
            </w:r>
          </w:p>
        </w:tc>
        <w:tc>
          <w:tcPr>
            <w:tcW w:type="dxa" w:w="3240"/>
            <w:tcMar>
              <w:top w:w="55" w:type="dxa"/>
              <w:start w:w="60" w:type="dxa"/>
              <w:bottom w:w="55" w:type="dxa"/>
              <w:end w:w="60" w:type="dxa"/>
            </w:tcMar>
            <w:shd w:fill="F7F9FB"/>
          </w:tcPr>
          <w:p>
            <w:pPr>
              <w:spacing w:after="0"/>
            </w:pPr>
            <w:r>
              <w:rPr>
                <w:sz w:val="16"/>
              </w:rPr>
              <w:t>Independent focused-transport PDE solver comparison</w:t>
            </w:r>
          </w:p>
        </w:tc>
        <w:tc>
          <w:tcPr>
            <w:tcW w:type="dxa" w:w="1944"/>
            <w:tcMar>
              <w:top w:w="55" w:type="dxa"/>
              <w:start w:w="60" w:type="dxa"/>
              <w:bottom w:w="55" w:type="dxa"/>
              <w:end w:w="60" w:type="dxa"/>
            </w:tcMar>
            <w:shd w:fill="F7F9FB"/>
          </w:tcPr>
          <w:p>
            <w:pPr>
              <w:spacing w:after="0"/>
            </w:pPr>
            <w:r>
              <w:rPr>
                <w:sz w:val="16"/>
              </w:rPr>
              <w:t>Cross-model validation</w:t>
            </w:r>
          </w:p>
        </w:tc>
        <w:tc>
          <w:tcPr>
            <w:tcW w:type="dxa" w:w="1181"/>
            <w:tcMar>
              <w:top w:w="55" w:type="dxa"/>
              <w:start w:w="60" w:type="dxa"/>
              <w:bottom w:w="55" w:type="dxa"/>
              <w:end w:w="60" w:type="dxa"/>
            </w:tcMar>
            <w:shd w:fill="F7F9FB"/>
          </w:tcPr>
          <w:p>
            <w:pPr>
              <w:spacing w:after="0"/>
            </w:pPr>
            <w:r>
              <w:rPr>
                <w:sz w:val="16"/>
              </w:rPr>
              <w:t>No</w:t>
            </w:r>
          </w:p>
        </w:tc>
        <w:tc>
          <w:tcPr>
            <w:tcW w:type="dxa" w:w="1757"/>
            <w:tcMar>
              <w:top w:w="55" w:type="dxa"/>
              <w:start w:w="60" w:type="dxa"/>
              <w:bottom w:w="55" w:type="dxa"/>
              <w:end w:w="60" w:type="dxa"/>
            </w:tcMar>
            <w:shd w:fill="F7F9FB"/>
          </w:tcPr>
          <w:p>
            <w:pPr>
              <w:spacing w:after="0"/>
            </w:pPr>
            <w:r>
              <w:rPr>
                <w:sz w:val="16"/>
              </w:rPr>
              <w:t>Required release</w:t>
            </w:r>
          </w:p>
        </w:tc>
      </w:tr>
      <w:tr>
        <w:tc>
          <w:tcPr>
            <w:tcW w:type="dxa" w:w="547"/>
            <w:tcMar>
              <w:top w:w="55" w:type="dxa"/>
              <w:start w:w="60" w:type="dxa"/>
              <w:bottom w:w="55" w:type="dxa"/>
              <w:end w:w="60" w:type="dxa"/>
            </w:tcMar>
          </w:tcPr>
          <w:p>
            <w:pPr>
              <w:spacing w:after="0"/>
            </w:pPr>
            <w:r>
              <w:rPr>
                <w:sz w:val="16"/>
              </w:rPr>
              <w:t>20</w:t>
            </w:r>
          </w:p>
        </w:tc>
        <w:tc>
          <w:tcPr>
            <w:tcW w:type="dxa" w:w="691"/>
            <w:tcMar>
              <w:top w:w="55" w:type="dxa"/>
              <w:start w:w="60" w:type="dxa"/>
              <w:bottom w:w="55" w:type="dxa"/>
              <w:end w:w="60" w:type="dxa"/>
            </w:tcMar>
          </w:tcPr>
          <w:p>
            <w:pPr>
              <w:spacing w:after="0"/>
            </w:pPr>
            <w:r>
              <w:rPr>
                <w:sz w:val="16"/>
              </w:rPr>
              <w:t>XM02</w:t>
            </w:r>
          </w:p>
        </w:tc>
        <w:tc>
          <w:tcPr>
            <w:tcW w:type="dxa" w:w="3240"/>
            <w:tcMar>
              <w:top w:w="55" w:type="dxa"/>
              <w:start w:w="60" w:type="dxa"/>
              <w:bottom w:w="55" w:type="dxa"/>
              <w:end w:w="60" w:type="dxa"/>
            </w:tcMar>
          </w:tcPr>
          <w:p>
            <w:pPr>
              <w:spacing w:after="0"/>
            </w:pPr>
            <w:r>
              <w:rPr>
                <w:sz w:val="16"/>
              </w:rPr>
              <w:t>M-FLAMPA canonical Parker-spiral comparison</w:t>
            </w:r>
          </w:p>
        </w:tc>
        <w:tc>
          <w:tcPr>
            <w:tcW w:type="dxa" w:w="1944"/>
            <w:tcMar>
              <w:top w:w="55" w:type="dxa"/>
              <w:start w:w="60" w:type="dxa"/>
              <w:bottom w:w="55" w:type="dxa"/>
              <w:end w:w="60" w:type="dxa"/>
            </w:tcMar>
          </w:tcPr>
          <w:p>
            <w:pPr>
              <w:spacing w:after="0"/>
            </w:pPr>
            <w:r>
              <w:rPr>
                <w:sz w:val="16"/>
              </w:rPr>
              <w:t>Cross-model validation</w:t>
            </w:r>
          </w:p>
        </w:tc>
        <w:tc>
          <w:tcPr>
            <w:tcW w:type="dxa" w:w="1181"/>
            <w:tcMar>
              <w:top w:w="55" w:type="dxa"/>
              <w:start w:w="60" w:type="dxa"/>
              <w:bottom w:w="55" w:type="dxa"/>
              <w:end w:w="60" w:type="dxa"/>
            </w:tcMar>
          </w:tcPr>
          <w:p>
            <w:pPr>
              <w:spacing w:after="0"/>
            </w:pPr>
            <w:r>
              <w:rPr>
                <w:sz w:val="16"/>
              </w:rPr>
              <w:t>Yes</w:t>
            </w:r>
          </w:p>
        </w:tc>
        <w:tc>
          <w:tcPr>
            <w:tcW w:type="dxa" w:w="1757"/>
            <w:tcMar>
              <w:top w:w="55" w:type="dxa"/>
              <w:start w:w="60" w:type="dxa"/>
              <w:bottom w:w="55" w:type="dxa"/>
              <w:end w:w="60" w:type="dxa"/>
            </w:tcMar>
          </w:tcPr>
          <w:p>
            <w:pPr>
              <w:spacing w:after="0"/>
            </w:pPr>
            <w:r>
              <w:rPr>
                <w:sz w:val="16"/>
              </w:rPr>
              <w:t>Required release</w:t>
            </w:r>
          </w:p>
        </w:tc>
      </w:tr>
      <w:tr>
        <w:tc>
          <w:tcPr>
            <w:tcW w:type="dxa" w:w="547"/>
            <w:tcMar>
              <w:top w:w="55" w:type="dxa"/>
              <w:start w:w="60" w:type="dxa"/>
              <w:bottom w:w="55" w:type="dxa"/>
              <w:end w:w="60" w:type="dxa"/>
            </w:tcMar>
            <w:shd w:fill="F7F9FB"/>
          </w:tcPr>
          <w:p>
            <w:pPr>
              <w:spacing w:after="0"/>
            </w:pPr>
            <w:r>
              <w:rPr>
                <w:sz w:val="16"/>
              </w:rPr>
              <w:t>21</w:t>
            </w:r>
          </w:p>
        </w:tc>
        <w:tc>
          <w:tcPr>
            <w:tcW w:type="dxa" w:w="691"/>
            <w:tcMar>
              <w:top w:w="55" w:type="dxa"/>
              <w:start w:w="60" w:type="dxa"/>
              <w:bottom w:w="55" w:type="dxa"/>
              <w:end w:w="60" w:type="dxa"/>
            </w:tcMar>
            <w:shd w:fill="F7F9FB"/>
          </w:tcPr>
          <w:p>
            <w:pPr>
              <w:spacing w:after="0"/>
            </w:pPr>
            <w:r>
              <w:rPr>
                <w:sz w:val="16"/>
              </w:rPr>
              <w:t>XM03</w:t>
            </w:r>
          </w:p>
        </w:tc>
        <w:tc>
          <w:tcPr>
            <w:tcW w:type="dxa" w:w="3240"/>
            <w:tcMar>
              <w:top w:w="55" w:type="dxa"/>
              <w:start w:w="60" w:type="dxa"/>
              <w:bottom w:w="55" w:type="dxa"/>
              <w:end w:w="60" w:type="dxa"/>
            </w:tcMar>
            <w:shd w:fill="F7F9FB"/>
          </w:tcPr>
          <w:p>
            <w:pPr>
              <w:spacing w:after="0"/>
            </w:pPr>
            <w:r>
              <w:rPr>
                <w:sz w:val="16"/>
              </w:rPr>
              <w:t>Published M-FLAMPA 2013 April 11 event reproduction</w:t>
            </w:r>
          </w:p>
        </w:tc>
        <w:tc>
          <w:tcPr>
            <w:tcW w:type="dxa" w:w="1944"/>
            <w:tcMar>
              <w:top w:w="55" w:type="dxa"/>
              <w:start w:w="60" w:type="dxa"/>
              <w:bottom w:w="55" w:type="dxa"/>
              <w:end w:w="60" w:type="dxa"/>
            </w:tcMar>
            <w:shd w:fill="F7F9FB"/>
          </w:tcPr>
          <w:p>
            <w:pPr>
              <w:spacing w:after="0"/>
            </w:pPr>
            <w:r>
              <w:rPr>
                <w:sz w:val="16"/>
              </w:rPr>
              <w:t>Cross-model validation</w:t>
            </w:r>
          </w:p>
        </w:tc>
        <w:tc>
          <w:tcPr>
            <w:tcW w:type="dxa" w:w="1181"/>
            <w:tcMar>
              <w:top w:w="55" w:type="dxa"/>
              <w:start w:w="60" w:type="dxa"/>
              <w:bottom w:w="55" w:type="dxa"/>
              <w:end w:w="60" w:type="dxa"/>
            </w:tcMar>
            <w:shd w:fill="F7F9FB"/>
          </w:tcPr>
          <w:p>
            <w:pPr>
              <w:spacing w:after="0"/>
            </w:pPr>
            <w:r>
              <w:rPr>
                <w:sz w:val="16"/>
              </w:rPr>
              <w:t>Yes</w:t>
            </w:r>
          </w:p>
        </w:tc>
        <w:tc>
          <w:tcPr>
            <w:tcW w:type="dxa" w:w="1757"/>
            <w:tcMar>
              <w:top w:w="55" w:type="dxa"/>
              <w:start w:w="60" w:type="dxa"/>
              <w:bottom w:w="55" w:type="dxa"/>
              <w:end w:w="60" w:type="dxa"/>
            </w:tcMar>
            <w:shd w:fill="F7F9FB"/>
          </w:tcPr>
          <w:p>
            <w:pPr>
              <w:spacing w:after="0"/>
            </w:pPr>
            <w:r>
              <w:rPr>
                <w:sz w:val="16"/>
              </w:rPr>
              <w:t>Required release</w:t>
            </w:r>
          </w:p>
        </w:tc>
      </w:tr>
      <w:tr>
        <w:tc>
          <w:tcPr>
            <w:tcW w:type="dxa" w:w="547"/>
            <w:tcMar>
              <w:top w:w="55" w:type="dxa"/>
              <w:start w:w="60" w:type="dxa"/>
              <w:bottom w:w="55" w:type="dxa"/>
              <w:end w:w="60" w:type="dxa"/>
            </w:tcMar>
          </w:tcPr>
          <w:p>
            <w:pPr>
              <w:spacing w:after="0"/>
            </w:pPr>
            <w:r>
              <w:rPr>
                <w:sz w:val="16"/>
              </w:rPr>
              <w:t>22</w:t>
            </w:r>
          </w:p>
        </w:tc>
        <w:tc>
          <w:tcPr>
            <w:tcW w:type="dxa" w:w="691"/>
            <w:tcMar>
              <w:top w:w="55" w:type="dxa"/>
              <w:start w:w="60" w:type="dxa"/>
              <w:bottom w:w="55" w:type="dxa"/>
              <w:end w:w="60" w:type="dxa"/>
            </w:tcMar>
          </w:tcPr>
          <w:p>
            <w:pPr>
              <w:spacing w:after="0"/>
            </w:pPr>
            <w:r>
              <w:rPr>
                <w:sz w:val="16"/>
              </w:rPr>
              <w:t>OV01</w:t>
            </w:r>
          </w:p>
        </w:tc>
        <w:tc>
          <w:tcPr>
            <w:tcW w:type="dxa" w:w="3240"/>
            <w:tcMar>
              <w:top w:w="55" w:type="dxa"/>
              <w:start w:w="60" w:type="dxa"/>
              <w:bottom w:w="55" w:type="dxa"/>
              <w:end w:w="60" w:type="dxa"/>
            </w:tcMar>
          </w:tcPr>
          <w:p>
            <w:pPr>
              <w:spacing w:after="0"/>
            </w:pPr>
            <w:r>
              <w:rPr>
                <w:sz w:val="16"/>
              </w:rPr>
              <w:t>2013 April 11 near-Earth observational benchmark</w:t>
            </w:r>
          </w:p>
        </w:tc>
        <w:tc>
          <w:tcPr>
            <w:tcW w:type="dxa" w:w="1944"/>
            <w:tcMar>
              <w:top w:w="55" w:type="dxa"/>
              <w:start w:w="60" w:type="dxa"/>
              <w:bottom w:w="55" w:type="dxa"/>
              <w:end w:w="60" w:type="dxa"/>
            </w:tcMar>
          </w:tcPr>
          <w:p>
            <w:pPr>
              <w:spacing w:after="0"/>
            </w:pPr>
            <w:r>
              <w:rPr>
                <w:sz w:val="16"/>
              </w:rPr>
              <w:t>Observational validation</w:t>
            </w:r>
          </w:p>
        </w:tc>
        <w:tc>
          <w:tcPr>
            <w:tcW w:type="dxa" w:w="1181"/>
            <w:tcMar>
              <w:top w:w="55" w:type="dxa"/>
              <w:start w:w="60" w:type="dxa"/>
              <w:bottom w:w="55" w:type="dxa"/>
              <w:end w:w="60" w:type="dxa"/>
            </w:tcMar>
          </w:tcPr>
          <w:p>
            <w:pPr>
              <w:spacing w:after="0"/>
            </w:pPr>
            <w:r>
              <w:rPr>
                <w:sz w:val="16"/>
              </w:rPr>
              <w:t>Yes</w:t>
            </w:r>
          </w:p>
        </w:tc>
        <w:tc>
          <w:tcPr>
            <w:tcW w:type="dxa" w:w="1757"/>
            <w:tcMar>
              <w:top w:w="55" w:type="dxa"/>
              <w:start w:w="60" w:type="dxa"/>
              <w:bottom w:w="55" w:type="dxa"/>
              <w:end w:w="60" w:type="dxa"/>
            </w:tcMar>
          </w:tcPr>
          <w:p>
            <w:pPr>
              <w:spacing w:after="0"/>
            </w:pPr>
            <w:r>
              <w:rPr>
                <w:sz w:val="16"/>
              </w:rPr>
              <w:t>Required release</w:t>
            </w:r>
          </w:p>
        </w:tc>
      </w:tr>
      <w:tr>
        <w:tc>
          <w:tcPr>
            <w:tcW w:type="dxa" w:w="547"/>
            <w:tcMar>
              <w:top w:w="55" w:type="dxa"/>
              <w:start w:w="60" w:type="dxa"/>
              <w:bottom w:w="55" w:type="dxa"/>
              <w:end w:w="60" w:type="dxa"/>
            </w:tcMar>
            <w:shd w:fill="F7F9FB"/>
          </w:tcPr>
          <w:p>
            <w:pPr>
              <w:spacing w:after="0"/>
            </w:pPr>
            <w:r>
              <w:rPr>
                <w:sz w:val="16"/>
              </w:rPr>
              <w:t>23</w:t>
            </w:r>
          </w:p>
        </w:tc>
        <w:tc>
          <w:tcPr>
            <w:tcW w:type="dxa" w:w="691"/>
            <w:tcMar>
              <w:top w:w="55" w:type="dxa"/>
              <w:start w:w="60" w:type="dxa"/>
              <w:bottom w:w="55" w:type="dxa"/>
              <w:end w:w="60" w:type="dxa"/>
            </w:tcMar>
            <w:shd w:fill="F7F9FB"/>
          </w:tcPr>
          <w:p>
            <w:pPr>
              <w:spacing w:after="0"/>
            </w:pPr>
            <w:r>
              <w:rPr>
                <w:sz w:val="16"/>
              </w:rPr>
              <w:t>OV02</w:t>
            </w:r>
          </w:p>
        </w:tc>
        <w:tc>
          <w:tcPr>
            <w:tcW w:type="dxa" w:w="3240"/>
            <w:tcMar>
              <w:top w:w="55" w:type="dxa"/>
              <w:start w:w="60" w:type="dxa"/>
              <w:bottom w:w="55" w:type="dxa"/>
              <w:end w:w="60" w:type="dxa"/>
            </w:tcMar>
            <w:shd w:fill="F7F9FB"/>
          </w:tcPr>
          <w:p>
            <w:pPr>
              <w:spacing w:after="0"/>
            </w:pPr>
            <w:r>
              <w:rPr>
                <w:sz w:val="16"/>
              </w:rPr>
              <w:t>Radial-conjunction transport case</w:t>
            </w:r>
          </w:p>
        </w:tc>
        <w:tc>
          <w:tcPr>
            <w:tcW w:type="dxa" w:w="1944"/>
            <w:tcMar>
              <w:top w:w="55" w:type="dxa"/>
              <w:start w:w="60" w:type="dxa"/>
              <w:bottom w:w="55" w:type="dxa"/>
              <w:end w:w="60" w:type="dxa"/>
            </w:tcMar>
            <w:shd w:fill="F7F9FB"/>
          </w:tcPr>
          <w:p>
            <w:pPr>
              <w:spacing w:after="0"/>
            </w:pPr>
            <w:r>
              <w:rPr>
                <w:sz w:val="16"/>
              </w:rPr>
              <w:t>Observational validation</w:t>
            </w:r>
          </w:p>
        </w:tc>
        <w:tc>
          <w:tcPr>
            <w:tcW w:type="dxa" w:w="1181"/>
            <w:tcMar>
              <w:top w:w="55" w:type="dxa"/>
              <w:start w:w="60" w:type="dxa"/>
              <w:bottom w:w="55" w:type="dxa"/>
              <w:end w:w="60" w:type="dxa"/>
            </w:tcMar>
            <w:shd w:fill="F7F9FB"/>
          </w:tcPr>
          <w:p>
            <w:pPr>
              <w:spacing w:after="0"/>
            </w:pPr>
            <w:r>
              <w:rPr>
                <w:sz w:val="16"/>
              </w:rPr>
              <w:t>Yes</w:t>
            </w:r>
          </w:p>
        </w:tc>
        <w:tc>
          <w:tcPr>
            <w:tcW w:type="dxa" w:w="1757"/>
            <w:tcMar>
              <w:top w:w="55" w:type="dxa"/>
              <w:start w:w="60" w:type="dxa"/>
              <w:bottom w:w="55" w:type="dxa"/>
              <w:end w:w="60" w:type="dxa"/>
            </w:tcMar>
            <w:shd w:fill="F7F9FB"/>
          </w:tcPr>
          <w:p>
            <w:pPr>
              <w:spacing w:after="0"/>
            </w:pPr>
            <w:r>
              <w:rPr>
                <w:sz w:val="16"/>
              </w:rPr>
              <w:t>Required release</w:t>
            </w:r>
          </w:p>
        </w:tc>
      </w:tr>
      <w:tr>
        <w:tc>
          <w:tcPr>
            <w:tcW w:type="dxa" w:w="547"/>
            <w:tcMar>
              <w:top w:w="55" w:type="dxa"/>
              <w:start w:w="60" w:type="dxa"/>
              <w:bottom w:w="55" w:type="dxa"/>
              <w:end w:w="60" w:type="dxa"/>
            </w:tcMar>
          </w:tcPr>
          <w:p>
            <w:pPr>
              <w:spacing w:after="0"/>
            </w:pPr>
            <w:r>
              <w:rPr>
                <w:sz w:val="16"/>
              </w:rPr>
              <w:t>24</w:t>
            </w:r>
          </w:p>
        </w:tc>
        <w:tc>
          <w:tcPr>
            <w:tcW w:type="dxa" w:w="691"/>
            <w:tcMar>
              <w:top w:w="55" w:type="dxa"/>
              <w:start w:w="60" w:type="dxa"/>
              <w:bottom w:w="55" w:type="dxa"/>
              <w:end w:w="60" w:type="dxa"/>
            </w:tcMar>
          </w:tcPr>
          <w:p>
            <w:pPr>
              <w:spacing w:after="0"/>
            </w:pPr>
            <w:r>
              <w:rPr>
                <w:sz w:val="16"/>
              </w:rPr>
              <w:t>OV03</w:t>
            </w:r>
          </w:p>
        </w:tc>
        <w:tc>
          <w:tcPr>
            <w:tcW w:type="dxa" w:w="3240"/>
            <w:tcMar>
              <w:top w:w="55" w:type="dxa"/>
              <w:start w:w="60" w:type="dxa"/>
              <w:bottom w:w="55" w:type="dxa"/>
              <w:end w:w="60" w:type="dxa"/>
            </w:tcMar>
          </w:tcPr>
          <w:p>
            <w:pPr>
              <w:spacing w:after="0"/>
            </w:pPr>
            <w:r>
              <w:rPr>
                <w:sz w:val="16"/>
              </w:rPr>
              <w:t>2013 May 22–23 interacting-CME event</w:t>
            </w:r>
          </w:p>
        </w:tc>
        <w:tc>
          <w:tcPr>
            <w:tcW w:type="dxa" w:w="1944"/>
            <w:tcMar>
              <w:top w:w="55" w:type="dxa"/>
              <w:start w:w="60" w:type="dxa"/>
              <w:bottom w:w="55" w:type="dxa"/>
              <w:end w:w="60" w:type="dxa"/>
            </w:tcMar>
          </w:tcPr>
          <w:p>
            <w:pPr>
              <w:spacing w:after="0"/>
            </w:pPr>
            <w:r>
              <w:rPr>
                <w:sz w:val="16"/>
              </w:rPr>
              <w:t>Observational validation</w:t>
            </w:r>
          </w:p>
        </w:tc>
        <w:tc>
          <w:tcPr>
            <w:tcW w:type="dxa" w:w="1181"/>
            <w:tcMar>
              <w:top w:w="55" w:type="dxa"/>
              <w:start w:w="60" w:type="dxa"/>
              <w:bottom w:w="55" w:type="dxa"/>
              <w:end w:w="60" w:type="dxa"/>
            </w:tcMar>
          </w:tcPr>
          <w:p>
            <w:pPr>
              <w:spacing w:after="0"/>
            </w:pPr>
            <w:r>
              <w:rPr>
                <w:sz w:val="16"/>
              </w:rPr>
              <w:t>Yes</w:t>
            </w:r>
          </w:p>
        </w:tc>
        <w:tc>
          <w:tcPr>
            <w:tcW w:type="dxa" w:w="1757"/>
            <w:tcMar>
              <w:top w:w="55" w:type="dxa"/>
              <w:start w:w="60" w:type="dxa"/>
              <w:bottom w:w="55" w:type="dxa"/>
              <w:end w:w="60" w:type="dxa"/>
            </w:tcMar>
          </w:tcPr>
          <w:p>
            <w:pPr>
              <w:spacing w:after="0"/>
            </w:pPr>
            <w:r>
              <w:rPr>
                <w:sz w:val="16"/>
              </w:rPr>
              <w:t>Diagnostic stress case</w:t>
            </w:r>
          </w:p>
        </w:tc>
      </w:tr>
      <w:tr>
        <w:tc>
          <w:tcPr>
            <w:tcW w:type="dxa" w:w="547"/>
            <w:tcMar>
              <w:top w:w="55" w:type="dxa"/>
              <w:start w:w="60" w:type="dxa"/>
              <w:bottom w:w="55" w:type="dxa"/>
              <w:end w:w="60" w:type="dxa"/>
            </w:tcMar>
            <w:shd w:fill="F7F9FB"/>
          </w:tcPr>
          <w:p>
            <w:pPr>
              <w:spacing w:after="0"/>
            </w:pPr>
            <w:r>
              <w:rPr>
                <w:sz w:val="16"/>
              </w:rPr>
              <w:t>25</w:t>
            </w:r>
          </w:p>
        </w:tc>
        <w:tc>
          <w:tcPr>
            <w:tcW w:type="dxa" w:w="691"/>
            <w:tcMar>
              <w:top w:w="55" w:type="dxa"/>
              <w:start w:w="60" w:type="dxa"/>
              <w:bottom w:w="55" w:type="dxa"/>
              <w:end w:w="60" w:type="dxa"/>
            </w:tcMar>
            <w:shd w:fill="F7F9FB"/>
          </w:tcPr>
          <w:p>
            <w:pPr>
              <w:spacing w:after="0"/>
            </w:pPr>
            <w:r>
              <w:rPr>
                <w:sz w:val="16"/>
              </w:rPr>
              <w:t>OV04</w:t>
            </w:r>
          </w:p>
        </w:tc>
        <w:tc>
          <w:tcPr>
            <w:tcW w:type="dxa" w:w="3240"/>
            <w:tcMar>
              <w:top w:w="55" w:type="dxa"/>
              <w:start w:w="60" w:type="dxa"/>
              <w:bottom w:w="55" w:type="dxa"/>
              <w:end w:w="60" w:type="dxa"/>
            </w:tcMar>
            <w:shd w:fill="F7F9FB"/>
          </w:tcPr>
          <w:p>
            <w:pPr>
              <w:spacing w:after="0"/>
            </w:pPr>
            <w:r>
              <w:rPr>
                <w:sz w:val="16"/>
              </w:rPr>
              <w:t>2014 January 6–9 connectivity-sensitive event</w:t>
            </w:r>
          </w:p>
        </w:tc>
        <w:tc>
          <w:tcPr>
            <w:tcW w:type="dxa" w:w="1944"/>
            <w:tcMar>
              <w:top w:w="55" w:type="dxa"/>
              <w:start w:w="60" w:type="dxa"/>
              <w:bottom w:w="55" w:type="dxa"/>
              <w:end w:w="60" w:type="dxa"/>
            </w:tcMar>
            <w:shd w:fill="F7F9FB"/>
          </w:tcPr>
          <w:p>
            <w:pPr>
              <w:spacing w:after="0"/>
            </w:pPr>
            <w:r>
              <w:rPr>
                <w:sz w:val="16"/>
              </w:rPr>
              <w:t>Observational validation</w:t>
            </w:r>
          </w:p>
        </w:tc>
        <w:tc>
          <w:tcPr>
            <w:tcW w:type="dxa" w:w="1181"/>
            <w:tcMar>
              <w:top w:w="55" w:type="dxa"/>
              <w:start w:w="60" w:type="dxa"/>
              <w:bottom w:w="55" w:type="dxa"/>
              <w:end w:w="60" w:type="dxa"/>
            </w:tcMar>
            <w:shd w:fill="F7F9FB"/>
          </w:tcPr>
          <w:p>
            <w:pPr>
              <w:spacing w:after="0"/>
            </w:pPr>
            <w:r>
              <w:rPr>
                <w:sz w:val="16"/>
              </w:rPr>
              <w:t>Yes</w:t>
            </w:r>
          </w:p>
        </w:tc>
        <w:tc>
          <w:tcPr>
            <w:tcW w:type="dxa" w:w="1757"/>
            <w:tcMar>
              <w:top w:w="55" w:type="dxa"/>
              <w:start w:w="60" w:type="dxa"/>
              <w:bottom w:w="55" w:type="dxa"/>
              <w:end w:w="60" w:type="dxa"/>
            </w:tcMar>
            <w:shd w:fill="F7F9FB"/>
          </w:tcPr>
          <w:p>
            <w:pPr>
              <w:spacing w:after="0"/>
            </w:pPr>
            <w:r>
              <w:rPr>
                <w:sz w:val="16"/>
              </w:rPr>
              <w:t>Diagnostic stress case</w:t>
            </w:r>
          </w:p>
        </w:tc>
      </w:tr>
      <w:tr>
        <w:tc>
          <w:tcPr>
            <w:tcW w:type="dxa" w:w="547"/>
            <w:tcMar>
              <w:top w:w="55" w:type="dxa"/>
              <w:start w:w="60" w:type="dxa"/>
              <w:bottom w:w="55" w:type="dxa"/>
              <w:end w:w="60" w:type="dxa"/>
            </w:tcMar>
          </w:tcPr>
          <w:p>
            <w:pPr>
              <w:spacing w:after="0"/>
            </w:pPr>
            <w:r>
              <w:rPr>
                <w:sz w:val="16"/>
              </w:rPr>
              <w:t>26</w:t>
            </w:r>
          </w:p>
        </w:tc>
        <w:tc>
          <w:tcPr>
            <w:tcW w:type="dxa" w:w="691"/>
            <w:tcMar>
              <w:top w:w="55" w:type="dxa"/>
              <w:start w:w="60" w:type="dxa"/>
              <w:bottom w:w="55" w:type="dxa"/>
              <w:end w:w="60" w:type="dxa"/>
            </w:tcMar>
          </w:tcPr>
          <w:p>
            <w:pPr>
              <w:spacing w:after="0"/>
            </w:pPr>
            <w:r>
              <w:rPr>
                <w:sz w:val="16"/>
              </w:rPr>
              <w:t>OV05</w:t>
            </w:r>
          </w:p>
        </w:tc>
        <w:tc>
          <w:tcPr>
            <w:tcW w:type="dxa" w:w="3240"/>
            <w:tcMar>
              <w:top w:w="55" w:type="dxa"/>
              <w:start w:w="60" w:type="dxa"/>
              <w:bottom w:w="55" w:type="dxa"/>
              <w:end w:w="60" w:type="dxa"/>
            </w:tcMar>
          </w:tcPr>
          <w:p>
            <w:pPr>
              <w:spacing w:after="0"/>
            </w:pPr>
            <w:r>
              <w:rPr>
                <w:sz w:val="16"/>
              </w:rPr>
              <w:t>September 2017 widespread and compound events</w:t>
            </w:r>
          </w:p>
        </w:tc>
        <w:tc>
          <w:tcPr>
            <w:tcW w:type="dxa" w:w="1944"/>
            <w:tcMar>
              <w:top w:w="55" w:type="dxa"/>
              <w:start w:w="60" w:type="dxa"/>
              <w:bottom w:w="55" w:type="dxa"/>
              <w:end w:w="60" w:type="dxa"/>
            </w:tcMar>
          </w:tcPr>
          <w:p>
            <w:pPr>
              <w:spacing w:after="0"/>
            </w:pPr>
            <w:r>
              <w:rPr>
                <w:sz w:val="16"/>
              </w:rPr>
              <w:t>Observational validation</w:t>
            </w:r>
          </w:p>
        </w:tc>
        <w:tc>
          <w:tcPr>
            <w:tcW w:type="dxa" w:w="1181"/>
            <w:tcMar>
              <w:top w:w="55" w:type="dxa"/>
              <w:start w:w="60" w:type="dxa"/>
              <w:bottom w:w="55" w:type="dxa"/>
              <w:end w:w="60" w:type="dxa"/>
            </w:tcMar>
          </w:tcPr>
          <w:p>
            <w:pPr>
              <w:spacing w:after="0"/>
            </w:pPr>
            <w:r>
              <w:rPr>
                <w:sz w:val="16"/>
              </w:rPr>
              <w:t>Yes</w:t>
            </w:r>
          </w:p>
        </w:tc>
        <w:tc>
          <w:tcPr>
            <w:tcW w:type="dxa" w:w="1757"/>
            <w:tcMar>
              <w:top w:w="55" w:type="dxa"/>
              <w:start w:w="60" w:type="dxa"/>
              <w:bottom w:w="55" w:type="dxa"/>
              <w:end w:w="60" w:type="dxa"/>
            </w:tcMar>
          </w:tcPr>
          <w:p>
            <w:pPr>
              <w:spacing w:after="0"/>
            </w:pPr>
            <w:r>
              <w:rPr>
                <w:sz w:val="16"/>
              </w:rPr>
              <w:t>Diagnostic stress case</w:t>
            </w:r>
          </w:p>
        </w:tc>
      </w:tr>
      <w:tr>
        <w:tc>
          <w:tcPr>
            <w:tcW w:type="dxa" w:w="547"/>
            <w:tcMar>
              <w:top w:w="55" w:type="dxa"/>
              <w:start w:w="60" w:type="dxa"/>
              <w:bottom w:w="55" w:type="dxa"/>
              <w:end w:w="60" w:type="dxa"/>
            </w:tcMar>
            <w:shd w:fill="F7F9FB"/>
          </w:tcPr>
          <w:p>
            <w:pPr>
              <w:spacing w:after="0"/>
            </w:pPr>
            <w:r>
              <w:rPr>
                <w:sz w:val="16"/>
              </w:rPr>
              <w:t>27</w:t>
            </w:r>
          </w:p>
        </w:tc>
        <w:tc>
          <w:tcPr>
            <w:tcW w:type="dxa" w:w="691"/>
            <w:tcMar>
              <w:top w:w="55" w:type="dxa"/>
              <w:start w:w="60" w:type="dxa"/>
              <w:bottom w:w="55" w:type="dxa"/>
              <w:end w:w="60" w:type="dxa"/>
            </w:tcMar>
            <w:shd w:fill="F7F9FB"/>
          </w:tcPr>
          <w:p>
            <w:pPr>
              <w:spacing w:after="0"/>
            </w:pPr>
            <w:r>
              <w:rPr>
                <w:sz w:val="16"/>
              </w:rPr>
              <w:t>EV01</w:t>
            </w:r>
          </w:p>
        </w:tc>
        <w:tc>
          <w:tcPr>
            <w:tcW w:type="dxa" w:w="3240"/>
            <w:tcMar>
              <w:top w:w="55" w:type="dxa"/>
              <w:start w:w="60" w:type="dxa"/>
              <w:bottom w:w="55" w:type="dxa"/>
              <w:end w:w="60" w:type="dxa"/>
            </w:tcMar>
            <w:shd w:fill="F7F9FB"/>
          </w:tcPr>
          <w:p>
            <w:pPr>
              <w:spacing w:after="0"/>
            </w:pPr>
            <w:r>
              <w:rPr>
                <w:sz w:val="16"/>
              </w:rPr>
              <w:t>Calibration ensemble and parameter identifiability</w:t>
            </w:r>
          </w:p>
        </w:tc>
        <w:tc>
          <w:tcPr>
            <w:tcW w:type="dxa" w:w="1944"/>
            <w:tcMar>
              <w:top w:w="55" w:type="dxa"/>
              <w:start w:w="60" w:type="dxa"/>
              <w:bottom w:w="55" w:type="dxa"/>
              <w:end w:w="60" w:type="dxa"/>
            </w:tcMar>
            <w:shd w:fill="F7F9FB"/>
          </w:tcPr>
          <w:p>
            <w:pPr>
              <w:spacing w:after="0"/>
            </w:pPr>
            <w:r>
              <w:rPr>
                <w:sz w:val="16"/>
              </w:rPr>
              <w:t>Campaign-level evidence</w:t>
            </w:r>
          </w:p>
        </w:tc>
        <w:tc>
          <w:tcPr>
            <w:tcW w:type="dxa" w:w="1181"/>
            <w:tcMar>
              <w:top w:w="55" w:type="dxa"/>
              <w:start w:w="60" w:type="dxa"/>
              <w:bottom w:w="55" w:type="dxa"/>
              <w:end w:w="60" w:type="dxa"/>
            </w:tcMar>
            <w:shd w:fill="F7F9FB"/>
          </w:tcPr>
          <w:p>
            <w:pPr>
              <w:spacing w:after="0"/>
            </w:pPr>
            <w:r>
              <w:rPr>
                <w:sz w:val="16"/>
              </w:rPr>
              <w:t>Yes</w:t>
            </w:r>
          </w:p>
        </w:tc>
        <w:tc>
          <w:tcPr>
            <w:tcW w:type="dxa" w:w="1757"/>
            <w:tcMar>
              <w:top w:w="55" w:type="dxa"/>
              <w:start w:w="60" w:type="dxa"/>
              <w:bottom w:w="55" w:type="dxa"/>
              <w:end w:w="60" w:type="dxa"/>
            </w:tcMar>
            <w:shd w:fill="F7F9FB"/>
          </w:tcPr>
          <w:p>
            <w:pPr>
              <w:spacing w:after="0"/>
            </w:pPr>
            <w:r>
              <w:rPr>
                <w:sz w:val="16"/>
              </w:rPr>
              <w:t>Required campaign</w:t>
            </w:r>
          </w:p>
        </w:tc>
      </w:tr>
      <w:tr>
        <w:tc>
          <w:tcPr>
            <w:tcW w:type="dxa" w:w="547"/>
            <w:tcMar>
              <w:top w:w="55" w:type="dxa"/>
              <w:start w:w="60" w:type="dxa"/>
              <w:bottom w:w="55" w:type="dxa"/>
              <w:end w:w="60" w:type="dxa"/>
            </w:tcMar>
          </w:tcPr>
          <w:p>
            <w:pPr>
              <w:spacing w:after="0"/>
            </w:pPr>
            <w:r>
              <w:rPr>
                <w:sz w:val="16"/>
              </w:rPr>
              <w:t>28</w:t>
            </w:r>
          </w:p>
        </w:tc>
        <w:tc>
          <w:tcPr>
            <w:tcW w:type="dxa" w:w="691"/>
            <w:tcMar>
              <w:top w:w="55" w:type="dxa"/>
              <w:start w:w="60" w:type="dxa"/>
              <w:bottom w:w="55" w:type="dxa"/>
              <w:end w:w="60" w:type="dxa"/>
            </w:tcMar>
          </w:tcPr>
          <w:p>
            <w:pPr>
              <w:spacing w:after="0"/>
            </w:pPr>
            <w:r>
              <w:rPr>
                <w:sz w:val="16"/>
              </w:rPr>
              <w:t>EV02</w:t>
            </w:r>
          </w:p>
        </w:tc>
        <w:tc>
          <w:tcPr>
            <w:tcW w:type="dxa" w:w="3240"/>
            <w:tcMar>
              <w:top w:w="55" w:type="dxa"/>
              <w:start w:w="60" w:type="dxa"/>
              <w:bottom w:w="55" w:type="dxa"/>
              <w:end w:w="60" w:type="dxa"/>
            </w:tcMar>
          </w:tcPr>
          <w:p>
            <w:pPr>
              <w:spacing w:after="0"/>
            </w:pPr>
            <w:r>
              <w:rPr>
                <w:sz w:val="16"/>
              </w:rPr>
              <w:t>Locked held-out and forward validation campaign</w:t>
            </w:r>
          </w:p>
        </w:tc>
        <w:tc>
          <w:tcPr>
            <w:tcW w:type="dxa" w:w="1944"/>
            <w:tcMar>
              <w:top w:w="55" w:type="dxa"/>
              <w:start w:w="60" w:type="dxa"/>
              <w:bottom w:w="55" w:type="dxa"/>
              <w:end w:w="60" w:type="dxa"/>
            </w:tcMar>
          </w:tcPr>
          <w:p>
            <w:pPr>
              <w:spacing w:after="0"/>
            </w:pPr>
            <w:r>
              <w:rPr>
                <w:sz w:val="16"/>
              </w:rPr>
              <w:t>Campaign-level evidence</w:t>
            </w:r>
          </w:p>
        </w:tc>
        <w:tc>
          <w:tcPr>
            <w:tcW w:type="dxa" w:w="1181"/>
            <w:tcMar>
              <w:top w:w="55" w:type="dxa"/>
              <w:start w:w="60" w:type="dxa"/>
              <w:bottom w:w="55" w:type="dxa"/>
              <w:end w:w="60" w:type="dxa"/>
            </w:tcMar>
          </w:tcPr>
          <w:p>
            <w:pPr>
              <w:spacing w:after="0"/>
            </w:pPr>
            <w:r>
              <w:rPr>
                <w:sz w:val="16"/>
              </w:rPr>
              <w:t>Yes</w:t>
            </w:r>
          </w:p>
        </w:tc>
        <w:tc>
          <w:tcPr>
            <w:tcW w:type="dxa" w:w="1757"/>
            <w:tcMar>
              <w:top w:w="55" w:type="dxa"/>
              <w:start w:w="60" w:type="dxa"/>
              <w:bottom w:w="55" w:type="dxa"/>
              <w:end w:w="60" w:type="dxa"/>
            </w:tcMar>
          </w:tcPr>
          <w:p>
            <w:pPr>
              <w:spacing w:after="0"/>
            </w:pPr>
            <w:r>
              <w:rPr>
                <w:sz w:val="16"/>
              </w:rPr>
              <w:t>Required release</w:t>
            </w:r>
          </w:p>
        </w:tc>
      </w:tr>
    </w:tbl>
    <w:p>
      <w:r>
        <w:br w:type="page"/>
      </w:r>
    </w:p>
    <w:p>
      <w:pPr>
        <w:pStyle w:val="Heading1"/>
      </w:pPr>
      <w:r>
        <w:t>A  Analytical component verification</w:t>
      </w:r>
    </w:p>
    <w:p>
      <w:r>
        <w:t>Strict, inexpensive gates that isolate one mathematical operator or invariant.</w:t>
      </w:r>
    </w:p>
    <w:p>
      <w:pPr>
        <w:pStyle w:val="Caselabel"/>
      </w:pPr>
      <w:r>
        <w:t>Test 01  •  CV01  •  Required pre-merge</w:t>
      </w:r>
    </w:p>
    <w:p>
      <w:pPr>
        <w:pStyle w:val="Heading2"/>
      </w:pPr>
      <w:r>
        <w:t>Test 01  CV01  Ballistic streaming on a uniform field line</w:t>
      </w:r>
    </w:p>
    <w:p>
      <w:pPr>
        <w:keepLines/>
      </w:pPr>
      <w:r>
        <w:rPr>
          <w:b/>
          <w:color w:val="17365D"/>
        </w:rPr>
        <w:t xml:space="preserve">Why it matters  </w:t>
      </w:r>
      <w:r>
        <w:t>This is the irreducible transport limit. It checks the sign and normalization of parallel motion, particle speed, pitch-angle convention, boundary handling, sampling coordinates, and time integration without diffusion or focusing obscuring an error.</w:t>
      </w:r>
    </w:p>
    <w:p>
      <w:pPr>
        <w:keepLines/>
      </w:pPr>
      <w:r>
        <w:rPr>
          <w:b/>
          <w:color w:val="17365D"/>
        </w:rPr>
        <w:t xml:space="preserve">Validation question  </w:t>
      </w:r>
      <w:r>
        <w:t>Does an initially localized distribution translate by the exact characteristic distance s = s₀ + μvt while retaining its shape and particle weight?</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Straight field line; constant magnetic field; solar-wind speed, focusing, pitch-angle diffusion, momentum change, perpendicular transport, sources, and losses disabled. Test μ = −1, −0.5, 0.5, and 1 with monoenergetic particles and both periodic and open boundaries.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Centroid position versus time, packet variance, total statistical weight, boundary-crossing time, and particle-by-particle displacement. Use SI internally and report distance in AU or field-line coordinate units.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Closed-form characteristics generated inside the test; no external data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Bin model particles using fixed, predeclared spatial bins; compute the same moments directly from the analytical packet. Exclude only particles intentionally removed by an open boundary and account for their escaped weight.</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For deterministic movers, max trajectory error ≤ 10⁻¹² of line length and weight conservation ≤ 10⁻¹³. For binned Monte Carlo output, centroid z-score &lt; 3 and escaped-weight accounting closes to five standard errors.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Add a registry entry that forces every non-streaming operator off and records the effective flags in the result manifest.</w:t>
      </w:r>
    </w:p>
    <w:p>
      <w:pPr>
        <w:pStyle w:val="ListBullet"/>
        <w:ind w:left="317" w:hanging="173"/>
      </w:pPr>
      <w:r>
        <w:t>Run at three time steps while keeping the same final time; verify the expected mover order and detect any boundary-time bias.</w:t>
      </w:r>
    </w:p>
    <w:p>
      <w:pPr>
        <w:pStyle w:val="ListBullet"/>
        <w:ind w:left="317" w:hanging="173"/>
      </w:pPr>
      <w:r>
        <w:t>Create a four-panel figure: packet profiles, centroid error, variance error, and conserved/escaped weight.</w:t>
      </w:r>
    </w:p>
    <w:p>
      <w:pPr>
        <w:keepLines/>
      </w:pPr>
      <w:r>
        <w:rPr>
          <w:b/>
          <w:color w:val="17365D"/>
        </w:rPr>
        <w:t xml:space="preserve">Failure diagnosis  </w:t>
      </w:r>
      <w:r>
        <w:t>A signed error isolates μ or field-line orientation; a speed-dependent error implicates relativistic velocity conversion; profile broadening points to time stepping or binning; lost weight indicates boundary bookkeeping.</w:t>
      </w:r>
    </w:p>
    <w:p>
      <w:pPr>
        <w:pStyle w:val="Caselabel"/>
      </w:pPr>
      <w:r>
        <w:t>Test 02  •  CV02  •  Required pre-merge</w:t>
      </w:r>
    </w:p>
    <w:p>
      <w:pPr>
        <w:pStyle w:val="Heading2"/>
      </w:pPr>
      <w:r>
        <w:t>Test 02  CV02  Constant-coefficient spatial diffusion Green function</w:t>
      </w:r>
    </w:p>
    <w:p>
      <w:pPr>
        <w:keepLines/>
      </w:pPr>
      <w:r>
        <w:rPr>
          <w:b/>
          <w:color w:val="17365D"/>
        </w:rPr>
        <w:t xml:space="preserve">Why it matters  </w:t>
      </w:r>
      <w:r>
        <w:t>A correct diffusion operator must reproduce both the Gaussian solution and its variance growth. This case detects factor-of-two errors, biased random increments, inappropriate boundary influence, and incorrect conversion between mean free path and diffusion coefficient.</w:t>
      </w:r>
    </w:p>
    <w:p>
      <w:pPr>
        <w:keepLines/>
      </w:pPr>
      <w:r>
        <w:rPr>
          <w:b/>
          <w:color w:val="17365D"/>
        </w:rPr>
        <w:t xml:space="preserve">Validation question  </w:t>
      </w:r>
      <w:r>
        <w:t>Does the ensemble converge to f(s,t) = N(4πκt)⁻¹ᐟ² exp[−(s−s₀)²/(4κt)] with Var(s)=2κt?</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Long uniform line or periodic domain large enough that the packet remains five standard deviations from a boundary; constant κ; delta-like or narrow Gaussian initial condition; all other physics disabled.</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Normalized spatial density, mean, variance, skewness, kurtosis, escaped weight, L₁/L₂/L∞ profile errors, and estimated κ from the variance slope.</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Analytical Green function evaluated on the exact sampling bins;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Integrate the analytical density over bin edges rather than sampling bin centers. Attach bootstrap or independent-seed confidence intervals to stochastic errors.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|κfit/κ−1| ≤ 2%; mean within 3 standard errors; integrated-density error consistent with N⁻¹ᐟ²; and refinement shows the documented weak order before the run reaches a boundary.</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Use at least 10 independent seeds and three particle counts to demonstrate Monte Carlo scaling.</w:t>
      </w:r>
    </w:p>
    <w:p>
      <w:pPr>
        <w:pStyle w:val="ListBullet"/>
        <w:ind w:left="317" w:hanging="173"/>
      </w:pPr>
      <w:r>
        <w:t>Run three Δt values with common random numbers where supported so time-discretization error can be separated from sampling noise.</w:t>
      </w:r>
    </w:p>
    <w:p>
      <w:pPr>
        <w:pStyle w:val="ListBullet"/>
        <w:ind w:left="317" w:hanging="173"/>
      </w:pPr>
      <w:r>
        <w:t>Store analytical bin integrals and uncertainty bands beside the simulation output.</w:t>
      </w:r>
    </w:p>
    <w:p>
      <w:pPr>
        <w:keepLines/>
      </w:pPr>
      <w:r>
        <w:rPr>
          <w:b/>
          <w:color w:val="17365D"/>
        </w:rPr>
        <w:t xml:space="preserve">Failure diagnosis  </w:t>
      </w:r>
      <w:r>
        <w:t>Variance-slope bias isolates the increment amplitude; a drifting mean signals biased noise; tail-only error often indicates insufficient particles; late-time distortion indicates boundary contamination.</w:t>
      </w:r>
    </w:p>
    <w:p>
      <w:pPr>
        <w:pStyle w:val="Caselabel"/>
      </w:pPr>
      <w:r>
        <w:t>Test 03  •  CV03  •  Required pre-merge</w:t>
      </w:r>
    </w:p>
    <w:p>
      <w:pPr>
        <w:pStyle w:val="Heading2"/>
      </w:pPr>
      <w:r>
        <w:t>Test 03  CV03  Nonuniform diffusion and stochastic-calculus drift</w:t>
      </w:r>
    </w:p>
    <w:p>
      <w:pPr>
        <w:keepLines/>
      </w:pPr>
      <w:r>
        <w:rPr>
          <w:b/>
          <w:color w:val="17365D"/>
        </w:rPr>
        <w:t xml:space="preserve">Why it matters  </w:t>
      </w:r>
      <w:r>
        <w:t>When κ varies along the line, the stochastic differential equation requires a convention-consistent drift term. Omitting or mis-signing that term yields a plausible-looking but physically incorrect particle density.</w:t>
      </w:r>
    </w:p>
    <w:p>
      <w:pPr>
        <w:keepLines/>
      </w:pPr>
      <w:r>
        <w:rPr>
          <w:b/>
          <w:color w:val="17365D"/>
        </w:rPr>
        <w:t xml:space="preserve">Validation question  </w:t>
      </w:r>
      <w:r>
        <w:t>Does the particle method solve the intended conservative Fokker–Planck equation for κ(s), including the required spatial drift?</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Smooth positive κ(s)=κ₀[1+a sin(2πs/L)] on a periodic line, with 0&lt;a≤0.5; uniform initial density for the equilibrium test and a localized packet for transient convergence.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Stationary density, probability flux, packet mean and variance, L₂ error against an independent finite-volume solution, and measured refinement order.</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Manufactured steady solution plus a small independent finite-volume reference solver committed under test/reference; no external data.</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Evaluate κ and its derivative at precisely documented temporal/spatial locations. Project both solutions onto a common conservative grid before differencing.</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Zero-flux equilibrium remains uniform to the 99% Monte Carlo confidence band; transient L₂ error decreases at the designed weak order; probability closes within five standard errors.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Document whether the implementation is Itô, Stratonovich, or a discretization of the conservative flux form.</w:t>
      </w:r>
    </w:p>
    <w:p>
      <w:pPr>
        <w:pStyle w:val="ListBullet"/>
        <w:ind w:left="317" w:hanging="173"/>
      </w:pPr>
      <w:r>
        <w:t>Test analytic and numerically differentiated dκ/ds paths separately.</w:t>
      </w:r>
    </w:p>
    <w:p>
      <w:pPr>
        <w:pStyle w:val="ListBullet"/>
        <w:ind w:left="317" w:hanging="173"/>
      </w:pPr>
      <w:r>
        <w:t>Perturb the drift sign in a negative-control test and confirm that the test fails.</w:t>
      </w:r>
    </w:p>
    <w:p>
      <w:pPr>
        <w:keepLines/>
      </w:pPr>
      <w:r>
        <w:rPr>
          <w:b/>
          <w:color w:val="17365D"/>
        </w:rPr>
        <w:t xml:space="preserve">Failure diagnosis  </w:t>
      </w:r>
      <w:r>
        <w:t>A nonuniform stationary density is the signature of a missing stochastic drift; loss of order with numerical gradients identifies derivative resolution or interpolation error.</w:t>
      </w:r>
    </w:p>
    <w:p>
      <w:pPr>
        <w:pStyle w:val="Caselabel"/>
      </w:pPr>
      <w:r>
        <w:t>Test 04  •  CV04  •  Required pre-merge</w:t>
      </w:r>
    </w:p>
    <w:p>
      <w:pPr>
        <w:pStyle w:val="Heading2"/>
      </w:pPr>
      <w:r>
        <w:t>Test 04  CV04  Adiabatic momentum change in expanding solar wind</w:t>
      </w:r>
    </w:p>
    <w:p>
      <w:pPr>
        <w:keepLines/>
      </w:pPr>
      <w:r>
        <w:rPr>
          <w:b/>
          <w:color w:val="17365D"/>
        </w:rPr>
        <w:t xml:space="preserve">Why it matters  </w:t>
      </w:r>
      <w:r>
        <w:t>Adiabatic deceleration controls spectral evolution during heliospheric propagation. A sign, dimensional, or frame error can reproduce arrival times while corrupting intensities and energy spectra.</w:t>
      </w:r>
    </w:p>
    <w:p>
      <w:pPr>
        <w:keepLines/>
      </w:pPr>
      <w:r>
        <w:rPr>
          <w:b/>
          <w:color w:val="17365D"/>
        </w:rPr>
        <w:t xml:space="preserve">Validation question  </w:t>
      </w:r>
      <w:r>
        <w:t>Does momentum follow dp/dt = −(p/3)∇·Vsw along a prescribed trajectory and preserve the expected phase-space transformation?</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Prescribed constant divergence or spherical constant-speed wind where ∇·Vsw=2Vsw/r; disable scattering and focusing for the single-particle characteristic, then repeat for an ensemble spectrum.</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p(t), kinetic energy, spectral break/shift, particle weight, and fitted slope. Compare proton and one heavier-ion species to expose per-nucleon/unit mistakes.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Analytical exponential solution for constant divergence and p∝r⁻²ᐟ³ for constant radial wind;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Use relativistic p–E conversion consistently. Compare at common times/radii and transform reference spectra with the same phase-space Jacobian used by srcSEP diagnostics.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Single-particle relative momentum error ≤ 10⁻⁹ for an exactly integrated coefficient or demonstrates the declared time order; ensemble spectral moments agree within combined numerical and sampling uncertainty.</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Add constant-divergence and spherical-wind fixtures with closed-form answers.</w:t>
      </w:r>
    </w:p>
    <w:p>
      <w:pPr>
        <w:pStyle w:val="ListBullet"/>
        <w:ind w:left="317" w:hanging="173"/>
      </w:pPr>
      <w:r>
        <w:t>Sweep nonrelativistic through relativistic energies to test the momentum-energy conversion.</w:t>
      </w:r>
    </w:p>
    <w:p>
      <w:pPr>
        <w:pStyle w:val="ListBullet"/>
        <w:ind w:left="317" w:hanging="173"/>
      </w:pPr>
      <w:r>
        <w:t>Report separate mover, interpolation, and sampling contributions to the error budget.</w:t>
      </w:r>
    </w:p>
    <w:p>
      <w:pPr>
        <w:keepLines/>
      </w:pPr>
      <w:r>
        <w:rPr>
          <w:b/>
          <w:color w:val="17365D"/>
        </w:rPr>
        <w:t xml:space="preserve">Failure diagnosis  </w:t>
      </w:r>
      <w:r>
        <w:t>Wrong sign produces acceleration; radius-dependent bias implicates divergence/interpolation; energy-dependent bias points to relativistic conversion or per-nucleon handling.</w:t>
      </w:r>
    </w:p>
    <w:p>
      <w:pPr>
        <w:pStyle w:val="Caselabel"/>
      </w:pPr>
      <w:r>
        <w:t>Test 05  •  CV05  •  Required pre-merge</w:t>
      </w:r>
    </w:p>
    <w:p>
      <w:pPr>
        <w:pStyle w:val="Heading2"/>
      </w:pPr>
      <w:r>
        <w:t>Test 05  CV05  Magnetic focusing in a prescribed field gradient</w:t>
      </w:r>
    </w:p>
    <w:p>
      <w:pPr>
        <w:keepLines/>
      </w:pPr>
      <w:r>
        <w:rPr>
          <w:b/>
          <w:color w:val="17365D"/>
        </w:rPr>
        <w:t xml:space="preserve">Why it matters  </w:t>
      </w:r>
      <w:r>
        <w:t>Focusing couples magnetic geometry to pitch angle and is central to early SEP anisotropy. It is sensitive to field-line orientation, focusing-length sign, μ boundary treatment, and interpolation of B.</w:t>
      </w:r>
    </w:p>
    <w:p>
      <w:pPr>
        <w:keepLines/>
      </w:pPr>
      <w:r>
        <w:rPr>
          <w:b/>
          <w:color w:val="17365D"/>
        </w:rPr>
        <w:t xml:space="preserve">Validation question  </w:t>
      </w:r>
      <w:r>
        <w:t>Are the guiding-center focusing characteristics and the corresponding distribution transformation reproduced for known B(s)?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Use B(s)=B₀exp(−s/LB), giving constant focusing length, and a smooth injected pitch-angle distribution. Disable scattering, flow, diffusion, and momentum change.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μ(s), travel time, pitch-angle distribution, first two angular moments, particle count/weight, and invariant derived from magnetic moment under the model assumptions.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Integrate the characteristic equations analytically where possible and with a high-accuracy ODE solver as an independent reference.</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Use identical μ bin edges and integrate the reference distribution over bins. Treat μ=±1 with the production boundary rule rather than clipping after sampling.</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Characteristic errors converge at the declared mover order; moment errors fall within 3σ; no particles leave the physical μ interval except at roundoff level.</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Test both field-line directions and both signs of dB/ds.</w:t>
      </w:r>
    </w:p>
    <w:p>
      <w:pPr>
        <w:pStyle w:val="ListBullet"/>
        <w:ind w:left="317" w:hanging="173"/>
      </w:pPr>
      <w:r>
        <w:t>Include particles initialized near μ=0 and μ=±1.</w:t>
      </w:r>
    </w:p>
    <w:p>
      <w:pPr>
        <w:pStyle w:val="ListBullet"/>
        <w:ind w:left="317" w:hanging="173"/>
      </w:pPr>
      <w:r>
        <w:t>Add a negative control with reversed focusing length and require a failed moment comparison.</w:t>
      </w:r>
    </w:p>
    <w:p>
      <w:pPr>
        <w:keepLines/>
      </w:pPr>
      <w:r>
        <w:rPr>
          <w:b/>
          <w:color w:val="17365D"/>
        </w:rPr>
        <w:t xml:space="preserve">Failure diagnosis  </w:t>
      </w:r>
      <w:r>
        <w:t>A mirrored solution indicates an orientation/sign error; pile-up at μ boundaries indicates clipping; oscillatory error suggests under-resolved field gradients.</w:t>
      </w:r>
    </w:p>
    <w:p>
      <w:pPr>
        <w:pStyle w:val="Caselabel"/>
      </w:pPr>
      <w:r>
        <w:t>Test 06  •  CV06  •  Required pre-merge</w:t>
      </w:r>
    </w:p>
    <w:p>
      <w:pPr>
        <w:pStyle w:val="Heading2"/>
      </w:pPr>
      <w:r>
        <w:t>Test 06  CV06  Legendre-mode pitch-angle diffusion</w:t>
      </w:r>
    </w:p>
    <w:p>
      <w:pPr>
        <w:keepLines/>
      </w:pPr>
      <w:r>
        <w:rPr>
          <w:b/>
          <w:color w:val="17365D"/>
        </w:rPr>
        <w:t xml:space="preserve">Why it matters  </w:t>
      </w:r>
      <w:r>
        <w:t>The Legendre eigenmodes provide an exact, mode-by-mode check of the pitch-angle scattering operator, including eigenvalue normalization and behavior at μ=±1.</w:t>
      </w:r>
    </w:p>
    <w:p>
      <w:pPr>
        <w:keepLines/>
      </w:pPr>
      <w:r>
        <w:rPr>
          <w:b/>
          <w:color w:val="17365D"/>
        </w:rPr>
        <w:t xml:space="preserve">Validation question  </w:t>
      </w:r>
      <w:r>
        <w:t>For Dμμ=D₀(1−μ²), does each Pℓ(μ) decay as exp[−ℓ(ℓ+1)D₀t] without coupling to other modes?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Homogeneous line; no spatial motion; initialize f(μ,0)=1+εPℓ(μ) for ℓ=1…6 with positivity-preserving ε; test production μ boundary handling.</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Legendre coefficients aℓ(t), fitted decay rates, leakage into noninitialized modes, total angular integral, and μ-boundary hit statistics.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Exact Legendre eigenmode decay;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Estimate coefficients by quadrature or unbiased particle weights. Report uncertainty from seeds and condition the mode fit on times before the signal falls into noise.</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Decay-rate error ≤ 2% for resolved modes, modal leakage below 1% of the initial amplitude, and isotropic mode conserved within five standard errors; demonstrate time-step convergence.</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Register one parameterized test rather than six duplicated executables.</w:t>
      </w:r>
    </w:p>
    <w:p>
      <w:pPr>
        <w:pStyle w:val="ListBullet"/>
        <w:ind w:left="317" w:hanging="173"/>
      </w:pPr>
      <w:r>
        <w:t>Use antithetic μ sampling if available to reduce odd-mode noise.</w:t>
      </w:r>
    </w:p>
    <w:p>
      <w:pPr>
        <w:pStyle w:val="ListBullet"/>
        <w:ind w:left="317" w:hanging="173"/>
      </w:pPr>
      <w:r>
        <w:t>Plot log|aℓ| with the analytical slope and a leakage matrix.</w:t>
      </w:r>
    </w:p>
    <w:p>
      <w:pPr>
        <w:keepLines/>
      </w:pPr>
      <w:r>
        <w:rPr>
          <w:b/>
          <w:color w:val="17365D"/>
        </w:rPr>
        <w:t xml:space="preserve">Failure diagnosis  </w:t>
      </w:r>
      <w:r>
        <w:t>A common scale error across ℓ indicates Dμμ normalization; high-ℓ degradation indicates time-step or μ resolution; parity leakage indicates sampling or boundary asymmetry.</w:t>
      </w:r>
    </w:p>
    <w:p>
      <w:pPr>
        <w:pStyle w:val="Caselabel"/>
      </w:pPr>
      <w:r>
        <w:t>Test 07  •  CV07  •  Required pre-merge</w:t>
      </w:r>
    </w:p>
    <w:p>
      <w:pPr>
        <w:pStyle w:val="Heading2"/>
      </w:pPr>
      <w:r>
        <w:t>Test 07  CV07  Telegraph transport and diffusion limit</w:t>
      </w:r>
    </w:p>
    <w:p>
      <w:pPr>
        <w:keepLines/>
      </w:pPr>
      <w:r>
        <w:rPr>
          <w:b/>
          <w:color w:val="17365D"/>
        </w:rPr>
        <w:t xml:space="preserve">Why it matters  </w:t>
      </w:r>
      <w:r>
        <w:t>Early SEP propagation is not instantly diffusive. A persistent random-flight/telegraph benchmark checks finite propagation speed and verifies that the same scattering implementation approaches diffusion at late time.</w:t>
      </w:r>
    </w:p>
    <w:p>
      <w:pPr>
        <w:keepLines/>
      </w:pPr>
      <w:r>
        <w:rPr>
          <w:b/>
          <w:color w:val="17365D"/>
        </w:rPr>
        <w:t xml:space="preserve">Validation question  </w:t>
      </w:r>
      <w:r>
        <w:t>Does the model capture the ballistic fronts, their decay, and the late-time diffusion coefficient implied by the switching/scattering rate?</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One-dimensional two-stream model with velocities ±v and Poisson switching rate ν; localized symmetric initial condition; domain large enough to avoid boundaries.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Front locations and weights, central density, mean-square displacement, kurtosis, propagation support, and late-time κeff.</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Closed-form telegraph solution where evaluated robustly; otherwise an independent spectral solution with convergence documented.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Represent delta fronts as exact bin integrals; never compare point values at the singular fronts. Separate early νt&lt;1 and late νt≫1 scoring windows.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No probability outside |s−s₀|≤vt beyond numerical tolerance; front mass and second moment within 3σ; κeff approaches the analytic limit within 3%.</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Implement early- and late-time metric blocks.</w:t>
      </w:r>
    </w:p>
    <w:p>
      <w:pPr>
        <w:pStyle w:val="ListBullet"/>
        <w:ind w:left="317" w:hanging="173"/>
      </w:pPr>
      <w:r>
        <w:t>Run a ν sweep that bridges ballistic and diffusive regimes.</w:t>
      </w:r>
    </w:p>
    <w:p>
      <w:pPr>
        <w:pStyle w:val="ListBullet"/>
        <w:ind w:left="317" w:hanging="173"/>
      </w:pPr>
      <w:r>
        <w:t>Add a diffusion-only reference on the late-time window to demonstrate asymptotic convergence.</w:t>
      </w:r>
    </w:p>
    <w:p>
      <w:pPr>
        <w:keepLines/>
      </w:pPr>
      <w:r>
        <w:rPr>
          <w:b/>
          <w:color w:val="17365D"/>
        </w:rPr>
        <w:t xml:space="preserve">Failure diagnosis  </w:t>
      </w:r>
      <w:r>
        <w:t>Superluminal support indicates an inappropriate diffusion shortcut; incorrect fronts implicate switching probability; wrong late κ isolates the scattering-to-mean-free-path mapping.</w:t>
      </w:r>
    </w:p>
    <w:p>
      <w:pPr>
        <w:pStyle w:val="Caselabel"/>
      </w:pPr>
      <w:r>
        <w:t>Test 08  •  CV08  •  Required pre-merge</w:t>
      </w:r>
    </w:p>
    <w:p>
      <w:pPr>
        <w:pStyle w:val="Heading2"/>
      </w:pPr>
      <w:r>
        <w:t>Test 08  CV08  Absorbing-boundary first-passage distribution</w:t>
      </w:r>
    </w:p>
    <w:p>
      <w:pPr>
        <w:keepLines/>
      </w:pPr>
      <w:r>
        <w:rPr>
          <w:b/>
          <w:color w:val="17365D"/>
        </w:rPr>
        <w:t xml:space="preserve">Why it matters  </w:t>
      </w:r>
      <w:r>
        <w:t>Escape, injection, and detector-crossing diagnostics depend on first-passage statistics, not only instantaneous density. This test validates boundary crossing, substep interpolation, and event-time sampling.</w:t>
      </w:r>
    </w:p>
    <w:p>
      <w:pPr>
        <w:keepLines/>
      </w:pPr>
      <w:r>
        <w:rPr>
          <w:b/>
          <w:color w:val="17365D"/>
        </w:rPr>
        <w:t xml:space="preserve">Validation question  </w:t>
      </w:r>
      <w:r>
        <w:t>Does drift–diffusion reach an absorbing boundary with the analytical inverse-Gaussian first-passage distribution?</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Constant drift u&gt;0 and κ on (−∞,L), particles initialized at zero, absorbing boundary at L, and a left extent far enough to be irrelevant.</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First-passage probability density, cumulative arrival fraction, mean/variance of arrival time, survival probability, and overshoot distance.</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Inverse-Gaussian first-passage law and its cumulative distribution;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Use censored-survival statistics for particles not yet arrived. Compare cumulative distributions with Kolmogorov–Smirnov and Wasserstein metrics; do not histogram-only score.</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KS test does not reject at predeclared α=0.01 across at least 10 independent seeds; mean and variance within 3σ; overshoot shrinks with the documented time order.</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Record exact boundary crossing times using the production crossing algorithm.</w:t>
      </w:r>
    </w:p>
    <w:p>
      <w:pPr>
        <w:pStyle w:val="ListBullet"/>
        <w:ind w:left="317" w:hanging="173"/>
      </w:pPr>
      <w:r>
        <w:t>Test drift-dominated and diffusion-dominated Peclet numbers.</w:t>
      </w:r>
    </w:p>
    <w:p>
      <w:pPr>
        <w:pStyle w:val="ListBullet"/>
        <w:ind w:left="317" w:hanging="173"/>
      </w:pPr>
      <w:r>
        <w:t>Include a deliberately coarse-step negative control to prove overshoot metrics respond.</w:t>
      </w:r>
    </w:p>
    <w:p>
      <w:pPr>
        <w:keepLines/>
      </w:pPr>
      <w:r>
        <w:rPr>
          <w:b/>
          <w:color w:val="17365D"/>
        </w:rPr>
        <w:t xml:space="preserve">Failure diagnosis  </w:t>
      </w:r>
      <w:r>
        <w:t>Correct density but biased passage time indicates boundary interpolation; a long-time survival bias indicates lost or double-counted absorbed particles.</w:t>
      </w:r>
    </w:p>
    <w:p>
      <w:pPr>
        <w:pStyle w:val="Caselabel"/>
      </w:pPr>
      <w:r>
        <w:t>Test 09  •  CV09  •  Required pre-merge</w:t>
      </w:r>
    </w:p>
    <w:p>
      <w:pPr>
        <w:pStyle w:val="Heading2"/>
      </w:pPr>
      <w:r>
        <w:t>Test 09  CV09  Planar diffusive shock acceleration spectrum</w:t>
      </w:r>
    </w:p>
    <w:p>
      <w:pPr>
        <w:keepLines/>
      </w:pPr>
      <w:r>
        <w:rPr>
          <w:b/>
          <w:color w:val="17365D"/>
        </w:rPr>
        <w:t xml:space="preserve">Why it matters  </w:t>
      </w:r>
      <w:r>
        <w:t>Shock acceleration is a core SEP source mechanism. The canonical planar result tests shock-frame velocities, upstream/downstream orientation, crossing logic, return probability, and momentum gain.</w:t>
      </w:r>
    </w:p>
    <w:p>
      <w:pPr>
        <w:keepLines/>
      </w:pPr>
      <w:r>
        <w:rPr>
          <w:b/>
          <w:color w:val="17365D"/>
        </w:rPr>
        <w:t xml:space="preserve">Validation question  </w:t>
      </w:r>
      <w:r>
        <w:t>Does a stationary planar shock generate f(p)∝p⁻q with q=3r/(r−1) for compression ratio r under resolved diffusion?</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Planar steady shock; piecewise constant flow and diffusion; monoenergetic injection near the shock; absorbing far boundaries; r=2, 3, and 4; shock rest frame.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Phase-space slope q, differential-intensity slope after the correct Jacobian, acceleration time, shock-crossing counts, escape spectrum, and number/energy accounting.</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Steady test-particle DSA spectrum and standard acceleration-time expression;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Fit only a preregistered momentum interval above injection and below escape/cutoff effects. Use likelihood or weighted regression and report slope covariance.</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|qfit−q|≤0.1 after spatial/time refinement; acceleration time within 10%; particle and escaped-weight accounting closes within five standard errors.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Automate the resolved-shock criterion using diffusion length versus segment spacing.</w:t>
      </w:r>
    </w:p>
    <w:p>
      <w:pPr>
        <w:pStyle w:val="ListBullet"/>
        <w:ind w:left="317" w:hanging="173"/>
      </w:pPr>
      <w:r>
        <w:t>Fit f(p) and j(E) independently to catch Jacobian mistakes.</w:t>
      </w:r>
    </w:p>
    <w:p>
      <w:pPr>
        <w:pStyle w:val="ListBullet"/>
        <w:ind w:left="317" w:hanging="173"/>
      </w:pPr>
      <w:r>
        <w:t>Add compression-ratio and boundary-distance sweeps.</w:t>
      </w:r>
    </w:p>
    <w:p>
      <w:pPr>
        <w:keepLines/>
      </w:pPr>
      <w:r>
        <w:rPr>
          <w:b/>
          <w:color w:val="17365D"/>
        </w:rPr>
        <w:t xml:space="preserve">Failure diagnosis  </w:t>
      </w:r>
      <w:r>
        <w:t>A constant slope offset often means the wrong distribution/Jacobian; r-dependent error indicates frame or compression handling; a high-energy roll-off moving with the boundary is expected escape physics.</w:t>
      </w:r>
    </w:p>
    <w:p>
      <w:pPr>
        <w:pStyle w:val="Caselabel"/>
      </w:pPr>
      <w:r>
        <w:t>Test 10  •  CV10  •  Required pre-merge</w:t>
      </w:r>
    </w:p>
    <w:p>
      <w:pPr>
        <w:pStyle w:val="Heading2"/>
      </w:pPr>
      <w:r>
        <w:t>Test 10  CV10  Nonuniform turbulence advection</w:t>
      </w:r>
    </w:p>
    <w:p>
      <w:pPr>
        <w:keepLines/>
      </w:pPr>
      <w:r>
        <w:rPr>
          <w:b/>
          <w:color w:val="17365D"/>
        </w:rPr>
        <w:t xml:space="preserve">Why it matters  </w:t>
      </w:r>
      <w:r>
        <w:t>Wave power carried along an inhomogeneous solar wind must satisfy a conservative transport law. Numerical diffusion or a missing geometric factor changes scattering rates even when particles are disabled.</w:t>
      </w:r>
    </w:p>
    <w:p>
      <w:pPr>
        <w:keepLines/>
      </w:pPr>
      <w:r>
        <w:rPr>
          <w:b/>
          <w:color w:val="17365D"/>
        </w:rPr>
        <w:t xml:space="preserve">Validation question  </w:t>
      </w:r>
      <w:r>
        <w:t>Does an imposed wave-power packet advect through a variable-speed or variable-area field-line tube with the correct amplitude and integral invariant?</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Particle-free calculation with prescribed V(s) and tube area A(s); no wave growth/damping; smooth packet and manufactured conservative solution; both fixed and moving field-line grids.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Wave-power profile by wave number and propagation sense, centroid, width, total wave action/energy invariant, phase error, and L norms.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Method-of-characteristics/manufactured conservative solution;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Conservatively remap both model and reference to common segment faces. Compare each wave-number bin and integrated spectra separately.</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Invariant error ≤10⁻⁸ for the discrete conservation test or converges at the documented order; profile L₂ error shows expected refinement; no negative wave power.</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Cover constant-speed, speed-gradient, and expanding-area fixtures.</w:t>
      </w:r>
    </w:p>
    <w:p>
      <w:pPr>
        <w:pStyle w:val="ListBullet"/>
        <w:ind w:left="317" w:hanging="173"/>
      </w:pPr>
      <w:r>
        <w:t>Run forward and backward wave populations independently.</w:t>
      </w:r>
    </w:p>
    <w:p>
      <w:pPr>
        <w:pStyle w:val="ListBullet"/>
        <w:ind w:left="317" w:hanging="173"/>
      </w:pPr>
      <w:r>
        <w:t>Verify moving-grid results against the same physical-space reference.</w:t>
      </w:r>
    </w:p>
    <w:p>
      <w:pPr>
        <w:keepLines/>
      </w:pPr>
      <w:r>
        <w:rPr>
          <w:b/>
          <w:color w:val="17365D"/>
        </w:rPr>
        <w:t xml:space="preserve">Failure diagnosis  </w:t>
      </w:r>
      <w:r>
        <w:t>Centroid error isolates characteristic speed; amplitude error with correct centroid indicates conservative/geometric terms; spectral-bin leakage points to indexing or remap errors.</w:t>
      </w:r>
    </w:p>
    <w:p>
      <w:pPr>
        <w:pStyle w:val="Caselabel"/>
      </w:pPr>
      <w:r>
        <w:t>Test 11  •  CV11  •  Required pre-merge</w:t>
      </w:r>
    </w:p>
    <w:p>
      <w:pPr>
        <w:pStyle w:val="Heading2"/>
      </w:pPr>
      <w:r>
        <w:t>Test 11  CV11  Time-dependent resonant wave growth and damping</w:t>
      </w:r>
    </w:p>
    <w:p>
      <w:pPr>
        <w:keepLines/>
      </w:pPr>
      <w:r>
        <w:rPr>
          <w:b/>
          <w:color w:val="17365D"/>
        </w:rPr>
        <w:t xml:space="preserve">Why it matters  </w:t>
      </w:r>
      <w:r>
        <w:t>Self-generated turbulence controls SEP scattering near shocks. The local growth law must be correct before particle–wave feedback is trusted in a coupled event run.</w:t>
      </w:r>
    </w:p>
    <w:p>
      <w:pPr>
        <w:keepLines/>
      </w:pPr>
      <w:r>
        <w:rPr>
          <w:b/>
          <w:color w:val="17365D"/>
        </w:rPr>
        <w:t xml:space="preserve">Validation question  </w:t>
      </w:r>
      <w:r>
        <w:t>For prescribed Γ(k,t), does wave power obey W(k,t)=W₀(k)exp[2∫(Γ−γ)d t] with correct resonance-bin mapping?</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Zero-dimensional or single-segment wave spectrum; prescribed piecewise-constant and sinusoidal growth Γ and damping γ; particles disabled; several logarithmic k bins.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W(k,t), exponential growth/decay rate, integrated wave energy, positivity, resonance-bin identity, and time-refinement order.</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Closed-form exponential/integrated-rate solution; no download.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Compare ln W where power spans many decades; mask only values below an explicit positive numerical floor and report the masked fraction.</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Rate error ≤0.5% in resolved bins, positivity preserved, no change in zero-rate bins, and expected temporal order across three step sizes.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Test growth, damping, cancellation Γ=γ, and sign changes.</w:t>
      </w:r>
    </w:p>
    <w:p>
      <w:pPr>
        <w:pStyle w:val="ListBullet"/>
        <w:ind w:left="317" w:hanging="173"/>
      </w:pPr>
      <w:r>
        <w:t>Use a one-hot spectrum to expose k-index or wave-sense swaps.</w:t>
      </w:r>
    </w:p>
    <w:p>
      <w:pPr>
        <w:pStyle w:val="ListBullet"/>
        <w:ind w:left="317" w:hanging="173"/>
      </w:pPr>
      <w:r>
        <w:t>Add an overflow/underflow guard test without changing the physical solution.</w:t>
      </w:r>
    </w:p>
    <w:p>
      <w:pPr>
        <w:keepLines/>
      </w:pPr>
      <w:r>
        <w:rPr>
          <w:b/>
          <w:color w:val="17365D"/>
        </w:rPr>
        <w:t xml:space="preserve">Failure diagnosis  </w:t>
      </w:r>
      <w:r>
        <w:t>Uniform rate bias indicates a missing factor of two or time centering; adjacent-bin response indicates resonance mapping; clipping appears as a flattened log-power curve.</w:t>
      </w:r>
    </w:p>
    <w:p>
      <w:pPr>
        <w:pStyle w:val="Caselabel"/>
      </w:pPr>
      <w:r>
        <w:t>Test 12  •  CV12  •  Required pre-merge</w:t>
      </w:r>
    </w:p>
    <w:p>
      <w:pPr>
        <w:pStyle w:val="Heading2"/>
      </w:pPr>
      <w:r>
        <w:t>Test 12  CV12  Controlled particle–wave total-energy exchange</w:t>
      </w:r>
    </w:p>
    <w:p>
      <w:pPr>
        <w:keepLines/>
      </w:pPr>
      <w:r>
        <w:rPr>
          <w:b/>
          <w:color w:val="17365D"/>
        </w:rPr>
        <w:t xml:space="preserve">Why it matters  </w:t>
      </w:r>
      <w:r>
        <w:t>A coupled solver may reproduce separate particle and wave trends while creating or destroying total energy. This case tests the exchange terms and synchronization point directly.</w:t>
      </w:r>
    </w:p>
    <w:p>
      <w:pPr>
        <w:keepLines/>
      </w:pPr>
      <w:r>
        <w:rPr>
          <w:b/>
          <w:color w:val="17365D"/>
        </w:rPr>
        <w:t xml:space="preserve">Validation question  </w:t>
      </w:r>
      <w:r>
        <w:t>In a closed periodic domain with no external work or damping, is particle energy lost to resonant interactions gained by waves, and vice versa?</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Periodic uniform line; one narrow resonant particle population and matching wave-number band; external sources, advection, compression, damping, and boundary escape disabled. Run particle-only, wave-only, and coupled controls.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Particle kinetic energy, wave energy with the implementation’s normalization, total energy, exchange rate, momentum where applicable, and per-step residual.</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Discrete conservation identity derived from the implemented coupling; no external data.</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Accumulate exchange in double precision at the synchronization point. Report physical energy, not normalized code units alone, and include the conversion constants in metadata.</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Cumulative total-energy drift ≤0.1% over the benchmark or demonstrates convergence to zero; instantaneous exchange residual closes within the predicted sampling uncertainty; uncoupled controls remain constant.</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Instrument both sides of the exchange with a shared ledger keyed by time step, field-line segment, and wave-number bin.</w:t>
      </w:r>
    </w:p>
    <w:p>
      <w:pPr>
        <w:pStyle w:val="ListBullet"/>
        <w:ind w:left="317" w:hanging="173"/>
      </w:pPr>
      <w:r>
        <w:t>Run particle-count and time-step refinement independently.</w:t>
      </w:r>
    </w:p>
    <w:p>
      <w:pPr>
        <w:pStyle w:val="ListBullet"/>
        <w:ind w:left="317" w:hanging="173"/>
      </w:pPr>
      <w:r>
        <w:t>Add a negative-control build that suppresses the wave deposit and confirm the conservation gate fails.</w:t>
      </w:r>
    </w:p>
    <w:p>
      <w:pPr>
        <w:keepLines/>
      </w:pPr>
      <w:r>
        <w:rPr>
          <w:b/>
          <w:color w:val="17365D"/>
        </w:rPr>
        <w:t xml:space="preserve">Failure diagnosis  </w:t>
      </w:r>
      <w:r>
        <w:t>A systematic residual indicates inconsistent normalization/sign; a one-step phase lag identifies deposit/flush ordering; particle-count scaling indicates Monte Carlo noise rather than deterministic leakage.</w:t>
      </w:r>
    </w:p>
    <w:p>
      <w:r>
        <w:br w:type="page"/>
      </w:r>
    </w:p>
    <w:p>
      <w:pPr>
        <w:pStyle w:val="Heading1"/>
      </w:pPr>
      <w:r>
        <w:t>B  Integrated manufactured verification</w:t>
      </w:r>
    </w:p>
    <w:p>
      <w:r>
        <w:t>Controlled combinations that verify operator coupling, geometry, moving meshes, shocks, and nonlinear feedback.</w:t>
      </w:r>
    </w:p>
    <w:p>
      <w:pPr>
        <w:pStyle w:val="Caselabel"/>
      </w:pPr>
      <w:r>
        <w:t>Test 13  •  IV01  •  Required nightly</w:t>
      </w:r>
    </w:p>
    <w:p>
      <w:pPr>
        <w:pStyle w:val="Heading2"/>
      </w:pPr>
      <w:r>
        <w:t>Test 13  IV01  Streaming plus Parker-spiral focusing</w:t>
      </w:r>
    </w:p>
    <w:p>
      <w:pPr>
        <w:keepLines/>
      </w:pPr>
      <w:r>
        <w:rPr>
          <w:b/>
          <w:color w:val="17365D"/>
        </w:rPr>
        <w:t xml:space="preserve">Why it matters  </w:t>
      </w:r>
      <w:r>
        <w:t>This is the smallest integrated heliospheric problem that couples real field geometry to transport. It verifies that segment interpolation, focusing, and time-of-flight remain mutually consistent.</w:t>
      </w:r>
    </w:p>
    <w:p>
      <w:pPr>
        <w:keepLines/>
      </w:pPr>
      <w:r>
        <w:rPr>
          <w:b/>
          <w:color w:val="17365D"/>
        </w:rPr>
        <w:t xml:space="preserve">Validation question  </w:t>
      </w:r>
      <w:r>
        <w:t>Does focused propagation along an analytic Parker spiral reproduce independently integrated characteristics and angular moments?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Analytic Parker spiral from 0.1 to 1 AU, constant radial solar wind, prescribed monoenergetic injection, scattering and momentum change initially off; then add weak constant scattering.</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Arrival time, path length, μ evolution, intensity profile, anisotropy, particle/weight balance, and error versus longitude/radius.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Independent high-accuracy characteristic integration on the analytic Parker field; no downloaded observations.</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Sample both solvers at the same physical radii and UTC offsets; use field-line arclength rather than radial distance for travel-time reference.</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Ballistic arrival and μ characteristic errors show designed convergence; weak-scattering moments remain within stochastic 3σ bands; no dependence on segment numbering or line direction.</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Generate Parker geometry from a test-owned analytic function.</w:t>
      </w:r>
    </w:p>
    <w:p>
      <w:pPr>
        <w:pStyle w:val="ListBullet"/>
        <w:ind w:left="317" w:hanging="173"/>
      </w:pPr>
      <w:r>
        <w:t>Sweep spiral angle using two solar-wind speeds.</w:t>
      </w:r>
    </w:p>
    <w:p>
      <w:pPr>
        <w:pStyle w:val="ListBullet"/>
        <w:ind w:left="317" w:hanging="173"/>
      </w:pPr>
      <w:r>
        <w:t>Repeat with reversed storage order to detect orientation coupling.</w:t>
      </w:r>
    </w:p>
    <w:p>
      <w:pPr>
        <w:keepLines/>
      </w:pPr>
      <w:r>
        <w:rPr>
          <w:b/>
          <w:color w:val="17365D"/>
        </w:rPr>
        <w:t xml:space="preserve">Failure diagnosis  </w:t>
      </w:r>
      <w:r>
        <w:t>Correct radial but wrong arclength timing identifies geometry use; anisotropy-only error isolates focusing/scattering coupling; direction dependence indicates segment orientation assumptions.</w:t>
      </w:r>
    </w:p>
    <w:p>
      <w:pPr>
        <w:pStyle w:val="Caselabel"/>
      </w:pPr>
      <w:r>
        <w:t>Test 14  •  IV02  •  Required nightly</w:t>
      </w:r>
    </w:p>
    <w:p>
      <w:pPr>
        <w:pStyle w:val="Heading2"/>
      </w:pPr>
      <w:r>
        <w:t>Test 14  IV02  Scattering–focusing equilibrium</w:t>
      </w:r>
    </w:p>
    <w:p>
      <w:pPr>
        <w:keepLines/>
      </w:pPr>
      <w:r>
        <w:rPr>
          <w:b/>
          <w:color w:val="17365D"/>
        </w:rPr>
        <w:t xml:space="preserve">Why it matters  </w:t>
      </w:r>
      <w:r>
        <w:t>The competition between focusing and pitch-angle diffusion determines anisotropy. Testing each operator alone is insufficient because splitting or inconsistent coefficients can shift the equilibrium.</w:t>
      </w:r>
    </w:p>
    <w:p>
      <w:pPr>
        <w:keepLines/>
      </w:pPr>
      <w:r>
        <w:rPr>
          <w:b/>
          <w:color w:val="17365D"/>
        </w:rPr>
        <w:t xml:space="preserve">Validation question  </w:t>
      </w:r>
      <w:r>
        <w:t>Does the coupled μ-space operator approach the known zero-flux stationary distribution for constant focusing length and Dμμ?</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Homogeneous spatial cell or periodic line; constant focusing length; Dμμ=D₀(1−μ²); no sources/losses; initialize isotropic and beam-like distributions.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Stationary pitch-angle PDF, anisotropy, Legendre coefficients, relaxation rate, angular probability flux, and normalization.</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Zero-flux stationary solution and independent finite-volume μ solver.</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Normalize PDFs on [−1,1], integrate reference over production bins, and compute angular flux using the same sign convention.</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Stationary L₁ error ≤2% with uncertainty; relaxation rate within 5%; starting distributions converge to the same equilibrium; operator-splitting refinement has the expected order.</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Run Lie and Strang sequencing if both are supported.</w:t>
      </w:r>
    </w:p>
    <w:p>
      <w:pPr>
        <w:pStyle w:val="ListBullet"/>
        <w:ind w:left="317" w:hanging="173"/>
      </w:pPr>
      <w:r>
        <w:t>Vary focusing/scattering ratio over at least one decade.</w:t>
      </w:r>
    </w:p>
    <w:p>
      <w:pPr>
        <w:pStyle w:val="ListBullet"/>
        <w:ind w:left="317" w:hanging="173"/>
      </w:pPr>
      <w:r>
        <w:t>Report a μ-flux residual rather than only visual agreement.</w:t>
      </w:r>
    </w:p>
    <w:p>
      <w:pPr>
        <w:keepLines/>
      </w:pPr>
      <w:r>
        <w:rPr>
          <w:b/>
          <w:color w:val="17365D"/>
        </w:rPr>
        <w:t xml:space="preserve">Failure diagnosis  </w:t>
      </w:r>
      <w:r>
        <w:t>Correct equilibrium but wrong rate points to time integration; incorrect equilibrium indicates coefficient/sign mismatch; initial-condition dependence indicates insufficient runtime or nonergodic boundary handling.</w:t>
      </w:r>
    </w:p>
    <w:p>
      <w:pPr>
        <w:pStyle w:val="Caselabel"/>
      </w:pPr>
      <w:r>
        <w:t>Test 15  •  IV03  •  Required nightly</w:t>
      </w:r>
    </w:p>
    <w:p>
      <w:pPr>
        <w:pStyle w:val="Heading2"/>
      </w:pPr>
      <w:r>
        <w:t>Test 15  IV03  Manufactured spatial–pitch–momentum transport</w:t>
      </w:r>
    </w:p>
    <w:p>
      <w:pPr>
        <w:keepLines/>
      </w:pPr>
      <w:r>
        <w:rPr>
          <w:b/>
          <w:color w:val="17365D"/>
        </w:rPr>
        <w:t xml:space="preserve">Why it matters  </w:t>
      </w:r>
      <w:r>
        <w:t>A full manufactured solution exercises every derivative and source term in the focused transport equation while retaining a known answer. It is the strongest deterministic guard against missing cross terms and code-path regressions.</w:t>
      </w:r>
    </w:p>
    <w:p>
      <w:pPr>
        <w:keepLines/>
      </w:pPr>
      <w:r>
        <w:rPr>
          <w:b/>
          <w:color w:val="17365D"/>
        </w:rPr>
        <w:t xml:space="preserve">Validation question  </w:t>
      </w:r>
      <w:r>
        <w:t>Does the discretized equation reproduce a smooth prescribed f(s,μ,p,t) when the exact residual is supplied as a manufactured source?</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Choose a positive separable trigonometric/exponential f on bounded s, μ, and log p; prescribe smooth V, B, Dμμ, and κ; symbolically or automatically construct the forcing term.</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f and each moment, residual by operator, global L₁/L₂/L∞ error, positivity, conservation residual, and space/time/pitch/momentum refinement orders.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Manufactured exact solution and source generator committed with the test.</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Use cell/bin integrals of the exact solution. Refine one coordinate at a time, then jointly, while holding Monte Carlo error below truncation error.</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Observed order within 0.25 of the documented design order over at least three resolved levels; every isolated operator and the combined solve pass; no unexplained error plateau.</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Create a symbolic source notebook/script that emits versioned coefficients consumed by C++ and Python.</w:t>
      </w:r>
    </w:p>
    <w:p>
      <w:pPr>
        <w:pStyle w:val="ListBullet"/>
        <w:ind w:left="317" w:hanging="173"/>
      </w:pPr>
      <w:r>
        <w:t>Expose per-operator residual diagnostics.</w:t>
      </w:r>
    </w:p>
    <w:p>
      <w:pPr>
        <w:pStyle w:val="ListBullet"/>
        <w:ind w:left="317" w:hanging="173"/>
      </w:pPr>
      <w:r>
        <w:t>Archive convergence tables and slopes in CI artifacts.</w:t>
      </w:r>
    </w:p>
    <w:p>
      <w:pPr>
        <w:keepLines/>
      </w:pPr>
      <w:r>
        <w:rPr>
          <w:b/>
          <w:color w:val="17365D"/>
        </w:rPr>
        <w:t xml:space="preserve">Failure diagnosis  </w:t>
      </w:r>
      <w:r>
        <w:t>An operator-specific residual localizes missing terms; mixed-refinement failure suggests splitting; a plateau that moves with particle count is statistical, while a fixed plateau is implementation error.</w:t>
      </w:r>
    </w:p>
    <w:p>
      <w:pPr>
        <w:pStyle w:val="Caselabel"/>
      </w:pPr>
      <w:r>
        <w:t>Test 16  •  IV04  •  Required nightly</w:t>
      </w:r>
    </w:p>
    <w:p>
      <w:pPr>
        <w:pStyle w:val="Heading2"/>
      </w:pPr>
      <w:r>
        <w:t>Test 16  IV04  Moving field-line grid conservation and geometric conservation law</w:t>
      </w:r>
    </w:p>
    <w:p>
      <w:pPr>
        <w:keepLines/>
      </w:pPr>
      <w:r>
        <w:rPr>
          <w:b/>
          <w:color w:val="17365D"/>
        </w:rPr>
        <w:t xml:space="preserve">Why it matters  </w:t>
      </w:r>
      <w:r>
        <w:t>Evolving field lines can introduce spurious transport unless grid motion and remapping obey a geometric conservation law. That artifact can masquerade as diffusion or acceleration.</w:t>
      </w:r>
    </w:p>
    <w:p>
      <w:pPr>
        <w:keepLines/>
      </w:pPr>
      <w:r>
        <w:rPr>
          <w:b/>
          <w:color w:val="17365D"/>
        </w:rPr>
        <w:t xml:space="preserve">Validation question  </w:t>
      </w:r>
      <w:r>
        <w:t>Does a uniform physical state remain uniform under prescribed grid motion, and does a transported profile match the same problem on a fixed grid?</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Prescribed translating, stretching, and nonuniformly moving segment nodes with no physical transport for the free-stream preservation test; then add known advection.</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Uniform-state deviation, cell-integrated number, profile phase/amplitude, remap residual, minimum segment length, and time-refinement order.</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Exact uniform state and coordinate-mapped analytic advection solution.</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Compare conservative cell integrals in physical space; log node positions and mesh Jacobians; reject configurations with tangled or zero-length segments before scoring.</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Uniform-state deviation ≤10⁻¹² in the deterministic remap; conserved quantity closes at roundoff or documented solver tolerance; mapped-profile error converges at design order.</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Add isolated translation, expansion, compression, and sinusoidal node-motion fixtures.</w:t>
      </w:r>
    </w:p>
    <w:p>
      <w:pPr>
        <w:pStyle w:val="ListBullet"/>
        <w:ind w:left="317" w:hanging="173"/>
      </w:pPr>
      <w:r>
        <w:t>Run fixed- and moving-grid forms from the same initial state.</w:t>
      </w:r>
    </w:p>
    <w:p>
      <w:pPr>
        <w:pStyle w:val="ListBullet"/>
        <w:ind w:left="317" w:hanging="173"/>
      </w:pPr>
      <w:r>
        <w:t>Track a per-step geometric-conservation residual.</w:t>
      </w:r>
    </w:p>
    <w:p>
      <w:pPr>
        <w:keepLines/>
      </w:pPr>
      <w:r>
        <w:rPr>
          <w:b/>
          <w:color w:val="17365D"/>
        </w:rPr>
        <w:t xml:space="preserve">Failure diagnosis  </w:t>
      </w:r>
      <w:r>
        <w:t>Uniform-state drift is a direct geometric-conservation failure; mass-preserving phase error implicates node velocity; oscillations near compressed cells indicate remap monotonicity problems.</w:t>
      </w:r>
    </w:p>
    <w:p>
      <w:pPr>
        <w:pStyle w:val="Caselabel"/>
      </w:pPr>
      <w:r>
        <w:t>Test 17  •  IV05  •  Required nightly</w:t>
      </w:r>
    </w:p>
    <w:p>
      <w:pPr>
        <w:pStyle w:val="Heading2"/>
      </w:pPr>
      <w:r>
        <w:t>Test 17  IV05  Moving shock crossing and acceleration</w:t>
      </w:r>
    </w:p>
    <w:p>
      <w:pPr>
        <w:keepLines/>
      </w:pPr>
      <w:r>
        <w:rPr>
          <w:b/>
          <w:color w:val="17365D"/>
        </w:rPr>
        <w:t xml:space="preserve">Why it matters  </w:t>
      </w:r>
      <w:r>
        <w:t>In event simulations the shock moves through the field-line mesh. Correct stationary-shock physics can still fail through missed crossings, frame transformations, or time-dependent compression.</w:t>
      </w:r>
    </w:p>
    <w:p>
      <w:pPr>
        <w:keepLines/>
      </w:pPr>
      <w:r>
        <w:rPr>
          <w:b/>
          <w:color w:val="17365D"/>
        </w:rPr>
        <w:t xml:space="preserve">Validation question  </w:t>
      </w:r>
      <w:r>
        <w:t>Are crossing times, energy changes, and accelerated spectra invariant between equivalent stationary-shock and moving-shock frames?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Planar shock translated at constant speed across a straight line; construct a Galilean-equivalent stationary case; identical plasma-frame diffusion and injection.</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Crossing time, pre/post-shock momentum, return probability, spectral slope, acceleration time, escaped flux, and total energy/work accounting.</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Frame-transformed stationary DSA benchmark from CV09 and exact shock trajectory.</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Transform velocities and timestamps to one declared frame before comparison. Interpolate the shock location continuously within a time step.</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Frame-equivalent observables agree within combined numerical/Monte Carlo uncertainty; crossing-time bias converges with Δt; spectral slope meets CV09 after resolution criteria are satisfied.</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Add shock speeds below and above a segment-per-step traversal threshold.</w:t>
      </w:r>
    </w:p>
    <w:p>
      <w:pPr>
        <w:pStyle w:val="ListBullet"/>
        <w:ind w:left="317" w:hanging="173"/>
      </w:pPr>
      <w:r>
        <w:t>Record every crossing and frame transform in a compact diagnostic stream.</w:t>
      </w:r>
    </w:p>
    <w:p>
      <w:pPr>
        <w:pStyle w:val="ListBullet"/>
        <w:ind w:left="317" w:hanging="173"/>
      </w:pPr>
      <w:r>
        <w:t>Test a shock exactly coincident with a segment node as an edge case.</w:t>
      </w:r>
    </w:p>
    <w:p>
      <w:pPr>
        <w:keepLines/>
      </w:pPr>
      <w:r>
        <w:rPr>
          <w:b/>
          <w:color w:val="17365D"/>
        </w:rPr>
        <w:t xml:space="preserve">Failure diagnosis  </w:t>
      </w:r>
      <w:r>
        <w:t>Timing-only bias isolates crossing interpolation; energy-only bias indicates frame transforms; missed events at high speed expose step-size assumptions.</w:t>
      </w:r>
    </w:p>
    <w:p>
      <w:pPr>
        <w:pStyle w:val="Caselabel"/>
      </w:pPr>
      <w:r>
        <w:t>Test 18  •  IV06  •  Required nightly</w:t>
      </w:r>
    </w:p>
    <w:p>
      <w:pPr>
        <w:pStyle w:val="Heading2"/>
      </w:pPr>
      <w:r>
        <w:t>Test 18  IV06  Coupled self-generated turbulence feedback</w:t>
      </w:r>
    </w:p>
    <w:p>
      <w:pPr>
        <w:keepLines/>
      </w:pPr>
      <w:r>
        <w:rPr>
          <w:b/>
          <w:color w:val="17365D"/>
        </w:rPr>
        <w:t xml:space="preserve">Why it matters  </w:t>
      </w:r>
      <w:r>
        <w:t>The nonlinear feedback loop—particle streaming grows waves, waves strengthen scattering, scattering reduces anisotropy—must be demonstrated as a causal, converged response, not only as total-energy closure.</w:t>
      </w:r>
    </w:p>
    <w:p>
      <w:pPr>
        <w:keepLines/>
      </w:pPr>
      <w:r>
        <w:rPr>
          <w:b/>
          <w:color w:val="17365D"/>
        </w:rPr>
        <w:t xml:space="preserve">Validation question  </w:t>
      </w:r>
      <w:r>
        <w:t>Does enabling resonant growth produce the expected wave-band enhancement and self-limiting reduction of particle streaming relative to a frozen-turbulence control?</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Uniform or weakly focused line; injected beam resonant with a narrow k range; run frozen waves, one-way growth, and two-way coupling; no external damping in the base case.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Particle anisotropy, streaming, Dμμ/mean free path, W(k,t), resonant k location, particle/wave energy, and saturation time/amplitude.</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Linear early-time growth from CV11, resonance condition, energy ledger from CV12, and a high-resolution internal reference run.</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Align diagnostic times before differencing. Compute resonance using local B and particle rigidity; quantify uncertainty across seeds.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Early growth rate agrees with the prescribed/derived linear rate; enhanced power is localized to resolved resonant bins; two-way coupling reduces streaming relative to one-way control; total-energy gate passes.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Implement the three-control experiment as one registered case family.</w:t>
      </w:r>
    </w:p>
    <w:p>
      <w:pPr>
        <w:pStyle w:val="ListBullet"/>
        <w:ind w:left="317" w:hanging="173"/>
      </w:pPr>
      <w:r>
        <w:t>Refine particles, Δt, segments, and k bins independently.</w:t>
      </w:r>
    </w:p>
    <w:p>
      <w:pPr>
        <w:pStyle w:val="ListBullet"/>
        <w:ind w:left="317" w:hanging="173"/>
      </w:pPr>
      <w:r>
        <w:t>Publish a causal timeline panel connecting streaming, growth, scattering, and saturation.</w:t>
      </w:r>
    </w:p>
    <w:p>
      <w:pPr>
        <w:keepLines/>
      </w:pPr>
      <w:r>
        <w:rPr>
          <w:b/>
          <w:color w:val="17365D"/>
        </w:rPr>
        <w:t xml:space="preserve">Failure diagnosis  </w:t>
      </w:r>
      <w:r>
        <w:t>Broad nonresonant growth suggests k mapping; growth without reduced streaming suggests stale scattering coefficients or synchronization; saturation moving with numerical resolution is not physical convergence.</w:t>
      </w:r>
    </w:p>
    <w:p>
      <w:r>
        <w:br w:type="page"/>
      </w:r>
    </w:p>
    <w:p>
      <w:pPr>
        <w:pStyle w:val="Heading1"/>
      </w:pPr>
      <w:r>
        <w:t>C  Cross-model validation</w:t>
      </w:r>
    </w:p>
    <w:p>
      <w:r>
        <w:t>Independent numerical and community-model comparisons at increasing realism.</w:t>
      </w:r>
    </w:p>
    <w:p>
      <w:pPr>
        <w:pStyle w:val="Caselabel"/>
      </w:pPr>
      <w:r>
        <w:t>Test 19  •  XM01  •  Required release</w:t>
      </w:r>
    </w:p>
    <w:p>
      <w:pPr>
        <w:pStyle w:val="Heading2"/>
      </w:pPr>
      <w:r>
        <w:t>Test 19  XM01  Independent focused-transport PDE solver comparison</w:t>
      </w:r>
    </w:p>
    <w:p>
      <w:pPr>
        <w:keepLines/>
      </w:pPr>
      <w:r>
        <w:rPr>
          <w:b/>
          <w:color w:val="17365D"/>
        </w:rPr>
        <w:t xml:space="preserve">Why it matters  </w:t>
      </w:r>
      <w:r>
        <w:t>Analytical solutions cover simplified coefficients. An independent deterministic solver can validate realistic coefficient profiles and the complete distribution without sharing srcSEP’s particle algorithms.</w:t>
      </w:r>
    </w:p>
    <w:p>
      <w:pPr>
        <w:keepLines/>
      </w:pPr>
      <w:r>
        <w:rPr>
          <w:b/>
          <w:color w:val="17365D"/>
        </w:rPr>
        <w:t xml:space="preserve">Validation question  </w:t>
      </w:r>
      <w:r>
        <w:t>For identical one-dimensional coefficients and boundary/source terms, do srcSEP moments and distributions agree with a separately implemented conservative PDE solve?</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Canonical field-line cases of increasing complexity: streaming/scattering; focusing; adiabatic momentum change; then all three. Use smooth coefficients and fixed geometry before any event-specific input.</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f(s,μ,p,t), omnidirectional intensity, anisotropy, spectra, fluence, onset/peak times, conservation residuals, and convergence with both codes.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A minimal finite-volume or discontinuous-Galerkin reference solver maintained separately from srcSEP; solver version and commit recorded.</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Exchange coefficients through a neutral NetCDF/HDF5 schema; interpolate only once to a common comparison grid; preserve units and differential-variable definition in metadata.</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Differences shrink toward a common solution under independent refinement; in the resolved regime, log-intensity RMSE ≤0.05 dex and first angular-moment difference ≤0.02 for nonzero signal regions.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Freeze an interchange schema with dimensions time, s, μ, energy/rigidity, species, and coefficient names.</w:t>
      </w:r>
    </w:p>
    <w:p>
      <w:pPr>
        <w:pStyle w:val="ListBullet"/>
        <w:ind w:left="317" w:hanging="173"/>
      </w:pPr>
      <w:r>
        <w:t>Blind the initial result comparison until configurations have been checksummed.</w:t>
      </w:r>
    </w:p>
    <w:p>
      <w:pPr>
        <w:pStyle w:val="ListBullet"/>
        <w:ind w:left="317" w:hanging="173"/>
      </w:pPr>
      <w:r>
        <w:t>Investigate discrepancies with operator-isolated reruns rather than tuning coefficients.</w:t>
      </w:r>
    </w:p>
    <w:p>
      <w:pPr>
        <w:keepLines/>
      </w:pPr>
      <w:r>
        <w:rPr>
          <w:b/>
          <w:color w:val="17365D"/>
        </w:rPr>
        <w:t xml:space="preserve">Failure diagnosis  </w:t>
      </w:r>
      <w:r>
        <w:t>Nonconvergent disagreement implies equation, units, or boundary mismatch; convergent but different limits indicate distinct continuum equations; disagreement only after interpolation implicates the exchange layer.</w:t>
      </w:r>
    </w:p>
    <w:p>
      <w:pPr>
        <w:pStyle w:val="Caselabel"/>
      </w:pPr>
      <w:r>
        <w:t>Test 20  •  XM02  •  Required release</w:t>
      </w:r>
    </w:p>
    <w:p>
      <w:pPr>
        <w:pStyle w:val="Heading2"/>
      </w:pPr>
      <w:r>
        <w:t>Test 20  XM02  M-FLAMPA canonical Parker-spiral comparison</w:t>
      </w:r>
    </w:p>
    <w:p>
      <w:pPr>
        <w:keepLines/>
      </w:pPr>
      <w:r>
        <w:rPr>
          <w:b/>
          <w:color w:val="17365D"/>
        </w:rPr>
        <w:t xml:space="preserve">Why it matters  </w:t>
      </w:r>
      <w:r>
        <w:t>M-FLAMPA is a mature field-line SEP transport capability available through NASA CCMC. A canonical comparison positions srcSEP against a community model while avoiding event-input ambiguity.</w:t>
      </w:r>
    </w:p>
    <w:p>
      <w:pPr>
        <w:keepLines/>
      </w:pPr>
      <w:r>
        <w:rPr>
          <w:b/>
          <w:color w:val="17365D"/>
        </w:rPr>
        <w:t xml:space="preserve">Validation question  </w:t>
      </w:r>
      <w:r>
        <w:t>With matched Parker geometry, injection, scattering, and solar-wind profiles, are flux-time profiles and spectra consistent within declared differences in governing assumptions?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Request or reproduce a quiet Parker-spiral case at 1 AU with proton channels &gt;10, &gt;30, &gt;50 MeV and selected differential channels; disable self-generated turbulence initially, then add matched turbulence where feasible.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Differential/integral intensity, onset, peak time and flux, fluence, spectra, anisotropy if available, path length, and coefficient profiles.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NASA CCMC M-FLAMPA model page and run service [R14]; record exact model version and run identifier.</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Document all nonmatchable assumptions. Fold srcSEP spectra through comparator energy bands; never compare a point energy to a broad integral channel.</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This is an agreement and discrepancy-attribution gate: all requested quantities and input differences must be reported; target resolved log-RMSE ≤0.3 dex and timing difference ≤2 h, but no pass/fail is assigned until equivalence is reviewed.</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Prepare a CCMC run request containing machine-readable geometry, source, and transport parameters.</w:t>
      </w:r>
    </w:p>
    <w:p>
      <w:pPr>
        <w:pStyle w:val="ListBullet"/>
        <w:ind w:left="317" w:hanging="173"/>
      </w:pPr>
      <w:r>
        <w:t>Obtain detailed differential outputs rather than threshold-only products where possible.</w:t>
      </w:r>
    </w:p>
    <w:p>
      <w:pPr>
        <w:pStyle w:val="ListBullet"/>
        <w:ind w:left="317" w:hanging="173"/>
      </w:pPr>
      <w:r>
        <w:t>Create an assumption-difference table signed off before inspecting results.</w:t>
      </w:r>
    </w:p>
    <w:p>
      <w:pPr>
        <w:keepLines/>
      </w:pPr>
      <w:r>
        <w:rPr>
          <w:b/>
          <w:color w:val="17365D"/>
        </w:rPr>
        <w:t xml:space="preserve">Failure diagnosis  </w:t>
      </w:r>
      <w:r>
        <w:t>Timing changes with path length/solar wind indicate geometry; intensity-only offsets indicate injection or channel folding; anisotropy differences isolate scattering/focusing assumptions.</w:t>
      </w:r>
    </w:p>
    <w:p>
      <w:pPr>
        <w:pStyle w:val="Caselabel"/>
      </w:pPr>
      <w:r>
        <w:t>Test 21  •  XM03  •  Required release</w:t>
      </w:r>
    </w:p>
    <w:p>
      <w:pPr>
        <w:pStyle w:val="Heading2"/>
      </w:pPr>
      <w:r>
        <w:t>Test 21  XM03  Published M-FLAMPA 2013 April 11 event reproduction</w:t>
      </w:r>
    </w:p>
    <w:p>
      <w:pPr>
        <w:keepLines/>
      </w:pPr>
      <w:r>
        <w:rPr>
          <w:b/>
          <w:color w:val="17365D"/>
        </w:rPr>
        <w:t xml:space="preserve">Why it matters  </w:t>
      </w:r>
      <w:r>
        <w:t>The published AWSoM-R/M-FLAMPA study supplies a documented end-to-end comparator for the 2013 April 11 SEP event, connecting field-line transport to an independently developed global heliospheric background.</w:t>
      </w:r>
    </w:p>
    <w:p>
      <w:pPr>
        <w:keepLines/>
      </w:pPr>
      <w:r>
        <w:rPr>
          <w:b/>
          <w:color w:val="17365D"/>
        </w:rPr>
        <w:t xml:space="preserve">Validation question  </w:t>
      </w:r>
      <w:r>
        <w:t>Can srcSEP reproduce the comparator’s spacecraft-channel timing and intensity when driven with equivalent background and source information, and can remaining differences be traced to documented assumptions?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2013-04-11 event, Earth-connected lines, matching proton energy channels and observation window used in the published study. Run a frozen-background baseline and an available evolving-background variant.</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Flux-time profiles, onset, peak, fluence, event-integrated spectrum, connection time/path length, shock parameters along the line, and model-to-observation metrics.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Published study DOI 10.3847/1538-4357/adc4e3 [R15], CCMC M-FLAMPA [R14], and observation archives [R2–R8].</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Digitize no figure if numerical output can be obtained from authors/CCMC. If digitization is unavoidable, store image, digitizer project, calibration points, and an uncertainty envelope.</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Reproduce the published setup within an auditable parameter mapping; report model–model and model–data scores separately. Provisional target: onset within 1 h, peak time within 3 h, fluence and peak within factor 3 after channel folding.</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w:t>
            </w:r>
          </w:p>
        </w:tc>
      </w:tr>
    </w:tbl>
    <w:p>
      <w:pPr>
        <w:pStyle w:val="Heading3"/>
      </w:pPr>
      <w:r>
        <w:t>Implementation procedure</w:t>
      </w:r>
    </w:p>
    <w:p>
      <w:pPr>
        <w:pStyle w:val="ListBullet"/>
        <w:ind w:left="317" w:hanging="173"/>
      </w:pPr>
      <w:r>
        <w:t>Build an event dossier listing every source parameter and its provenance.</w:t>
      </w:r>
    </w:p>
    <w:p>
      <w:pPr>
        <w:pStyle w:val="ListBullet"/>
        <w:ind w:left="317" w:hanging="173"/>
      </w:pPr>
      <w:r>
        <w:t>Request machine-readable comparator output and archive its run/version identifiers.</w:t>
      </w:r>
    </w:p>
    <w:p>
      <w:pPr>
        <w:pStyle w:val="ListBullet"/>
        <w:ind w:left="317" w:hanging="173"/>
      </w:pPr>
      <w:r>
        <w:t>Run srcSEP before inspecting observation residuals, then document each justified configuration revision.</w:t>
      </w:r>
    </w:p>
    <w:p>
      <w:pPr>
        <w:keepLines/>
      </w:pPr>
      <w:r>
        <w:rPr>
          <w:b/>
          <w:color w:val="17365D"/>
        </w:rPr>
        <w:t xml:space="preserve">Failure diagnosis  </w:t>
      </w:r>
      <w:r>
        <w:t>Model–model agreement with shared observation bias implicates common background/source assumptions; model–model timing difference implicates path/shock histories; amplitude differences require injection and channel audits first.</w:t>
      </w:r>
    </w:p>
    <w:p>
      <w:r>
        <w:br w:type="page"/>
      </w:r>
    </w:p>
    <w:p>
      <w:pPr>
        <w:pStyle w:val="Heading1"/>
      </w:pPr>
      <w:r>
        <w:t>D  Observational validation</w:t>
      </w:r>
    </w:p>
    <w:p>
      <w:r>
        <w:t>Event-specific tests with immutable data provenance, instrument-aware processing, and explicit model-scope classification.</w:t>
      </w:r>
    </w:p>
    <w:p>
      <w:pPr>
        <w:pStyle w:val="Caselabel"/>
      </w:pPr>
      <w:r>
        <w:t>Test 22  •  OV01  •  Required release</w:t>
      </w:r>
    </w:p>
    <w:p>
      <w:pPr>
        <w:pStyle w:val="Heading2"/>
      </w:pPr>
      <w:r>
        <w:t>Test 22  OV01  2013 April 11 near-Earth observational benchmark</w:t>
      </w:r>
    </w:p>
    <w:p>
      <w:pPr>
        <w:keepLines/>
      </w:pPr>
      <w:r>
        <w:rPr>
          <w:b/>
          <w:color w:val="17365D"/>
        </w:rPr>
        <w:t xml:space="preserve">Why it matters  </w:t>
      </w:r>
      <w:r>
        <w:t>This event provides a direct observational counterpart to XM03 and a manageable first end-to-end validation of along-field transport at 1 AU.</w:t>
      </w:r>
    </w:p>
    <w:p>
      <w:pPr>
        <w:keepLines/>
      </w:pPr>
      <w:r>
        <w:rPr>
          <w:b/>
          <w:color w:val="17365D"/>
        </w:rPr>
        <w:t xml:space="preserve">Validation question  </w:t>
      </w:r>
      <w:r>
        <w:t>Can one predeclared srcSEP configuration reproduce the observed near-Earth proton onset, rise, peak, decay, anisotropy where available, and spectrum across multiple instruments?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Run an event window covering at least 48 h before injection through the decay. Use Earth-connected field lines and an observationally constrained solar-wind/shock history. Lock transport parameters before scoring.</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Differential and integral proton intensity, onset and threshold crossing, peak flux/time, duration, fluence, event-integrated spectrum, anisotropy, and pre-event background.</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ACE EPAM via ACE Science Center/CDAWeb [R7,R2]; SOHO ERNE/EPHIN through SOHO archives [R5,R6]; GOES science-quality particles from NOAA NCEI [R12,R13]; solar wind/MAG from native ACE/Wind products or CDAWeb.</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Apply quality flags; convert all times to UTC; remove duplicates; preserve native cadence; estimate background from a quiet pre-event interval; cross-calibrate only with published factors; fold model spectra through instrument energy response or documented band edges.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Provisional scientific targets: onset error ≤60 min; peak-time error ≤3 h; peak and fluence ratios in [1/3,3]; log-profile RMSE ≤0.5 dex; spectral-index error ≤0.5. Freeze final thresholds after a documented pilot, before held-out scoring.</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Include a data-coverage/quality-flag panel and an instrument-overlap plot.</w:t>
            </w:r>
          </w:p>
        </w:tc>
      </w:tr>
    </w:tbl>
    <w:p>
      <w:pPr>
        <w:pStyle w:val="Heading3"/>
      </w:pPr>
      <w:r>
        <w:t>Implementation procedure</w:t>
      </w:r>
    </w:p>
    <w:p>
      <w:pPr>
        <w:pStyle w:val="ListBullet"/>
        <w:ind w:left="317" w:hanging="173"/>
      </w:pPr>
      <w:r>
        <w:t>Create scripted downloads with immutable raw files and SHA-256 checksums.</w:t>
      </w:r>
    </w:p>
    <w:p>
      <w:pPr>
        <w:pStyle w:val="ListBullet"/>
        <w:ind w:left="317" w:hanging="173"/>
      </w:pPr>
      <w:r>
        <w:t>Generate one harmonized observation file per instrument; never overwrite raw data.</w:t>
      </w:r>
    </w:p>
    <w:p>
      <w:pPr>
        <w:pStyle w:val="ListBullet"/>
        <w:ind w:left="317" w:hanging="173"/>
      </w:pPr>
      <w:r>
        <w:t>Score each instrument separately and a declared reference composite; retain disagreements as systematic uncertainty.</w:t>
      </w:r>
    </w:p>
    <w:p>
      <w:pPr>
        <w:keepLines/>
      </w:pPr>
      <w:r>
        <w:rPr>
          <w:b/>
          <w:color w:val="17365D"/>
        </w:rPr>
        <w:t xml:space="preserve">Failure diagnosis  </w:t>
      </w:r>
      <w:r>
        <w:t>Cross-instrument disagreement precedes model diagnosis. Timing bias shared by all channels points to connection/injection; energy-dependent timing points to scattering; normalization bias points to injection or response folding.</w:t>
      </w:r>
    </w:p>
    <w:p>
      <w:pPr>
        <w:pStyle w:val="Caselabel"/>
      </w:pPr>
      <w:r>
        <w:t>Test 23  •  OV02  •  Required release</w:t>
      </w:r>
    </w:p>
    <w:p>
      <w:pPr>
        <w:pStyle w:val="Heading2"/>
      </w:pPr>
      <w:r>
        <w:t>Test 23  OV02  Radial-conjunction transport case</w:t>
      </w:r>
    </w:p>
    <w:p>
      <w:pPr>
        <w:keepLines/>
      </w:pPr>
      <w:r>
        <w:rPr>
          <w:b/>
          <w:color w:val="17365D"/>
        </w:rPr>
        <w:t xml:space="preserve">Why it matters  </w:t>
      </w:r>
      <w:r>
        <w:t>Two spacecraft magnetically connected to the same source sector but at different radii constrain radial evolution and path-integrated scattering more directly than a single 1 AU observation.</w:t>
      </w:r>
    </w:p>
    <w:p>
      <w:pPr>
        <w:keepLines/>
      </w:pPr>
      <w:r>
        <w:rPr>
          <w:b/>
          <w:color w:val="17365D"/>
        </w:rPr>
        <w:t xml:space="preserve">Validation question  </w:t>
      </w:r>
      <w:r>
        <w:t>Does one injection history and one radial transport prescription reproduce the time delay, intensity evolution, anisotropy change, and spectral softening between inner and outer observers?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Select a PSP–Solar Orbiter, PSP–STEREO-A, or Solar Orbiter–Earth interval using objective criteria: Parker-footpoint separation ≤20°, radial separation ≥0.2 AU, ≥80% particle/plasma/MAG coverage, and no clearly intervening ICME unless explicitly modeled.</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Onset-time difference, peak-time difference, peak and fluence radial scaling, spectra, anisotropy, path length, local Vsw/B, and connectivity uncertainty.</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PSP ISOIS EPI-Hi/EPI-Lo [R9–R11], PSP FIELDS/SWEAP via CDAWeb; Solar Orbiter EPD/MAG/SWA via SOAR [R1] or CDAWeb; STEREO IMPACT/PLASTIC [R8]; ephemerides via mission products/CDAWeb or NAIF SPICE [R18].</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Compute spacecraft positions and Parker footpoints with uncertainty from measured Vsw; harmonize species and energy response; identify local shocks/ICMEs; use direction-resolved data to form anisotropy only when coverage supports it. Respect PSP ISOIS release notes and quality flags.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Selection criteria and event dossier are mandatory. For a clean conjunction, target differential onset difference within 1 h, radial fluence exponent within ±0.5, and spectral-index change within ±0.5; otherwise classify the case diagnostic rather than silently relax thresholds.</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Include a heliographic connectivity plot and radial-evolution summary.</w:t>
            </w:r>
          </w:p>
        </w:tc>
      </w:tr>
    </w:tbl>
    <w:p>
      <w:pPr>
        <w:pStyle w:val="Heading3"/>
      </w:pPr>
      <w:r>
        <w:t>Implementation procedure</w:t>
      </w:r>
    </w:p>
    <w:p>
      <w:pPr>
        <w:pStyle w:val="ListBullet"/>
        <w:ind w:left="317" w:hanging="173"/>
      </w:pPr>
      <w:r>
        <w:t>Query candidate intervals programmatically, score them against the selection rules, and freeze the chosen case before transport tuning.</w:t>
      </w:r>
    </w:p>
    <w:p>
      <w:pPr>
        <w:pStyle w:val="ListBullet"/>
        <w:ind w:left="317" w:hanging="173"/>
      </w:pPr>
      <w:r>
        <w:t>Download native L2 science files and record DOI/version/release-note date.</w:t>
      </w:r>
    </w:p>
    <w:p>
      <w:pPr>
        <w:pStyle w:val="ListBullet"/>
        <w:ind w:left="317" w:hanging="173"/>
      </w:pPr>
      <w:r>
        <w:t>Fit both observers jointly; prohibit separate injection normalization per spacecraft in the primary run.</w:t>
      </w:r>
    </w:p>
    <w:p>
      <w:pPr>
        <w:keepLines/>
      </w:pPr>
      <w:r>
        <w:rPr>
          <w:b/>
          <w:color w:val="17365D"/>
        </w:rPr>
        <w:t xml:space="preserve">Failure diagnosis  </w:t>
      </w:r>
      <w:r>
        <w:t>A common timing shift implicates injection; increasing discrepancy with radius implicates scattering/background evolution; opposite anisotropy errors suggest incorrect connection geometry or unmodeled cross-field transport.</w:t>
      </w:r>
    </w:p>
    <w:p>
      <w:pPr>
        <w:pStyle w:val="Caselabel"/>
      </w:pPr>
      <w:r>
        <w:t>Test 24  •  OV03  •  Diagnostic stress case</w:t>
      </w:r>
    </w:p>
    <w:p>
      <w:pPr>
        <w:pStyle w:val="Heading2"/>
      </w:pPr>
      <w:r>
        <w:t>Test 24  OV03  2013 May 22–23 interacting-CME event</w:t>
      </w:r>
    </w:p>
    <w:p>
      <w:pPr>
        <w:keepLines/>
      </w:pPr>
      <w:r>
        <w:rPr>
          <w:b/>
          <w:color w:val="17365D"/>
        </w:rPr>
        <w:t xml:space="preserve">Why it matters  </w:t>
      </w:r>
      <w:r>
        <w:t>Interacting CMEs challenge the assumed shock history and field topology. This case tests robustness and exposes where one-dimensional field-line transport needs better upstream context rather than parameter compensation.</w:t>
      </w:r>
    </w:p>
    <w:p>
      <w:pPr>
        <w:keepLines/>
      </w:pPr>
      <w:r>
        <w:rPr>
          <w:b/>
          <w:color w:val="17365D"/>
        </w:rPr>
        <w:t xml:space="preserve">Validation question  </w:t>
      </w:r>
      <w:r>
        <w:t>Can srcSEP reproduce major intensity and spectral features using an explicitly documented multi-shock/interaction scenario, and which residuals are attributable to uncertain connectivity?</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Earth and available STEREO observers over a window that includes the interacting eruptions, interplanetary shocks, and decay. Run a minimal single-shock hypothesis and a documented multi-structure hypothesis.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Onset, multiple intensity enhancements, peak/fluence, spectra, local shock times, Vsw/B discontinuities, longitudinal differences, and residuals by interval.</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GOES data from NOAA NCEI [R12,R13]; STEREO IMPACT [R8]; ACE/Wind and OMNI context through CDAWeb/SPDF [R2–R4]; LASCO CME catalog [R16] and DONKI [R17].</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Separate solar injections from local shock enhancements using plasma/MAG timing; do not interpolate across long gaps or shocks; attach uncertainty to CME/shock parameters and preserve alternate associations.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No single scalar pass/fail. Required success is an auditable decomposition: scores for pre-shock, shock-associated, and decay windows; sensitivity to alternate shock histories; and identification of residuals outside 1D scope.</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Include a timeline of eruptions, shocks, spacecraft positions, and scoring windows.</w:t>
            </w:r>
          </w:p>
        </w:tc>
      </w:tr>
    </w:tbl>
    <w:p>
      <w:pPr>
        <w:pStyle w:val="Heading3"/>
      </w:pPr>
      <w:r>
        <w:t>Implementation procedure</w:t>
      </w:r>
    </w:p>
    <w:p>
      <w:pPr>
        <w:pStyle w:val="ListBullet"/>
        <w:ind w:left="317" w:hanging="173"/>
      </w:pPr>
      <w:r>
        <w:t>Assemble an event association table from at least two catalogs or a catalog plus in-situ signature.</w:t>
      </w:r>
    </w:p>
    <w:p>
      <w:pPr>
        <w:pStyle w:val="ListBullet"/>
        <w:ind w:left="317" w:hanging="173"/>
      </w:pPr>
      <w:r>
        <w:t>Freeze two physical hypotheses before running.</w:t>
      </w:r>
    </w:p>
    <w:p>
      <w:pPr>
        <w:pStyle w:val="ListBullet"/>
        <w:ind w:left="317" w:hanging="173"/>
      </w:pPr>
      <w:r>
        <w:t>Use the case to prioritize background/shock-history improvements, not to tune universal diffusion parameters.</w:t>
      </w:r>
    </w:p>
    <w:p>
      <w:pPr>
        <w:keepLines/>
      </w:pPr>
      <w:r>
        <w:rPr>
          <w:b/>
          <w:color w:val="17365D"/>
        </w:rPr>
        <w:t xml:space="preserve">Failure diagnosis  </w:t>
      </w:r>
      <w:r>
        <w:t>A local-only enhancement missing from the model signals shock/connection history; broad longitudinal mismatch suggests cross-field transport; inconsistent event associations are input uncertainty, not solver error.</w:t>
      </w:r>
    </w:p>
    <w:p>
      <w:pPr>
        <w:pStyle w:val="Caselabel"/>
      </w:pPr>
      <w:r>
        <w:t>Test 25  •  OV04  •  Diagnostic stress case</w:t>
      </w:r>
    </w:p>
    <w:p>
      <w:pPr>
        <w:pStyle w:val="Heading2"/>
      </w:pPr>
      <w:r>
        <w:t>Test 25  OV04  2014 January 6–9 connectivity-sensitive event</w:t>
      </w:r>
    </w:p>
    <w:p>
      <w:pPr>
        <w:keepLines/>
      </w:pPr>
      <w:r>
        <w:rPr>
          <w:b/>
          <w:color w:val="17365D"/>
        </w:rPr>
        <w:t xml:space="preserve">Why it matters  </w:t>
      </w:r>
      <w:r>
        <w:t>This interval is useful for testing how strongly along-field predictions depend on coronal/heliospheric connection and source timing. It prevents good 1 AU fits obtained from an unjustified injection delay or path length.</w:t>
      </w:r>
    </w:p>
    <w:p>
      <w:pPr>
        <w:keepLines/>
      </w:pPr>
      <w:r>
        <w:rPr>
          <w:b/>
          <w:color w:val="17365D"/>
        </w:rPr>
        <w:t xml:space="preserve">Validation question  </w:t>
      </w:r>
      <w:r>
        <w:t>Across plausible connection solutions, which timing and anisotropy features are robust consequences of transport and which are dominated by source/field uncertainty?</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Near-Earth plus available STEREO coverage; construct at least three connection realizations from measured Vsw and plausible source longitude/field mapping. Keep transport coefficients identical across realizations.</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Onset, velocity-dispersion path length and release time, anisotropy, peak/fluence, spectra, Parker-footpoint separation, and sensitivity across connection ensembles.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GOES NCEI [R12,R13], SOHO archives [R5,R6], ACE/CDAWeb [R2,R7], STEREO IMPACT [R8], LASCO CME catalog [R16], and DONKI [R17].</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Perform velocity-dispersion analysis only on channels with defensible onsets and report its known sensitivity to scattering. Propagate energy-channel and onset uncertainty. Create an ensemble of connection histories rather than choosing the best after seeing flux residuals.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Diagnostic gate: report the ensemble envelope and whether observations fall within it. A model improvement is supported only if it improves preregistered metrics across the ensemble, not merely the best-connected member.</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Include release-time/path-length regression with uncertainties and a connection-sensitivity envelope.</w:t>
            </w:r>
          </w:p>
        </w:tc>
      </w:tr>
    </w:tbl>
    <w:p>
      <w:pPr>
        <w:pStyle w:val="Heading3"/>
      </w:pPr>
      <w:r>
        <w:t>Implementation procedure</w:t>
      </w:r>
    </w:p>
    <w:p>
      <w:pPr>
        <w:pStyle w:val="ListBullet"/>
        <w:ind w:left="317" w:hanging="173"/>
      </w:pPr>
      <w:r>
        <w:t>Verify exact event boundaries and data coverage during dossier creation; this date range is a candidate until that review is signed off.</w:t>
      </w:r>
    </w:p>
    <w:p>
      <w:pPr>
        <w:pStyle w:val="ListBullet"/>
        <w:ind w:left="317" w:hanging="173"/>
      </w:pPr>
      <w:r>
        <w:t>Lock the connection ensemble before transport fitting.</w:t>
      </w:r>
    </w:p>
    <w:p>
      <w:pPr>
        <w:pStyle w:val="ListBullet"/>
        <w:ind w:left="317" w:hanging="173"/>
      </w:pPr>
      <w:r>
        <w:t>Compare fitted path lengths with geometric field-line lengths and explain discrepancies physically.</w:t>
      </w:r>
    </w:p>
    <w:p>
      <w:pPr>
        <w:keepLines/>
      </w:pPr>
      <w:r>
        <w:rPr>
          <w:b/>
          <w:color w:val="17365D"/>
        </w:rPr>
        <w:t xml:space="preserve">Failure diagnosis  </w:t>
      </w:r>
      <w:r>
        <w:t>Unstable results across connection members indicate input-limited validation; stable energy-dependent residuals implicate scattering; unrealistic inferred path length warns against a simple ballistic onset interpretation.</w:t>
      </w:r>
    </w:p>
    <w:p>
      <w:pPr>
        <w:pStyle w:val="Caselabel"/>
      </w:pPr>
      <w:r>
        <w:t>Test 26  •  OV05  •  Diagnostic stress case</w:t>
      </w:r>
    </w:p>
    <w:p>
      <w:pPr>
        <w:pStyle w:val="Heading2"/>
      </w:pPr>
      <w:r>
        <w:t>Test 26  OV05  September 2017 widespread and compound events</w:t>
      </w:r>
    </w:p>
    <w:p>
      <w:pPr>
        <w:keepLines/>
      </w:pPr>
      <w:r>
        <w:rPr>
          <w:b/>
          <w:color w:val="17365D"/>
        </w:rPr>
        <w:t xml:space="preserve">Why it matters  </w:t>
      </w:r>
      <w:r>
        <w:t>The 4, 6, and 10 September events provide broad energy coverage and multiple observers, but overlapping injections, ICMEs, shocks, and large longitudinal separation make them a stringent scope test.</w:t>
      </w:r>
    </w:p>
    <w:p>
      <w:pPr>
        <w:keepLines/>
      </w:pPr>
      <w:r>
        <w:rPr>
          <w:b/>
          <w:color w:val="17365D"/>
        </w:rPr>
        <w:t xml:space="preserve">Validation question  </w:t>
      </w:r>
      <w:r>
        <w:t>Can srcSEP explain well-connected portions of the compound interval, and does the residual pattern correctly reveal physics beyond a single field line?</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Treat 4, 6, and 10 September as linked but separately tagged injections. Near Earth use ACE and GOES; use STEREO-A for longitudinal contrast. Score clean subwindows and the full compound interval separately.</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Proton intensity from tens of keV to GeV-class channels, onset, peak/fluence, spectra, anisotropy where available, shock/ICME timing, longitudinal delay, and event overlap.</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ACE EPAM 47 keV–4.75 MeV, GOES EPEAD/HEPAD, and STEREO-A SEPT/LET/HET as documented in the public event analysis [R19]; data through ACE/CDAWeb [R2,R7], NOAA NCEI [R12,R13], and STEREO IMPACT [R8].</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Apply instrument quality flags and saturation/contamination caveats; use native cadences before optional common resampling; model overlapping backgrounds explicitly; preserve the reported &gt;10 h STEREO-A delay for 10 September as a connectivity/cross-field diagnostic.</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Well-connected subwindows use provisional OV01 targets. The STEREO-A wide-separation response is diagnostic only for a 1D model; required output is a quantified residual and a documented decision on whether perpendicular transport or multi-line injection is needed.</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Include separate event-component overlays and a longitude-versus-delay residual figure.</w:t>
            </w:r>
          </w:p>
        </w:tc>
      </w:tr>
    </w:tbl>
    <w:p>
      <w:pPr>
        <w:pStyle w:val="Heading3"/>
      </w:pPr>
      <w:r>
        <w:t>Implementation procedure</w:t>
      </w:r>
    </w:p>
    <w:p>
      <w:pPr>
        <w:pStyle w:val="ListBullet"/>
        <w:ind w:left="317" w:hanging="173"/>
      </w:pPr>
      <w:r>
        <w:t>Build one immutable raw-data bundle and three injection labels.</w:t>
      </w:r>
    </w:p>
    <w:p>
      <w:pPr>
        <w:pStyle w:val="ListBullet"/>
        <w:ind w:left="317" w:hanging="173"/>
      </w:pPr>
      <w:r>
        <w:t>Run single-injection negative controls to quantify event-overlap bias.</w:t>
      </w:r>
    </w:p>
    <w:p>
      <w:pPr>
        <w:pStyle w:val="ListBullet"/>
        <w:ind w:left="317" w:hanging="173"/>
      </w:pPr>
      <w:r>
        <w:t>Do not calibrate cross-field parameters in srcSEP unless that physics exists and is independently verified.</w:t>
      </w:r>
    </w:p>
    <w:p>
      <w:pPr>
        <w:keepLines/>
      </w:pPr>
      <w:r>
        <w:rPr>
          <w:b/>
          <w:color w:val="17365D"/>
        </w:rPr>
        <w:t xml:space="preserve">Failure diagnosis  </w:t>
      </w:r>
      <w:r>
        <w:t>Failure only at wide longitude is expected evidence of missing cross-field/field-line access; high-energy-only failure requires GOES response/saturation review; decay mismatch during ICMEs implicates evolving topology.</w:t>
      </w:r>
    </w:p>
    <w:p>
      <w:r>
        <w:br w:type="page"/>
      </w:r>
    </w:p>
    <w:p>
      <w:pPr>
        <w:pStyle w:val="Heading1"/>
      </w:pPr>
      <w:r>
        <w:t>E  Campaign-level evidence</w:t>
      </w:r>
    </w:p>
    <w:p>
      <w:r>
        <w:t>Ensemble calibration, identifiability, held-out scoring, and prospective validation.</w:t>
      </w:r>
    </w:p>
    <w:p>
      <w:pPr>
        <w:pStyle w:val="Caselabel"/>
      </w:pPr>
      <w:r>
        <w:t>Test 27  •  EV01  •  Required campaign</w:t>
      </w:r>
    </w:p>
    <w:p>
      <w:pPr>
        <w:pStyle w:val="Heading2"/>
      </w:pPr>
      <w:r>
        <w:t>Test 27  EV01  Calibration ensemble and parameter identifiability</w:t>
      </w:r>
    </w:p>
    <w:p>
      <w:pPr>
        <w:keepLines/>
      </w:pPr>
      <w:r>
        <w:rPr>
          <w:b/>
          <w:color w:val="17365D"/>
        </w:rPr>
        <w:t xml:space="preserve">Why it matters  </w:t>
      </w:r>
      <w:r>
        <w:t>A model tuned to one event can fit for the wrong reasons. A multi-event calibration ensemble quantifies which parameters are constrained, which are degenerate, and how uncertainty propagates to predictions.</w:t>
      </w:r>
    </w:p>
    <w:p>
      <w:pPr>
        <w:keepLines/>
      </w:pPr>
      <w:r>
        <w:rPr>
          <w:b/>
          <w:color w:val="17365D"/>
        </w:rPr>
        <w:t xml:space="preserve">Validation question  </w:t>
      </w:r>
      <w:r>
        <w:t>Can a single parameterization or declared covariate model explain a preselected training set without event-by-event retuning?</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Select 15–30 events and non-events spanning solar connection, CME speed, background intensity, energy, and solar cycle. Use CCMC SEPVAL lists/standard inputs where compatible. Reserve the held-out set before any fit.</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All-clear classification, onset/end/threshold times, maximum and onset-peak flux, fluence, flux-time profile, spectra, parameter posterior/likelihood, and residuals versus event covariates.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CCMC SEP Model Validation Challenge, standard inputs, event/non-event lists, OpSEP-derived quantities, and JSON format [R20,R21].</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Use one versioned pipeline for background subtraction, thresholds, energy conversion, and missing-data rules. Split by event—not time sample—to prevent leakage. Retain non-events for false-alarm skill.</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Before fitting, declare objective function, priors/bounds, and metrics. Require stable parameters under bootstrap/event resampling and report identifiability; a narrow fit with poor held-out performance fails even if training RMSE is low.</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Add parameter-correlation, reliability/contingency, and residual-versus-covariate figures.</w:t>
            </w:r>
          </w:p>
        </w:tc>
      </w:tr>
    </w:tbl>
    <w:p>
      <w:pPr>
        <w:pStyle w:val="Heading3"/>
      </w:pPr>
      <w:r>
        <w:t>Implementation procedure</w:t>
      </w:r>
    </w:p>
    <w:p>
      <w:pPr>
        <w:pStyle w:val="ListBullet"/>
        <w:ind w:left="317" w:hanging="173"/>
      </w:pPr>
      <w:r>
        <w:t>Import or map the CCMC JSON schema and assign immutable event IDs.</w:t>
      </w:r>
    </w:p>
    <w:p>
      <w:pPr>
        <w:pStyle w:val="ListBullet"/>
        <w:ind w:left="317" w:hanging="173"/>
      </w:pPr>
      <w:r>
        <w:t>Create stratified train/validation/hold-out splits and checksum them.</w:t>
      </w:r>
    </w:p>
    <w:p>
      <w:pPr>
        <w:pStyle w:val="ListBullet"/>
        <w:ind w:left="317" w:hanging="173"/>
      </w:pPr>
      <w:r>
        <w:t>Fit only on training; use validation for model choices; open the hold-out gate once per tagged release.</w:t>
      </w:r>
    </w:p>
    <w:p>
      <w:pPr>
        <w:keepLines/>
      </w:pPr>
      <w:r>
        <w:rPr>
          <w:b/>
          <w:color w:val="17365D"/>
        </w:rPr>
        <w:t xml:space="preserve">Failure diagnosis  </w:t>
      </w:r>
      <w:r>
        <w:t>Event-specific residual structure indicates missing covariates/physics; unstable parameters indicate nonidentifiability; good event fits with false alarms on non-events indicate source-trigger rather than transport calibration problems.</w:t>
      </w:r>
    </w:p>
    <w:p>
      <w:pPr>
        <w:pStyle w:val="Caselabel"/>
      </w:pPr>
      <w:r>
        <w:t>Test 28  •  EV02  •  Required release</w:t>
      </w:r>
    </w:p>
    <w:p>
      <w:pPr>
        <w:pStyle w:val="Heading2"/>
      </w:pPr>
      <w:r>
        <w:t>Test 28  EV02  Locked held-out and forward validation campaign</w:t>
      </w:r>
    </w:p>
    <w:p>
      <w:pPr>
        <w:keepLines/>
      </w:pPr>
      <w:r>
        <w:rPr>
          <w:b/>
          <w:color w:val="17365D"/>
        </w:rPr>
        <w:t xml:space="preserve">Why it matters  </w:t>
      </w:r>
      <w:r>
        <w:t>Only untouched historical cases—and eventually truly prospective cases—measure predictive credibility. This gate prevents iterative inspection of test events from becoming hidden calibration.</w:t>
      </w:r>
    </w:p>
    <w:p>
      <w:pPr>
        <w:keepLines/>
      </w:pPr>
      <w:r>
        <w:rPr>
          <w:b/>
          <w:color w:val="17365D"/>
        </w:rPr>
        <w:t xml:space="preserve">Validation question  </w:t>
      </w:r>
      <w:r>
        <w:t>With code, configuration, thresholds, and event rules frozen, what skill does srcSEP achieve on unseen events and non-events?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Configuration</w:t>
            </w:r>
          </w:p>
        </w:tc>
        <w:tc>
          <w:tcPr>
            <w:tcW w:type="dxa" w:w="7891"/>
            <w:vAlign w:val="top"/>
            <w:shd w:fill="FFFFFF"/>
            <w:tcMar>
              <w:top w:w="90" w:type="dxa"/>
              <w:start w:w="100" w:type="dxa"/>
              <w:bottom w:w="90" w:type="dxa"/>
              <w:end w:w="100" w:type="dxa"/>
            </w:tcMar>
          </w:tcPr>
          <w:p>
            <w:pPr>
              <w:spacing w:after="0"/>
            </w:pPr>
            <w:r>
              <w:t>Use the sealed hold-out partition from EV01; then register prospective forecasts through the CCMC SEP Scoreboard or equivalent archive when operational inputs are available.</w:t>
            </w:r>
          </w:p>
        </w:tc>
      </w:tr>
      <w:tr>
        <w:tc>
          <w:tcPr>
            <w:tcW w:type="dxa" w:w="2045"/>
            <w:vAlign w:val="top"/>
            <w:shd w:fill="EEF1F4"/>
            <w:tcMar>
              <w:top w:w="90" w:type="dxa"/>
              <w:start w:w="100" w:type="dxa"/>
              <w:bottom w:w="90" w:type="dxa"/>
              <w:end w:w="100" w:type="dxa"/>
            </w:tcMar>
          </w:tcPr>
          <w:p>
            <w:pPr>
              <w:spacing w:after="0"/>
            </w:pPr>
            <w:r>
              <w:rPr>
                <w:b/>
                <w:color w:val="17365D"/>
              </w:rPr>
              <w:t>Compared quantities</w:t>
            </w:r>
          </w:p>
        </w:tc>
        <w:tc>
          <w:tcPr>
            <w:tcW w:type="dxa" w:w="7891"/>
            <w:vAlign w:val="top"/>
            <w:shd w:fill="FFFFFF"/>
            <w:tcMar>
              <w:top w:w="90" w:type="dxa"/>
              <w:start w:w="100" w:type="dxa"/>
              <w:bottom w:w="90" w:type="dxa"/>
              <w:end w:w="100" w:type="dxa"/>
            </w:tcMar>
          </w:tcPr>
          <w:p>
            <w:pPr>
              <w:spacing w:after="0"/>
            </w:pPr>
            <w:r>
              <w:t>Contingency table; probability calibration if applicable; onset/peak/end/threshold timing; peak flux; fluence; time-profile log error; spectral error; and coverage of predictive intervals.</w:t>
            </w:r>
          </w:p>
        </w:tc>
      </w:tr>
      <w:tr>
        <w:tc>
          <w:tcPr>
            <w:tcW w:type="dxa" w:w="2045"/>
            <w:vAlign w:val="top"/>
            <w:shd w:fill="D9EAF7"/>
            <w:tcMar>
              <w:top w:w="90" w:type="dxa"/>
              <w:start w:w="100" w:type="dxa"/>
              <w:bottom w:w="90" w:type="dxa"/>
              <w:end w:w="100" w:type="dxa"/>
            </w:tcMar>
          </w:tcPr>
          <w:p>
            <w:pPr>
              <w:spacing w:after="0"/>
            </w:pPr>
            <w:r>
              <w:rPr>
                <w:b/>
                <w:color w:val="17365D"/>
              </w:rPr>
              <w:t>Reference or data</w:t>
            </w:r>
          </w:p>
        </w:tc>
        <w:tc>
          <w:tcPr>
            <w:tcW w:type="dxa" w:w="7891"/>
            <w:vAlign w:val="top"/>
            <w:shd w:fill="FFFFFF"/>
            <w:tcMar>
              <w:top w:w="90" w:type="dxa"/>
              <w:start w:w="100" w:type="dxa"/>
              <w:bottom w:w="90" w:type="dxa"/>
              <w:end w:w="100" w:type="dxa"/>
            </w:tcMar>
          </w:tcPr>
          <w:p>
            <w:pPr>
              <w:spacing w:after="0"/>
            </w:pPr>
            <w:r>
              <w:t>CCMC validation framework and SEP Scoreboard conventions [R20,R21,R22]. Observations remain independently processed with the frozen data pipeline.</w:t>
            </w:r>
          </w:p>
        </w:tc>
      </w:tr>
      <w:tr>
        <w:tc>
          <w:tcPr>
            <w:tcW w:type="dxa" w:w="2045"/>
            <w:vAlign w:val="top"/>
            <w:shd w:fill="EEF1F4"/>
            <w:tcMar>
              <w:top w:w="90" w:type="dxa"/>
              <w:start w:w="100" w:type="dxa"/>
              <w:bottom w:w="90" w:type="dxa"/>
              <w:end w:w="100" w:type="dxa"/>
            </w:tcMar>
          </w:tcPr>
          <w:p>
            <w:pPr>
              <w:spacing w:after="0"/>
            </w:pPr>
            <w:r>
              <w:rPr>
                <w:b/>
                <w:color w:val="17365D"/>
              </w:rPr>
              <w:t>Processing</w:t>
            </w:r>
          </w:p>
        </w:tc>
        <w:tc>
          <w:tcPr>
            <w:tcW w:type="dxa" w:w="7891"/>
            <w:vAlign w:val="top"/>
            <w:shd w:fill="FFFFFF"/>
            <w:tcMar>
              <w:top w:w="90" w:type="dxa"/>
              <w:start w:w="100" w:type="dxa"/>
              <w:bottom w:w="90" w:type="dxa"/>
              <w:end w:w="100" w:type="dxa"/>
            </w:tcMar>
          </w:tcPr>
          <w:p>
            <w:pPr>
              <w:spacing w:after="0"/>
            </w:pPr>
            <w:r>
              <w:t>Run in a clean environment from a release tag; verify checksums; forbid post-cutoff data for forecast-style scores; label science reanalyses separately; retain failures and non-events.</w:t>
            </w:r>
          </w:p>
        </w:tc>
      </w:tr>
      <w:tr>
        <w:tc>
          <w:tcPr>
            <w:tcW w:type="dxa" w:w="2045"/>
            <w:vAlign w:val="top"/>
            <w:shd w:fill="D9EAF7"/>
            <w:tcMar>
              <w:top w:w="90" w:type="dxa"/>
              <w:start w:w="100" w:type="dxa"/>
              <w:bottom w:w="90" w:type="dxa"/>
              <w:end w:w="100" w:type="dxa"/>
            </w:tcMar>
          </w:tcPr>
          <w:p>
            <w:pPr>
              <w:spacing w:after="0"/>
            </w:pPr>
            <w:r>
              <w:rPr>
                <w:b/>
                <w:color w:val="17365D"/>
              </w:rPr>
              <w:t>Acceptance gate</w:t>
            </w:r>
          </w:p>
        </w:tc>
        <w:tc>
          <w:tcPr>
            <w:tcW w:type="dxa" w:w="7891"/>
            <w:vAlign w:val="top"/>
            <w:shd w:fill="FFFFFF"/>
            <w:tcMar>
              <w:top w:w="90" w:type="dxa"/>
              <w:start w:w="100" w:type="dxa"/>
              <w:bottom w:w="90" w:type="dxa"/>
              <w:end w:w="100" w:type="dxa"/>
            </w:tcMar>
          </w:tcPr>
          <w:p>
            <w:pPr>
              <w:spacing w:after="0"/>
            </w:pPr>
            <w:r>
              <w:t>Publish all preregistered metrics with bootstrap confidence intervals and per-event results. No parameter or threshold changes after unsealing. Any correction creates a new version and a new untouched cohort; it never overwrites the original score.</w:t>
            </w:r>
          </w:p>
        </w:tc>
      </w:tr>
      <w:tr>
        <w:tc>
          <w:tcPr>
            <w:tcW w:type="dxa" w:w="2045"/>
            <w:vAlign w:val="top"/>
            <w:shd w:fill="EEF1F4"/>
            <w:tcMar>
              <w:top w:w="90" w:type="dxa"/>
              <w:start w:w="100" w:type="dxa"/>
              <w:bottom w:w="90" w:type="dxa"/>
              <w:end w:w="100" w:type="dxa"/>
            </w:tcMar>
          </w:tcPr>
          <w:p>
            <w:pPr>
              <w:spacing w:after="0"/>
            </w:pPr>
            <w:r>
              <w:rPr>
                <w:b/>
                <w:color w:val="17365D"/>
              </w:rPr>
              <w:t>Required outputs</w:t>
            </w:r>
          </w:p>
        </w:tc>
        <w:tc>
          <w:tcPr>
            <w:tcW w:type="dxa" w:w="7891"/>
            <w:vAlign w:val="top"/>
            <w:shd w:fill="FFFFFF"/>
            <w:tcMar>
              <w:top w:w="90" w:type="dxa"/>
              <w:start w:w="100" w:type="dxa"/>
              <w:bottom w:w="90" w:type="dxa"/>
              <w:end w:w="100" w:type="dxa"/>
            </w:tcMar>
          </w:tcPr>
          <w:p>
            <w:pPr>
              <w:spacing w:after="0"/>
            </w:pPr>
            <w:r>
              <w:t>Machine-readable metrics (JSON/CSV), model–reference overlay in PNG and EPS, residual panel, run log, resolved configuration, and provenance manifest. Add a signed release manifest, full scorecard, failure taxonomy, and reproducibility bundle.</w:t>
            </w:r>
          </w:p>
        </w:tc>
      </w:tr>
    </w:tbl>
    <w:p>
      <w:pPr>
        <w:pStyle w:val="Heading3"/>
      </w:pPr>
      <w:r>
        <w:t>Implementation procedure</w:t>
      </w:r>
    </w:p>
    <w:p>
      <w:pPr>
        <w:pStyle w:val="ListBullet"/>
        <w:ind w:left="317" w:hanging="173"/>
      </w:pPr>
      <w:r>
        <w:t>Define an unseal procedure requiring a release tag and machine-generated configuration hash.</w:t>
      </w:r>
    </w:p>
    <w:p>
      <w:pPr>
        <w:pStyle w:val="ListBullet"/>
        <w:ind w:left="317" w:hanging="173"/>
      </w:pPr>
      <w:r>
        <w:t>Generate CCMC-compatible JSON plus detailed time profiles.</w:t>
      </w:r>
    </w:p>
    <w:p>
      <w:pPr>
        <w:pStyle w:val="ListBullet"/>
        <w:ind w:left="317" w:hanging="173"/>
      </w:pPr>
      <w:r>
        <w:t>Schedule periodic prospective scoring once enough new events/non-events accumulate; keep retrospective and prospective leaderboards distinct.</w:t>
      </w:r>
    </w:p>
    <w:p>
      <w:pPr>
        <w:keepLines/>
      </w:pPr>
      <w:r>
        <w:rPr>
          <w:b/>
          <w:color w:val="17365D"/>
        </w:rPr>
        <w:t xml:space="preserve">Failure diagnosis  </w:t>
      </w:r>
      <w:r>
        <w:t>Held-out degradation quantifies overfitting; calibration failure with good ranking indicates uncertainty model issues; systematic misses by connection or energy identify the next physics work package.</w:t>
      </w:r>
    </w:p>
    <w:p>
      <w:r>
        <w:br w:type="page"/>
      </w:r>
    </w:p>
    <w:p>
      <w:pPr>
        <w:pStyle w:val="Heading1"/>
      </w:pPr>
      <w:r>
        <w:t>F  Standard data and preprocessing pipeline</w:t>
      </w:r>
    </w:p>
    <w:p>
      <w:r>
        <w:t>Every observational case must use the following numbered pipeline. A transformation is valid only if its input, parameters, software version, and output checksum are recorded.</w:t>
      </w:r>
    </w:p>
    <w:p>
      <w:pPr>
        <w:pStyle w:val="Heading2"/>
      </w:pPr>
      <w:r>
        <w:t>1  Event dossier and freeze</w:t>
      </w:r>
    </w:p>
    <w:p>
      <w:r>
        <w:t>Assign an immutable case/event ID; define start/end/background windows; list spacecraft, species, channels, expected structures, model scope, and provisional scoring windows. Obtain physics-owner approval before inspecting model residuals.</w:t>
      </w:r>
    </w:p>
    <w:p>
      <w:pPr>
        <w:pStyle w:val="Heading2"/>
      </w:pPr>
      <w:r>
        <w:t>2  Scripted acquisition</w:t>
      </w:r>
    </w:p>
    <w:p>
      <w:r>
        <w:t>Download mission L2/science-quality products from official archives. Store the original bytes read-only; record URL, dataset/product ID, file version, access date, size, SHA-256, release-note URL, terms of use, and citation. Quicklook plots are navigation aids, not science inputs.</w:t>
      </w:r>
    </w:p>
    <w:p>
      <w:pPr>
        <w:pStyle w:val="Heading2"/>
      </w:pPr>
      <w:r>
        <w:t>3  Quality control</w:t>
      </w:r>
    </w:p>
    <w:p>
      <w:r>
        <w:t>Apply documented quality flags, invalid-value codes, dead-time/saturation warnings, sector coverage limits, contamination cautions, and instrument-specific release notes. Preserve a Boolean quality mask and reason code; never silently delete points.</w:t>
      </w:r>
    </w:p>
    <w:p>
      <w:pPr>
        <w:pStyle w:val="Heading2"/>
      </w:pPr>
      <w:r>
        <w:t>4  Time normalization</w:t>
      </w:r>
    </w:p>
    <w:p>
      <w:r>
        <w:t>Convert epochs to UTC using a tested library; retain native cadence and timestamp convention (center/start/end). Remove duplicates deterministically. Do not interpolate across gaps longer than a declared threshold or across shocks/discontinuities.</w:t>
      </w:r>
    </w:p>
    <w:p>
      <w:pPr>
        <w:pStyle w:val="Heading2"/>
      </w:pPr>
      <w:r>
        <w:t>5  Species and units</w:t>
      </w:r>
    </w:p>
    <w:p>
      <w:r>
        <w:t>Record whether energy is total, per charge, or per nucleon; convert differential intensities to a canonical unit such as particles cm⁻² s⁻¹ sr⁻¹ MeV⁻¹ while preserving the original. Verify relativistic energy–momentum/rigidity transformations and ion mass/charge.</w:t>
      </w:r>
    </w:p>
    <w:p>
      <w:pPr>
        <w:pStyle w:val="Heading2"/>
      </w:pPr>
      <w:r>
        <w:t>6  Energy-response matching</w:t>
      </w:r>
    </w:p>
    <w:p>
      <w:r>
        <w:t>Prefer forward folding: integrate the modeled spectrum against the published instrument response. If only nominal bounds exist, integrate over those bounds and propagate spectral-shape uncertainty. Never compare a geometric-mean model value directly to an integral channel.</w:t>
      </w:r>
    </w:p>
    <w:p>
      <w:pPr>
        <w:pStyle w:val="Heading2"/>
      </w:pPr>
      <w:r>
        <w:t>7  Background and event segmentation</w:t>
      </w:r>
    </w:p>
    <w:p>
      <w:r>
        <w:t>Select a quiet, documented pre-event interval. Report raw and background-subtracted products. Use robust location/scale where contamination exists; carry background uncertainty. For compound events, model the overlap or score declared subwindows.</w:t>
      </w:r>
    </w:p>
    <w:p>
      <w:pPr>
        <w:pStyle w:val="Heading2"/>
      </w:pPr>
      <w:r>
        <w:t>8  Plasma magnetic and geometry context</w:t>
      </w:r>
    </w:p>
    <w:p>
      <w:r>
        <w:t>Use spacecraft-local solar wind and magnetic field for event interpretation where possible; OMNI is useful near Earth but is time-shifted and should not be treated as a generic heliocentric spacecraft measurement. Compute ephemerides, field-line arclength, and Parker footpoints with uncertainty.</w:t>
      </w:r>
    </w:p>
    <w:p>
      <w:pPr>
        <w:pStyle w:val="Heading2"/>
      </w:pPr>
      <w:r>
        <w:t>9  Feature extraction</w:t>
      </w:r>
    </w:p>
    <w:p>
      <w:r>
        <w:t>Use one versioned algorithm for onset, threshold crossing, peak, end, fluence, spectral slope, and anisotropy. Store thresholds and uncertainty. Human overrides require a reason and are reported beside the automated result.</w:t>
      </w:r>
    </w:p>
    <w:p>
      <w:pPr>
        <w:pStyle w:val="Heading2"/>
      </w:pPr>
      <w:r>
        <w:t>10  Comparison and archive</w:t>
      </w:r>
    </w:p>
    <w:p>
      <w:r>
        <w:t>Map model output to observation time/energy response, compute metrics and confidence intervals, generate PNG/EPS plots, and write a self-contained manifest linking release tag, configuration hash, raw/processed checksums, and environment lock file.</w:t>
      </w:r>
    </w:p>
    <w:p>
      <w:pPr>
        <w:pStyle w:val="Heading2"/>
      </w:pPr>
      <w:r>
        <w:t>Canonical processed-observation fields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Coordinates</w:t>
            </w:r>
          </w:p>
        </w:tc>
        <w:tc>
          <w:tcPr>
            <w:tcW w:type="dxa" w:w="7891"/>
            <w:vAlign w:val="top"/>
            <w:shd w:fill="FFFFFF"/>
            <w:tcMar>
              <w:top w:w="90" w:type="dxa"/>
              <w:start w:w="100" w:type="dxa"/>
              <w:bottom w:w="90" w:type="dxa"/>
              <w:end w:w="100" w:type="dxa"/>
            </w:tcMar>
          </w:tcPr>
          <w:p>
            <w:pPr>
              <w:spacing w:after="0"/>
            </w:pPr>
            <w:r>
              <w:t>event_id, spacecraft, instrument, dataset_id, time_utc, heliocentric position, field-line coordinate/footpoint and uncertainty</w:t>
            </w:r>
          </w:p>
        </w:tc>
      </w:tr>
      <w:tr>
        <w:tc>
          <w:tcPr>
            <w:tcW w:type="dxa" w:w="2045"/>
            <w:vAlign w:val="top"/>
            <w:shd w:fill="EEF1F4"/>
            <w:tcMar>
              <w:top w:w="90" w:type="dxa"/>
              <w:start w:w="100" w:type="dxa"/>
              <w:bottom w:w="90" w:type="dxa"/>
              <w:end w:w="100" w:type="dxa"/>
            </w:tcMar>
          </w:tcPr>
          <w:p>
            <w:pPr>
              <w:spacing w:after="0"/>
            </w:pPr>
            <w:r>
              <w:rPr>
                <w:b/>
                <w:color w:val="17365D"/>
              </w:rPr>
              <w:t>Measurement</w:t>
            </w:r>
          </w:p>
        </w:tc>
        <w:tc>
          <w:tcPr>
            <w:tcW w:type="dxa" w:w="7891"/>
            <w:vAlign w:val="top"/>
            <w:shd w:fill="FFFFFF"/>
            <w:tcMar>
              <w:top w:w="90" w:type="dxa"/>
              <w:start w:w="100" w:type="dxa"/>
              <w:bottom w:w="90" w:type="dxa"/>
              <w:end w:w="100" w:type="dxa"/>
            </w:tcMar>
          </w:tcPr>
          <w:p>
            <w:pPr>
              <w:spacing w:after="0"/>
            </w:pPr>
            <w:r>
              <w:t>species, charge state if known, energy_low/high, energy_definition, flux_type, flux, original_unit, canonical_unit, cadence</w:t>
            </w:r>
          </w:p>
        </w:tc>
      </w:tr>
      <w:tr>
        <w:tc>
          <w:tcPr>
            <w:tcW w:type="dxa" w:w="2045"/>
            <w:vAlign w:val="top"/>
            <w:shd w:fill="D9EAF7"/>
            <w:tcMar>
              <w:top w:w="90" w:type="dxa"/>
              <w:start w:w="100" w:type="dxa"/>
              <w:bottom w:w="90" w:type="dxa"/>
              <w:end w:w="100" w:type="dxa"/>
            </w:tcMar>
          </w:tcPr>
          <w:p>
            <w:pPr>
              <w:spacing w:after="0"/>
            </w:pPr>
            <w:r>
              <w:rPr>
                <w:b/>
                <w:color w:val="17365D"/>
              </w:rPr>
              <w:t>Quality</w:t>
            </w:r>
          </w:p>
        </w:tc>
        <w:tc>
          <w:tcPr>
            <w:tcW w:type="dxa" w:w="7891"/>
            <w:vAlign w:val="top"/>
            <w:shd w:fill="FFFFFF"/>
            <w:tcMar>
              <w:top w:w="90" w:type="dxa"/>
              <w:start w:w="100" w:type="dxa"/>
              <w:bottom w:w="90" w:type="dxa"/>
              <w:end w:w="100" w:type="dxa"/>
            </w:tcMar>
          </w:tcPr>
          <w:p>
            <w:pPr>
              <w:spacing w:after="0"/>
            </w:pPr>
            <w:r>
              <w:t>valid flag, quality bitmask, quality reason, background, background uncertainty, measurement uncertainty, gap identifier</w:t>
            </w:r>
          </w:p>
        </w:tc>
      </w:tr>
      <w:tr>
        <w:tc>
          <w:tcPr>
            <w:tcW w:type="dxa" w:w="2045"/>
            <w:vAlign w:val="top"/>
            <w:shd w:fill="EEF1F4"/>
            <w:tcMar>
              <w:top w:w="90" w:type="dxa"/>
              <w:start w:w="100" w:type="dxa"/>
              <w:bottom w:w="90" w:type="dxa"/>
              <w:end w:w="100" w:type="dxa"/>
            </w:tcMar>
          </w:tcPr>
          <w:p>
            <w:pPr>
              <w:spacing w:after="0"/>
            </w:pPr>
            <w:r>
              <w:rPr>
                <w:b/>
                <w:color w:val="17365D"/>
              </w:rPr>
              <w:t>Provenance</w:t>
            </w:r>
          </w:p>
        </w:tc>
        <w:tc>
          <w:tcPr>
            <w:tcW w:type="dxa" w:w="7891"/>
            <w:vAlign w:val="top"/>
            <w:shd w:fill="FFFFFF"/>
            <w:tcMar>
              <w:top w:w="90" w:type="dxa"/>
              <w:start w:w="100" w:type="dxa"/>
              <w:bottom w:w="90" w:type="dxa"/>
              <w:end w:w="100" w:type="dxa"/>
            </w:tcMar>
          </w:tcPr>
          <w:p>
            <w:pPr>
              <w:spacing w:after="0"/>
            </w:pPr>
            <w:r>
              <w:t>source URL, source version, download date, raw checksum, processing commit/configuration, response-function identifier</w:t>
            </w:r>
          </w:p>
        </w:tc>
      </w:tr>
    </w:tbl>
    <w:p>
      <w:r>
        <w:br w:type="page"/>
      </w:r>
    </w:p>
    <w:p>
      <w:pPr>
        <w:pStyle w:val="Heading1"/>
      </w:pPr>
      <w:r>
        <w:t>G  Metrics and acceptance methodology</w:t>
      </w:r>
    </w:p>
    <w:p>
      <w:pPr>
        <w:pStyle w:val="Heading2"/>
      </w:pPr>
      <w:r>
        <w:t>Deterministic and stochastic verification</w:t>
      </w:r>
    </w:p>
    <w:p>
      <w:pPr>
        <w:pStyle w:val="ListBullet"/>
        <w:ind w:left="317" w:hanging="173"/>
      </w:pPr>
      <w:r>
        <w:t>Compute L₁, L₂, and L∞ errors on conservative bin/cell integrals; report absolute and normalized values.</w:t>
      </w:r>
    </w:p>
    <w:p>
      <w:pPr>
        <w:pStyle w:val="ListBullet"/>
        <w:ind w:left="317" w:hanging="173"/>
      </w:pPr>
      <w:r>
        <w:t>For a refinement ratio r, estimate order p = ln(Ecoarse/Efine)/ln(r). Use at least three resolved levels and exclude levels dominated by roundoff or Monte Carlo noise with a documented rule.</w:t>
      </w:r>
    </w:p>
    <w:p>
      <w:pPr>
        <w:pStyle w:val="ListBullet"/>
        <w:ind w:left="317" w:hanging="173"/>
      </w:pPr>
      <w:r>
        <w:t>For stochastic quantities, use independent seeds and report mean, standard error, confidence interval, and z-score versus the analytical value. Demonstrate N⁻¹ᐟ² scaling where applicable.</w:t>
      </w:r>
    </w:p>
    <w:p>
      <w:pPr>
        <w:pStyle w:val="ListBullet"/>
        <w:ind w:left="317" w:hanging="173"/>
      </w:pPr>
      <w:r>
        <w:t>For distributions, use moments plus an empirical-CDF metric such as Kolmogorov–Smirnov or Wasserstein distance; do not rely only on visually selected histograms.</w:t>
      </w:r>
    </w:p>
    <w:p>
      <w:pPr>
        <w:pStyle w:val="ListBullet"/>
        <w:ind w:left="317" w:hanging="173"/>
      </w:pPr>
      <w:r>
        <w:t>For invariants, report the signed per-step residual and cumulative drift normalized by a physically meaningful initial or exchanged quantity.</w:t>
      </w:r>
    </w:p>
    <w:p>
      <w:pPr>
        <w:pStyle w:val="Heading2"/>
      </w:pPr>
      <w:r>
        <w:t>Observational metrics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Timing</w:t>
            </w:r>
          </w:p>
        </w:tc>
        <w:tc>
          <w:tcPr>
            <w:tcW w:type="dxa" w:w="7891"/>
            <w:vAlign w:val="top"/>
            <w:shd w:fill="FFFFFF"/>
            <w:tcMar>
              <w:top w:w="90" w:type="dxa"/>
              <w:start w:w="100" w:type="dxa"/>
              <w:bottom w:w="90" w:type="dxa"/>
              <w:end w:w="100" w:type="dxa"/>
            </w:tcMar>
          </w:tcPr>
          <w:p>
            <w:pPr>
              <w:spacing w:after="0"/>
            </w:pPr>
            <w:r>
              <w:t>Onset, threshold crossing, peak, and end errors in minutes/hours; use signed and absolute error.</w:t>
            </w:r>
          </w:p>
        </w:tc>
      </w:tr>
      <w:tr>
        <w:tc>
          <w:tcPr>
            <w:tcW w:type="dxa" w:w="2045"/>
            <w:vAlign w:val="top"/>
            <w:shd w:fill="EEF1F4"/>
            <w:tcMar>
              <w:top w:w="90" w:type="dxa"/>
              <w:start w:w="100" w:type="dxa"/>
              <w:bottom w:w="90" w:type="dxa"/>
              <w:end w:w="100" w:type="dxa"/>
            </w:tcMar>
          </w:tcPr>
          <w:p>
            <w:pPr>
              <w:spacing w:after="0"/>
            </w:pPr>
            <w:r>
              <w:rPr>
                <w:b/>
                <w:color w:val="17365D"/>
              </w:rPr>
              <w:t>Amplitude</w:t>
            </w:r>
          </w:p>
        </w:tc>
        <w:tc>
          <w:tcPr>
            <w:tcW w:type="dxa" w:w="7891"/>
            <w:vAlign w:val="top"/>
            <w:shd w:fill="FFFFFF"/>
            <w:tcMar>
              <w:top w:w="90" w:type="dxa"/>
              <w:start w:w="100" w:type="dxa"/>
              <w:bottom w:w="90" w:type="dxa"/>
              <w:end w:w="100" w:type="dxa"/>
            </w:tcMar>
          </w:tcPr>
          <w:p>
            <w:pPr>
              <w:spacing w:after="0"/>
            </w:pPr>
            <w:r>
              <w:t>Peak-flux ratio, fluence ratio, median/mean log₁₀ error, log-RMSE, and correlation on valid signal windows.</w:t>
            </w:r>
          </w:p>
        </w:tc>
      </w:tr>
      <w:tr>
        <w:tc>
          <w:tcPr>
            <w:tcW w:type="dxa" w:w="2045"/>
            <w:vAlign w:val="top"/>
            <w:shd w:fill="D9EAF7"/>
            <w:tcMar>
              <w:top w:w="90" w:type="dxa"/>
              <w:start w:w="100" w:type="dxa"/>
              <w:bottom w:w="90" w:type="dxa"/>
              <w:end w:w="100" w:type="dxa"/>
            </w:tcMar>
          </w:tcPr>
          <w:p>
            <w:pPr>
              <w:spacing w:after="0"/>
            </w:pPr>
            <w:r>
              <w:rPr>
                <w:b/>
                <w:color w:val="17365D"/>
              </w:rPr>
              <w:t>Spectrum</w:t>
            </w:r>
          </w:p>
        </w:tc>
        <w:tc>
          <w:tcPr>
            <w:tcW w:type="dxa" w:w="7891"/>
            <w:vAlign w:val="top"/>
            <w:shd w:fill="FFFFFF"/>
            <w:tcMar>
              <w:top w:w="90" w:type="dxa"/>
              <w:start w:w="100" w:type="dxa"/>
              <w:bottom w:w="90" w:type="dxa"/>
              <w:end w:w="100" w:type="dxa"/>
            </w:tcMar>
          </w:tcPr>
          <w:p>
            <w:pPr>
              <w:spacing w:after="0"/>
            </w:pPr>
            <w:r>
              <w:t>Channel-folded residuals, fitted slope/break/cutoff with covariance, and event-integrated spectral error.</w:t>
            </w:r>
          </w:p>
        </w:tc>
      </w:tr>
      <w:tr>
        <w:tc>
          <w:tcPr>
            <w:tcW w:type="dxa" w:w="2045"/>
            <w:vAlign w:val="top"/>
            <w:shd w:fill="EEF1F4"/>
            <w:tcMar>
              <w:top w:w="90" w:type="dxa"/>
              <w:start w:w="100" w:type="dxa"/>
              <w:bottom w:w="90" w:type="dxa"/>
              <w:end w:w="100" w:type="dxa"/>
            </w:tcMar>
          </w:tcPr>
          <w:p>
            <w:pPr>
              <w:spacing w:after="0"/>
            </w:pPr>
            <w:r>
              <w:rPr>
                <w:b/>
                <w:color w:val="17365D"/>
              </w:rPr>
              <w:t>Angular</w:t>
            </w:r>
          </w:p>
        </w:tc>
        <w:tc>
          <w:tcPr>
            <w:tcW w:type="dxa" w:w="7891"/>
            <w:vAlign w:val="top"/>
            <w:shd w:fill="FFFFFF"/>
            <w:tcMar>
              <w:top w:w="90" w:type="dxa"/>
              <w:start w:w="100" w:type="dxa"/>
              <w:bottom w:w="90" w:type="dxa"/>
              <w:end w:w="100" w:type="dxa"/>
            </w:tcMar>
          </w:tcPr>
          <w:p>
            <w:pPr>
              <w:spacing w:after="0"/>
            </w:pPr>
            <w:r>
              <w:t>First anisotropy, directional ratios, pitch-angle-distribution error, and coverage/uncertainty.</w:t>
            </w:r>
          </w:p>
        </w:tc>
      </w:tr>
      <w:tr>
        <w:tc>
          <w:tcPr>
            <w:tcW w:type="dxa" w:w="2045"/>
            <w:vAlign w:val="top"/>
            <w:shd w:fill="D9EAF7"/>
            <w:tcMar>
              <w:top w:w="90" w:type="dxa"/>
              <w:start w:w="100" w:type="dxa"/>
              <w:bottom w:w="90" w:type="dxa"/>
              <w:end w:w="100" w:type="dxa"/>
            </w:tcMar>
          </w:tcPr>
          <w:p>
            <w:pPr>
              <w:spacing w:after="0"/>
            </w:pPr>
            <w:r>
              <w:rPr>
                <w:b/>
                <w:color w:val="17365D"/>
              </w:rPr>
              <w:t>Event skill</w:t>
            </w:r>
          </w:p>
        </w:tc>
        <w:tc>
          <w:tcPr>
            <w:tcW w:type="dxa" w:w="7891"/>
            <w:vAlign w:val="top"/>
            <w:shd w:fill="FFFFFF"/>
            <w:tcMar>
              <w:top w:w="90" w:type="dxa"/>
              <w:start w:w="100" w:type="dxa"/>
              <w:bottom w:w="90" w:type="dxa"/>
              <w:end w:w="100" w:type="dxa"/>
            </w:tcMar>
          </w:tcPr>
          <w:p>
            <w:pPr>
              <w:spacing w:after="0"/>
            </w:pPr>
            <w:r>
              <w:t>Hits, misses, false alarms, correct negatives, probability calibration, Brier score where probabilistic, true-skill and Heidke skill.</w:t>
            </w:r>
          </w:p>
        </w:tc>
      </w:tr>
      <w:tr>
        <w:tc>
          <w:tcPr>
            <w:tcW w:type="dxa" w:w="2045"/>
            <w:vAlign w:val="top"/>
            <w:shd w:fill="EEF1F4"/>
            <w:tcMar>
              <w:top w:w="90" w:type="dxa"/>
              <w:start w:w="100" w:type="dxa"/>
              <w:bottom w:w="90" w:type="dxa"/>
              <w:end w:w="100" w:type="dxa"/>
            </w:tcMar>
          </w:tcPr>
          <w:p>
            <w:pPr>
              <w:spacing w:after="0"/>
            </w:pPr>
            <w:r>
              <w:rPr>
                <w:b/>
                <w:color w:val="17365D"/>
              </w:rPr>
              <w:t>Uncertainty</w:t>
            </w:r>
          </w:p>
        </w:tc>
        <w:tc>
          <w:tcPr>
            <w:tcW w:type="dxa" w:w="7891"/>
            <w:vAlign w:val="top"/>
            <w:shd w:fill="FFFFFF"/>
            <w:tcMar>
              <w:top w:w="90" w:type="dxa"/>
              <w:start w:w="100" w:type="dxa"/>
              <w:bottom w:w="90" w:type="dxa"/>
              <w:end w:w="100" w:type="dxa"/>
            </w:tcMar>
          </w:tcPr>
          <w:p>
            <w:pPr>
              <w:spacing w:after="0"/>
            </w:pPr>
            <w:r>
              <w:t>Coverage of predictive intervals; sensitivity to injection, connection, background, response, and transport parameters.</w:t>
            </w:r>
          </w:p>
        </w:tc>
      </w:tr>
    </w:tbl>
    <w:p>
      <w:pPr>
        <w:pStyle w:val="Heading2"/>
      </w:pPr>
      <w:r>
        <w:t>Threshold governance</w:t>
      </w:r>
    </w:p>
    <w:p>
      <w:r>
        <w:t>Numbers marked provisional in the case sections are starting targets, not facts about achievable SEP predictability. During the pilot, record the distribution of measurement uncertainty, discretization error, stochastic error, and inter-instrument disagreement. The validation lead and physics owner then freeze thresholds in a versioned policy before the held-out set is unsealed. A changed threshold creates a new campaign version; it cannot retroactively change an old result.</w:t>
      </w:r>
    </w:p>
    <w:p>
      <w:pPr>
        <w:pStyle w:val="Heading2"/>
      </w:pPr>
      <w:r>
        <w:t>Outcome taxonomy</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PASS</w:t>
            </w:r>
          </w:p>
        </w:tc>
        <w:tc>
          <w:tcPr>
            <w:tcW w:type="dxa" w:w="7891"/>
            <w:vAlign w:val="top"/>
            <w:shd w:fill="FFFFFF"/>
            <w:tcMar>
              <w:top w:w="90" w:type="dxa"/>
              <w:start w:w="100" w:type="dxa"/>
              <w:bottom w:w="90" w:type="dxa"/>
              <w:end w:w="100" w:type="dxa"/>
            </w:tcMar>
          </w:tcPr>
          <w:p>
            <w:pPr>
              <w:spacing w:after="0"/>
            </w:pPr>
            <w:r>
              <w:t>All mandatory metrics and provenance checks satisfy the frozen gate.</w:t>
            </w:r>
          </w:p>
        </w:tc>
      </w:tr>
      <w:tr>
        <w:tc>
          <w:tcPr>
            <w:tcW w:type="dxa" w:w="2045"/>
            <w:vAlign w:val="top"/>
            <w:shd w:fill="EEF1F4"/>
            <w:tcMar>
              <w:top w:w="90" w:type="dxa"/>
              <w:start w:w="100" w:type="dxa"/>
              <w:bottom w:w="90" w:type="dxa"/>
              <w:end w:w="100" w:type="dxa"/>
            </w:tcMar>
          </w:tcPr>
          <w:p>
            <w:pPr>
              <w:spacing w:after="0"/>
            </w:pPr>
            <w:r>
              <w:rPr>
                <w:b/>
                <w:color w:val="17365D"/>
              </w:rPr>
              <w:t>FAIL</w:t>
            </w:r>
          </w:p>
        </w:tc>
        <w:tc>
          <w:tcPr>
            <w:tcW w:type="dxa" w:w="7891"/>
            <w:vAlign w:val="top"/>
            <w:shd w:fill="FFFFFF"/>
            <w:tcMar>
              <w:top w:w="90" w:type="dxa"/>
              <w:start w:w="100" w:type="dxa"/>
              <w:bottom w:w="90" w:type="dxa"/>
              <w:end w:w="100" w:type="dxa"/>
            </w:tcMar>
          </w:tcPr>
          <w:p>
            <w:pPr>
              <w:spacing w:after="0"/>
            </w:pPr>
            <w:r>
              <w:t>A mandatory, in-scope expectation is violated outside uncertainty.</w:t>
            </w:r>
          </w:p>
        </w:tc>
      </w:tr>
      <w:tr>
        <w:tc>
          <w:tcPr>
            <w:tcW w:type="dxa" w:w="2045"/>
            <w:vAlign w:val="top"/>
            <w:shd w:fill="D9EAF7"/>
            <w:tcMar>
              <w:top w:w="90" w:type="dxa"/>
              <w:start w:w="100" w:type="dxa"/>
              <w:bottom w:w="90" w:type="dxa"/>
              <w:end w:w="100" w:type="dxa"/>
            </w:tcMar>
          </w:tcPr>
          <w:p>
            <w:pPr>
              <w:spacing w:after="0"/>
            </w:pPr>
            <w:r>
              <w:rPr>
                <w:b/>
                <w:color w:val="17365D"/>
              </w:rPr>
              <w:t>DIAGNOSTIC</w:t>
            </w:r>
          </w:p>
        </w:tc>
        <w:tc>
          <w:tcPr>
            <w:tcW w:type="dxa" w:w="7891"/>
            <w:vAlign w:val="top"/>
            <w:shd w:fill="FFFFFF"/>
            <w:tcMar>
              <w:top w:w="90" w:type="dxa"/>
              <w:start w:w="100" w:type="dxa"/>
              <w:bottom w:w="90" w:type="dxa"/>
              <w:end w:w="100" w:type="dxa"/>
            </w:tcMar>
          </w:tcPr>
          <w:p>
            <w:pPr>
              <w:spacing w:after="0"/>
            </w:pPr>
            <w:r>
              <w:t>The case intentionally probes model scope; quantitative residuals are valid but not a release blocker.</w:t>
            </w:r>
          </w:p>
        </w:tc>
      </w:tr>
      <w:tr>
        <w:tc>
          <w:tcPr>
            <w:tcW w:type="dxa" w:w="2045"/>
            <w:vAlign w:val="top"/>
            <w:shd w:fill="EEF1F4"/>
            <w:tcMar>
              <w:top w:w="90" w:type="dxa"/>
              <w:start w:w="100" w:type="dxa"/>
              <w:bottom w:w="90" w:type="dxa"/>
              <w:end w:w="100" w:type="dxa"/>
            </w:tcMar>
          </w:tcPr>
          <w:p>
            <w:pPr>
              <w:spacing w:after="0"/>
            </w:pPr>
            <w:r>
              <w:rPr>
                <w:b/>
                <w:color w:val="17365D"/>
              </w:rPr>
              <w:t>INPUT-LIMITED</w:t>
            </w:r>
          </w:p>
        </w:tc>
        <w:tc>
          <w:tcPr>
            <w:tcW w:type="dxa" w:w="7891"/>
            <w:vAlign w:val="top"/>
            <w:shd w:fill="FFFFFF"/>
            <w:tcMar>
              <w:top w:w="90" w:type="dxa"/>
              <w:start w:w="100" w:type="dxa"/>
              <w:bottom w:w="90" w:type="dxa"/>
              <w:end w:w="100" w:type="dxa"/>
            </w:tcMar>
          </w:tcPr>
          <w:p>
            <w:pPr>
              <w:spacing w:after="0"/>
            </w:pPr>
            <w:r>
              <w:t>Data, source, background, or connection uncertainty prevents a defensible physics conclusion; required evidence is listed.</w:t>
            </w:r>
          </w:p>
        </w:tc>
      </w:tr>
      <w:tr>
        <w:tc>
          <w:tcPr>
            <w:tcW w:type="dxa" w:w="2045"/>
            <w:vAlign w:val="top"/>
            <w:shd w:fill="D9EAF7"/>
            <w:tcMar>
              <w:top w:w="90" w:type="dxa"/>
              <w:start w:w="100" w:type="dxa"/>
              <w:bottom w:w="90" w:type="dxa"/>
              <w:end w:w="100" w:type="dxa"/>
            </w:tcMar>
          </w:tcPr>
          <w:p>
            <w:pPr>
              <w:spacing w:after="0"/>
            </w:pPr>
            <w:r>
              <w:rPr>
                <w:b/>
                <w:color w:val="17365D"/>
              </w:rPr>
              <w:t>SKIPPED</w:t>
            </w:r>
          </w:p>
        </w:tc>
        <w:tc>
          <w:tcPr>
            <w:tcW w:type="dxa" w:w="7891"/>
            <w:vAlign w:val="top"/>
            <w:shd w:fill="FFFFFF"/>
            <w:tcMar>
              <w:top w:w="90" w:type="dxa"/>
              <w:start w:w="100" w:type="dxa"/>
              <w:bottom w:w="90" w:type="dxa"/>
              <w:end w:w="100" w:type="dxa"/>
            </w:tcMar>
          </w:tcPr>
          <w:p>
            <w:pPr>
              <w:spacing w:after="0"/>
            </w:pPr>
            <w:r>
              <w:t>A declared capability or dataset is unavailable; reason and owner are recorded. It is never silently treated as pass.</w:t>
            </w:r>
          </w:p>
        </w:tc>
      </w:tr>
    </w:tbl>
    <w:p>
      <w:r>
        <w:br w:type="page"/>
      </w:r>
    </w:p>
    <w:p>
      <w:pPr>
        <w:pStyle w:val="Heading1"/>
      </w:pPr>
      <w:r>
        <w:t>H  Software architecture and file contracts</w:t>
      </w:r>
    </w:p>
    <w:p>
      <w:r>
        <w:t>The proposed structure extends the existing Python runner rather than creating a competing entry point. Names below are implementation targets and may be adapted to the repository’s actual layout while preserving the contracts.</w:t>
      </w:r>
    </w:p>
    <w:tbl>
      <w:tblPr>
        <w:tblStyle w:val="TableGrid"/>
        <w:tblW w:type="auto" w:w="0"/>
        <w:jc w:val="center"/>
        <w:tblLayout w:type="fixed"/>
        <w:tblLook w:firstColumn="1" w:firstRow="1" w:lastColumn="0" w:lastRow="0" w:noHBand="0" w:noVBand="1" w:val="04A0"/>
      </w:tblPr>
      <w:tblGrid>
        <w:gridCol w:w="5040"/>
        <w:gridCol w:w="5040"/>
      </w:tblGrid>
      <w:tr>
        <w:tc>
          <w:tcPr>
            <w:tcW w:type="dxa" w:w="2045"/>
            <w:vAlign w:val="top"/>
            <w:shd w:fill="D9EAF7"/>
            <w:tcMar>
              <w:top w:w="90" w:type="dxa"/>
              <w:start w:w="100" w:type="dxa"/>
              <w:bottom w:w="90" w:type="dxa"/>
              <w:end w:w="100" w:type="dxa"/>
            </w:tcMar>
          </w:tcPr>
          <w:p>
            <w:pPr>
              <w:spacing w:after="0"/>
            </w:pPr>
            <w:r>
              <w:rPr>
                <w:b/>
                <w:color w:val="17365D"/>
              </w:rPr>
              <w:t>Runner</w:t>
            </w:r>
          </w:p>
        </w:tc>
        <w:tc>
          <w:tcPr>
            <w:tcW w:type="dxa" w:w="7891"/>
            <w:vAlign w:val="top"/>
            <w:shd w:fill="FFFFFF"/>
            <w:tcMar>
              <w:top w:w="90" w:type="dxa"/>
              <w:start w:w="100" w:type="dxa"/>
              <w:bottom w:w="90" w:type="dxa"/>
              <w:end w:w="100" w:type="dxa"/>
            </w:tcMar>
          </w:tcPr>
          <w:p>
            <w:pPr>
              <w:spacing w:after="0"/>
            </w:pPr>
            <w:r>
              <w:t>test/run_tests.py --list; --case CV06; --tag analytic; --group observational; --all; --jobs N; --seed; --output DIR; --plot-formats png,eps</w:t>
            </w:r>
          </w:p>
        </w:tc>
      </w:tr>
      <w:tr>
        <w:tc>
          <w:tcPr>
            <w:tcW w:type="dxa" w:w="2045"/>
            <w:vAlign w:val="top"/>
            <w:shd w:fill="EEF1F4"/>
            <w:tcMar>
              <w:top w:w="90" w:type="dxa"/>
              <w:start w:w="100" w:type="dxa"/>
              <w:bottom w:w="90" w:type="dxa"/>
              <w:end w:w="100" w:type="dxa"/>
            </w:tcMar>
          </w:tcPr>
          <w:p>
            <w:pPr>
              <w:spacing w:after="0"/>
            </w:pPr>
            <w:r>
              <w:rPr>
                <w:b/>
                <w:color w:val="17365D"/>
              </w:rPr>
              <w:t>Registry</w:t>
            </w:r>
          </w:p>
        </w:tc>
        <w:tc>
          <w:tcPr>
            <w:tcW w:type="dxa" w:w="7891"/>
            <w:vAlign w:val="top"/>
            <w:shd w:fill="FFFFFF"/>
            <w:tcMar>
              <w:top w:w="90" w:type="dxa"/>
              <w:start w:w="100" w:type="dxa"/>
              <w:bottom w:w="90" w:type="dxa"/>
              <w:end w:w="100" w:type="dxa"/>
            </w:tcMar>
          </w:tcPr>
          <w:p>
            <w:pPr>
              <w:spacing w:after="0"/>
            </w:pPr>
            <w:r>
              <w:t>test/validation/registry.yaml with ID, tags, executable/configuration, reference generator, datasets, preprocessing recipe, metrics, thresholds, runtime class, and required capabilities.</w:t>
            </w:r>
          </w:p>
        </w:tc>
      </w:tr>
      <w:tr>
        <w:tc>
          <w:tcPr>
            <w:tcW w:type="dxa" w:w="2045"/>
            <w:vAlign w:val="top"/>
            <w:shd w:fill="D9EAF7"/>
            <w:tcMar>
              <w:top w:w="90" w:type="dxa"/>
              <w:start w:w="100" w:type="dxa"/>
              <w:bottom w:w="90" w:type="dxa"/>
              <w:end w:w="100" w:type="dxa"/>
            </w:tcMar>
          </w:tcPr>
          <w:p>
            <w:pPr>
              <w:spacing w:after="0"/>
            </w:pPr>
            <w:r>
              <w:rPr>
                <w:b/>
                <w:color w:val="17365D"/>
              </w:rPr>
              <w:t>Raw data</w:t>
            </w:r>
          </w:p>
        </w:tc>
        <w:tc>
          <w:tcPr>
            <w:tcW w:type="dxa" w:w="7891"/>
            <w:vAlign w:val="top"/>
            <w:shd w:fill="FFFFFF"/>
            <w:tcMar>
              <w:top w:w="90" w:type="dxa"/>
              <w:start w:w="100" w:type="dxa"/>
              <w:bottom w:w="90" w:type="dxa"/>
              <w:end w:w="100" w:type="dxa"/>
            </w:tcMar>
          </w:tcPr>
          <w:p>
            <w:pPr>
              <w:spacing w:after="0"/>
            </w:pPr>
            <w:r>
              <w:t>test-data/raw/&lt;event&gt;/&lt;provider&gt;/&lt;dataset&gt;/ with download manifest and checksums; normally excluded from Git when large.</w:t>
            </w:r>
          </w:p>
        </w:tc>
      </w:tr>
      <w:tr>
        <w:tc>
          <w:tcPr>
            <w:tcW w:type="dxa" w:w="2045"/>
            <w:vAlign w:val="top"/>
            <w:shd w:fill="EEF1F4"/>
            <w:tcMar>
              <w:top w:w="90" w:type="dxa"/>
              <w:start w:w="100" w:type="dxa"/>
              <w:bottom w:w="90" w:type="dxa"/>
              <w:end w:w="100" w:type="dxa"/>
            </w:tcMar>
          </w:tcPr>
          <w:p>
            <w:pPr>
              <w:spacing w:after="0"/>
            </w:pPr>
            <w:r>
              <w:rPr>
                <w:b/>
                <w:color w:val="17365D"/>
              </w:rPr>
              <w:t>Processed data</w:t>
            </w:r>
          </w:p>
        </w:tc>
        <w:tc>
          <w:tcPr>
            <w:tcW w:type="dxa" w:w="7891"/>
            <w:vAlign w:val="top"/>
            <w:shd w:fill="FFFFFF"/>
            <w:tcMar>
              <w:top w:w="90" w:type="dxa"/>
              <w:start w:w="100" w:type="dxa"/>
              <w:bottom w:w="90" w:type="dxa"/>
              <w:end w:w="100" w:type="dxa"/>
            </w:tcMar>
          </w:tcPr>
          <w:p>
            <w:pPr>
              <w:spacing w:after="0"/>
            </w:pPr>
            <w:r>
              <w:t>test-data/processed/&lt;event&gt;/&lt;recipe-version&gt;/ in NetCDF/HDF5 plus transformation and quality metadata.</w:t>
            </w:r>
          </w:p>
        </w:tc>
      </w:tr>
      <w:tr>
        <w:tc>
          <w:tcPr>
            <w:tcW w:type="dxa" w:w="2045"/>
            <w:vAlign w:val="top"/>
            <w:shd w:fill="D9EAF7"/>
            <w:tcMar>
              <w:top w:w="90" w:type="dxa"/>
              <w:start w:w="100" w:type="dxa"/>
              <w:bottom w:w="90" w:type="dxa"/>
              <w:end w:w="100" w:type="dxa"/>
            </w:tcMar>
          </w:tcPr>
          <w:p>
            <w:pPr>
              <w:spacing w:after="0"/>
            </w:pPr>
            <w:r>
              <w:rPr>
                <w:b/>
                <w:color w:val="17365D"/>
              </w:rPr>
              <w:t>References</w:t>
            </w:r>
          </w:p>
        </w:tc>
        <w:tc>
          <w:tcPr>
            <w:tcW w:type="dxa" w:w="7891"/>
            <w:vAlign w:val="top"/>
            <w:shd w:fill="FFFFFF"/>
            <w:tcMar>
              <w:top w:w="90" w:type="dxa"/>
              <w:start w:w="100" w:type="dxa"/>
              <w:bottom w:w="90" w:type="dxa"/>
              <w:end w:w="100" w:type="dxa"/>
            </w:tcMar>
          </w:tcPr>
          <w:p>
            <w:pPr>
              <w:spacing w:after="0"/>
            </w:pPr>
            <w:r>
              <w:t>test/validation/reference/ for analytical evaluators and independent PDE outputs; generated references carry source-code commit and numeric tolerances.</w:t>
            </w:r>
          </w:p>
        </w:tc>
      </w:tr>
      <w:tr>
        <w:tc>
          <w:tcPr>
            <w:tcW w:type="dxa" w:w="2045"/>
            <w:vAlign w:val="top"/>
            <w:shd w:fill="EEF1F4"/>
            <w:tcMar>
              <w:top w:w="90" w:type="dxa"/>
              <w:start w:w="100" w:type="dxa"/>
              <w:bottom w:w="90" w:type="dxa"/>
              <w:end w:w="100" w:type="dxa"/>
            </w:tcMar>
          </w:tcPr>
          <w:p>
            <w:pPr>
              <w:spacing w:after="0"/>
            </w:pPr>
            <w:r>
              <w:rPr>
                <w:b/>
                <w:color w:val="17365D"/>
              </w:rPr>
              <w:t>Results</w:t>
            </w:r>
          </w:p>
        </w:tc>
        <w:tc>
          <w:tcPr>
            <w:tcW w:type="dxa" w:w="7891"/>
            <w:vAlign w:val="top"/>
            <w:shd w:fill="FFFFFF"/>
            <w:tcMar>
              <w:top w:w="90" w:type="dxa"/>
              <w:start w:w="100" w:type="dxa"/>
              <w:bottom w:w="90" w:type="dxa"/>
              <w:end w:w="100" w:type="dxa"/>
            </w:tcMar>
          </w:tcPr>
          <w:p>
            <w:pPr>
              <w:spacing w:after="0"/>
            </w:pPr>
            <w:r>
              <w:t>validation-results/&lt;run-id&gt;/&lt;case-id&gt;/ containing resolved_config.yaml, provenance.json, metrics.json/csv, model.csv/netcdf, reference.csv/netcdf, stdout/stderr, and figures/*.png/*.eps.</w:t>
            </w:r>
          </w:p>
        </w:tc>
      </w:tr>
      <w:tr>
        <w:tc>
          <w:tcPr>
            <w:tcW w:type="dxa" w:w="2045"/>
            <w:vAlign w:val="top"/>
            <w:shd w:fill="D9EAF7"/>
            <w:tcMar>
              <w:top w:w="90" w:type="dxa"/>
              <w:start w:w="100" w:type="dxa"/>
              <w:bottom w:w="90" w:type="dxa"/>
              <w:end w:w="100" w:type="dxa"/>
            </w:tcMar>
          </w:tcPr>
          <w:p>
            <w:pPr>
              <w:spacing w:after="0"/>
            </w:pPr>
            <w:r>
              <w:rPr>
                <w:b/>
                <w:color w:val="17365D"/>
              </w:rPr>
              <w:t>Schema</w:t>
            </w:r>
          </w:p>
        </w:tc>
        <w:tc>
          <w:tcPr>
            <w:tcW w:type="dxa" w:w="7891"/>
            <w:vAlign w:val="top"/>
            <w:shd w:fill="FFFFFF"/>
            <w:tcMar>
              <w:top w:w="90" w:type="dxa"/>
              <w:start w:w="100" w:type="dxa"/>
              <w:bottom w:w="90" w:type="dxa"/>
              <w:end w:w="100" w:type="dxa"/>
            </w:tcMar>
          </w:tcPr>
          <w:p>
            <w:pPr>
              <w:spacing w:after="0"/>
            </w:pPr>
            <w:r>
              <w:t>JSON Schema or equivalent for registry, provenance, metrics, and observational products; reject unknown units, missing energy definitions, or ambiguous time standards.</w:t>
            </w:r>
          </w:p>
        </w:tc>
      </w:tr>
    </w:tbl>
    <w:p>
      <w:pPr>
        <w:pStyle w:val="Heading2"/>
      </w:pPr>
      <w:r>
        <w:t>Runner behavior</w:t>
      </w:r>
    </w:p>
    <w:p>
      <w:pPr>
        <w:pStyle w:val="ListBullet"/>
        <w:ind w:left="317" w:hanging="173"/>
      </w:pPr>
      <w:r>
        <w:t>Resolve and print the complete configuration before execution; include compile flags and advertised physics capabilities.</w:t>
      </w:r>
    </w:p>
    <w:p>
      <w:pPr>
        <w:pStyle w:val="ListBullet"/>
        <w:ind w:left="317" w:hanging="173"/>
      </w:pPr>
      <w:r>
        <w:t>Use deterministic seed derivation from campaign/run/case/replicate IDs while storing the resulting integer seeds.</w:t>
      </w:r>
    </w:p>
    <w:p>
      <w:pPr>
        <w:pStyle w:val="ListBullet"/>
        <w:ind w:left="317" w:hanging="173"/>
      </w:pPr>
      <w:r>
        <w:t>Distinguish build failure, execution failure, data failure, metric failure, and threshold failure in exit codes and reports.</w:t>
      </w:r>
    </w:p>
    <w:p>
      <w:pPr>
        <w:pStyle w:val="ListBullet"/>
        <w:ind w:left="317" w:hanging="173"/>
      </w:pPr>
      <w:r>
        <w:t>Generate plots from saved model/reference files, not from in-memory-only arrays, so figures are reproducible independently.</w:t>
      </w:r>
    </w:p>
    <w:p>
      <w:pPr>
        <w:pStyle w:val="ListBullet"/>
        <w:ind w:left="317" w:hanging="173"/>
      </w:pPr>
      <w:r>
        <w:t>Cache downloads by checksum; never alter original files. Offline mode must run all analytical cases and any observational case with cached data.</w:t>
      </w:r>
    </w:p>
    <w:p>
      <w:pPr>
        <w:pStyle w:val="ListBullet"/>
        <w:ind w:left="317" w:hanging="173"/>
      </w:pPr>
      <w:r>
        <w:t>Emit JUnit XML for CI plus a human-readable HTML/PDF or Markdown summary; retain PNG and EPS comparison figures as requested.</w:t>
      </w:r>
    </w:p>
    <w:p>
      <w:pPr>
        <w:pStyle w:val="Heading2"/>
      </w:pPr>
      <w:r>
        <w:t>Minimal provenance record</w:t>
      </w:r>
    </w:p>
    <w:p>
      <w:pPr>
        <w:pStyle w:val="ListBullet"/>
        <w:ind w:left="317" w:hanging="173"/>
      </w:pPr>
      <w:r>
        <w:t>srcSEP repository commit, dirty-tree status, compiler, dependency lock, platform, MPI ranks/threads, and run command.</w:t>
      </w:r>
    </w:p>
    <w:p>
      <w:pPr>
        <w:pStyle w:val="ListBullet"/>
        <w:ind w:left="317" w:hanging="173"/>
      </w:pPr>
      <w:r>
        <w:t>Case-registry hash, fully resolved parameters, random seeds, expected/actual capabilities, and result status.</w:t>
      </w:r>
    </w:p>
    <w:p>
      <w:pPr>
        <w:pStyle w:val="ListBullet"/>
        <w:ind w:left="317" w:hanging="173"/>
      </w:pPr>
      <w:r>
        <w:t>For every external file: provider, dataset/product ID, URL, license/terms, version, access timestamp, size, checksum, and release-note link.</w:t>
      </w:r>
    </w:p>
    <w:p>
      <w:pPr>
        <w:pStyle w:val="ListBullet"/>
        <w:ind w:left="317" w:hanging="173"/>
      </w:pPr>
      <w:r>
        <w:t>For every derived file: parent checksums, ordered transformations, software/configuration version, warnings, and output checksum.</w:t>
      </w:r>
    </w:p>
    <w:p>
      <w:r>
        <w:br w:type="page"/>
      </w:r>
    </w:p>
    <w:p>
      <w:pPr>
        <w:pStyle w:val="Heading1"/>
      </w:pPr>
      <w:r>
        <w:t>I  Implementation sequence and ownership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7365D"/>
            <w:tcMar>
              <w:top w:w="90" w:type="dxa"/>
              <w:start w:w="100" w:type="dxa"/>
              <w:bottom w:w="90" w:type="dxa"/>
              <w:end w:w="100" w:type="dxa"/>
            </w:tcMar>
          </w:tcPr>
          <w:p>
            <w:r>
              <w:rPr>
                <w:b/>
                <w:color w:val="FFFFFF"/>
                <w:sz w:val="17"/>
              </w:rPr>
              <w:t>Phase</w:t>
            </w:r>
          </w:p>
        </w:tc>
        <w:tc>
          <w:tcPr>
            <w:tcW w:type="dxa" w:w="1512"/>
            <w:shd w:fill="17365D"/>
            <w:tcMar>
              <w:top w:w="90" w:type="dxa"/>
              <w:start w:w="100" w:type="dxa"/>
              <w:bottom w:w="90" w:type="dxa"/>
              <w:end w:w="100" w:type="dxa"/>
            </w:tcMar>
          </w:tcPr>
          <w:p>
            <w:r>
              <w:rPr>
                <w:b/>
                <w:color w:val="FFFFFF"/>
                <w:sz w:val="17"/>
              </w:rPr>
              <w:t>Indicative duration</w:t>
            </w:r>
          </w:p>
        </w:tc>
        <w:tc>
          <w:tcPr>
            <w:tcW w:type="dxa" w:w="1800"/>
            <w:shd w:fill="17365D"/>
            <w:tcMar>
              <w:top w:w="90" w:type="dxa"/>
              <w:start w:w="100" w:type="dxa"/>
              <w:bottom w:w="90" w:type="dxa"/>
              <w:end w:w="100" w:type="dxa"/>
            </w:tcMar>
          </w:tcPr>
          <w:p>
            <w:r>
              <w:rPr>
                <w:b/>
                <w:color w:val="FFFFFF"/>
                <w:sz w:val="17"/>
              </w:rPr>
              <w:t>Accountable role</w:t>
            </w:r>
          </w:p>
        </w:tc>
        <w:tc>
          <w:tcPr>
            <w:tcW w:type="dxa" w:w="4392"/>
            <w:shd w:fill="17365D"/>
            <w:tcMar>
              <w:top w:w="90" w:type="dxa"/>
              <w:start w:w="100" w:type="dxa"/>
              <w:bottom w:w="90" w:type="dxa"/>
              <w:end w:w="100" w:type="dxa"/>
            </w:tcMar>
          </w:tcPr>
          <w:p>
            <w:r>
              <w:rPr>
                <w:b/>
                <w:color w:val="FFFFFF"/>
                <w:sz w:val="17"/>
              </w:rPr>
              <w:t>Exit deliverable</w:t>
            </w:r>
          </w:p>
        </w:tc>
      </w:tr>
      <w:tr>
        <w:tc>
          <w:tcPr>
            <w:tcW w:type="dxa" w:w="2016"/>
            <w:tcMar>
              <w:top w:w="90" w:type="dxa"/>
              <w:start w:w="100" w:type="dxa"/>
              <w:bottom w:w="90" w:type="dxa"/>
              <w:end w:w="100" w:type="dxa"/>
            </w:tcMar>
          </w:tcPr>
          <w:p>
            <w:r>
              <w:rPr>
                <w:sz w:val="17"/>
              </w:rPr>
              <w:t>Phase 0  Governance and contracts</w:t>
            </w:r>
          </w:p>
        </w:tc>
        <w:tc>
          <w:tcPr>
            <w:tcW w:type="dxa" w:w="1512"/>
            <w:tcMar>
              <w:top w:w="90" w:type="dxa"/>
              <w:start w:w="100" w:type="dxa"/>
              <w:bottom w:w="90" w:type="dxa"/>
              <w:end w:w="100" w:type="dxa"/>
            </w:tcMar>
          </w:tcPr>
          <w:p>
            <w:r>
              <w:rPr>
                <w:sz w:val="17"/>
              </w:rPr>
              <w:t>1–2 weeks</w:t>
            </w:r>
          </w:p>
        </w:tc>
        <w:tc>
          <w:tcPr>
            <w:tcW w:type="dxa" w:w="1800"/>
            <w:tcMar>
              <w:top w:w="90" w:type="dxa"/>
              <w:start w:w="100" w:type="dxa"/>
              <w:bottom w:w="90" w:type="dxa"/>
              <w:end w:w="100" w:type="dxa"/>
            </w:tcMar>
          </w:tcPr>
          <w:p>
            <w:r>
              <w:rPr>
                <w:sz w:val="17"/>
              </w:rPr>
              <w:t>Validation lead + software lead</w:t>
            </w:r>
          </w:p>
        </w:tc>
        <w:tc>
          <w:tcPr>
            <w:tcW w:type="dxa" w:w="4392"/>
            <w:tcMar>
              <w:top w:w="90" w:type="dxa"/>
              <w:start w:w="100" w:type="dxa"/>
              <w:bottom w:w="90" w:type="dxa"/>
              <w:end w:w="100" w:type="dxa"/>
            </w:tcMar>
          </w:tcPr>
          <w:p>
            <w:r>
              <w:rPr>
                <w:sz w:val="17"/>
              </w:rPr>
              <w:t>Freeze IDs, registry/schema, units, artifact contract, outcome taxonomy, and review authority. Add runner list/select/plot capabilities and one skeleton case.</w:t>
            </w:r>
          </w:p>
        </w:tc>
      </w:tr>
      <w:tr>
        <w:tc>
          <w:tcPr>
            <w:tcW w:type="dxa" w:w="2016"/>
            <w:tcMar>
              <w:top w:w="90" w:type="dxa"/>
              <w:start w:w="100" w:type="dxa"/>
              <w:bottom w:w="90" w:type="dxa"/>
              <w:end w:w="100" w:type="dxa"/>
            </w:tcMar>
            <w:shd w:fill="F7F9FB"/>
          </w:tcPr>
          <w:p>
            <w:r>
              <w:rPr>
                <w:sz w:val="17"/>
              </w:rPr>
              <w:t>Phase 1  Core analytical gates</w:t>
            </w:r>
          </w:p>
        </w:tc>
        <w:tc>
          <w:tcPr>
            <w:tcW w:type="dxa" w:w="1512"/>
            <w:tcMar>
              <w:top w:w="90" w:type="dxa"/>
              <w:start w:w="100" w:type="dxa"/>
              <w:bottom w:w="90" w:type="dxa"/>
              <w:end w:w="100" w:type="dxa"/>
            </w:tcMar>
            <w:shd w:fill="F7F9FB"/>
          </w:tcPr>
          <w:p>
            <w:r>
              <w:rPr>
                <w:sz w:val="17"/>
              </w:rPr>
              <w:t>3–5 weeks</w:t>
            </w:r>
          </w:p>
        </w:tc>
        <w:tc>
          <w:tcPr>
            <w:tcW w:type="dxa" w:w="1800"/>
            <w:tcMar>
              <w:top w:w="90" w:type="dxa"/>
              <w:start w:w="100" w:type="dxa"/>
              <w:bottom w:w="90" w:type="dxa"/>
              <w:end w:w="100" w:type="dxa"/>
            </w:tcMar>
            <w:shd w:fill="F7F9FB"/>
          </w:tcPr>
          <w:p>
            <w:r>
              <w:rPr>
                <w:sz w:val="17"/>
              </w:rPr>
              <w:t>Numerics owners</w:t>
            </w:r>
          </w:p>
        </w:tc>
        <w:tc>
          <w:tcPr>
            <w:tcW w:type="dxa" w:w="4392"/>
            <w:tcMar>
              <w:top w:w="90" w:type="dxa"/>
              <w:start w:w="100" w:type="dxa"/>
              <w:bottom w:w="90" w:type="dxa"/>
              <w:end w:w="100" w:type="dxa"/>
            </w:tcMar>
            <w:shd w:fill="F7F9FB"/>
          </w:tcPr>
          <w:p>
            <w:r>
              <w:rPr>
                <w:sz w:val="17"/>
              </w:rPr>
              <w:t>Implement CV01–CV08 with negative controls, independent seeds, refinement tables, and CI runtime tiers.</w:t>
            </w:r>
          </w:p>
        </w:tc>
      </w:tr>
      <w:tr>
        <w:tc>
          <w:tcPr>
            <w:tcW w:type="dxa" w:w="2016"/>
            <w:tcMar>
              <w:top w:w="90" w:type="dxa"/>
              <w:start w:w="100" w:type="dxa"/>
              <w:bottom w:w="90" w:type="dxa"/>
              <w:end w:w="100" w:type="dxa"/>
            </w:tcMar>
          </w:tcPr>
          <w:p>
            <w:r>
              <w:rPr>
                <w:sz w:val="17"/>
              </w:rPr>
              <w:t>Phase 2  Shock and turbulence gates</w:t>
            </w:r>
          </w:p>
        </w:tc>
        <w:tc>
          <w:tcPr>
            <w:tcW w:type="dxa" w:w="1512"/>
            <w:tcMar>
              <w:top w:w="90" w:type="dxa"/>
              <w:start w:w="100" w:type="dxa"/>
              <w:bottom w:w="90" w:type="dxa"/>
              <w:end w:w="100" w:type="dxa"/>
            </w:tcMar>
          </w:tcPr>
          <w:p>
            <w:r>
              <w:rPr>
                <w:sz w:val="17"/>
              </w:rPr>
              <w:t>3–5 weeks</w:t>
            </w:r>
          </w:p>
        </w:tc>
        <w:tc>
          <w:tcPr>
            <w:tcW w:type="dxa" w:w="1800"/>
            <w:tcMar>
              <w:top w:w="90" w:type="dxa"/>
              <w:start w:w="100" w:type="dxa"/>
              <w:bottom w:w="90" w:type="dxa"/>
              <w:end w:w="100" w:type="dxa"/>
            </w:tcMar>
          </w:tcPr>
          <w:p>
            <w:r>
              <w:rPr>
                <w:sz w:val="17"/>
              </w:rPr>
              <w:t>Shock + turbulence owners</w:t>
            </w:r>
          </w:p>
        </w:tc>
        <w:tc>
          <w:tcPr>
            <w:tcW w:type="dxa" w:w="4392"/>
            <w:tcMar>
              <w:top w:w="90" w:type="dxa"/>
              <w:start w:w="100" w:type="dxa"/>
              <w:bottom w:w="90" w:type="dxa"/>
              <w:end w:w="100" w:type="dxa"/>
            </w:tcMar>
          </w:tcPr>
          <w:p>
            <w:r>
              <w:rPr>
                <w:sz w:val="17"/>
              </w:rPr>
              <w:t>Implement CV09–CV12, including a shared energy ledger and resonant-bin diagnostics.</w:t>
            </w:r>
          </w:p>
        </w:tc>
      </w:tr>
      <w:tr>
        <w:tc>
          <w:tcPr>
            <w:tcW w:type="dxa" w:w="2016"/>
            <w:tcMar>
              <w:top w:w="90" w:type="dxa"/>
              <w:start w:w="100" w:type="dxa"/>
              <w:bottom w:w="90" w:type="dxa"/>
              <w:end w:w="100" w:type="dxa"/>
            </w:tcMar>
            <w:shd w:fill="F7F9FB"/>
          </w:tcPr>
          <w:p>
            <w:r>
              <w:rPr>
                <w:sz w:val="17"/>
              </w:rPr>
              <w:t>Phase 3  Integrated manufactured suite</w:t>
            </w:r>
          </w:p>
        </w:tc>
        <w:tc>
          <w:tcPr>
            <w:tcW w:type="dxa" w:w="1512"/>
            <w:tcMar>
              <w:top w:w="90" w:type="dxa"/>
              <w:start w:w="100" w:type="dxa"/>
              <w:bottom w:w="90" w:type="dxa"/>
              <w:end w:w="100" w:type="dxa"/>
            </w:tcMar>
            <w:shd w:fill="F7F9FB"/>
          </w:tcPr>
          <w:p>
            <w:r>
              <w:rPr>
                <w:sz w:val="17"/>
              </w:rPr>
              <w:t>4–6 weeks</w:t>
            </w:r>
          </w:p>
        </w:tc>
        <w:tc>
          <w:tcPr>
            <w:tcW w:type="dxa" w:w="1800"/>
            <w:tcMar>
              <w:top w:w="90" w:type="dxa"/>
              <w:start w:w="100" w:type="dxa"/>
              <w:bottom w:w="90" w:type="dxa"/>
              <w:end w:w="100" w:type="dxa"/>
            </w:tcMar>
            <w:shd w:fill="F7F9FB"/>
          </w:tcPr>
          <w:p>
            <w:r>
              <w:rPr>
                <w:sz w:val="17"/>
              </w:rPr>
              <w:t>Transport integration owner</w:t>
            </w:r>
          </w:p>
        </w:tc>
        <w:tc>
          <w:tcPr>
            <w:tcW w:type="dxa" w:w="4392"/>
            <w:tcMar>
              <w:top w:w="90" w:type="dxa"/>
              <w:start w:w="100" w:type="dxa"/>
              <w:bottom w:w="90" w:type="dxa"/>
              <w:end w:w="100" w:type="dxa"/>
            </w:tcMar>
            <w:shd w:fill="F7F9FB"/>
          </w:tcPr>
          <w:p>
            <w:r>
              <w:rPr>
                <w:sz w:val="17"/>
              </w:rPr>
              <w:t>Implement IV01–IV06 and complete per-operator residual instrumentation.</w:t>
            </w:r>
          </w:p>
        </w:tc>
      </w:tr>
      <w:tr>
        <w:tc>
          <w:tcPr>
            <w:tcW w:type="dxa" w:w="2016"/>
            <w:tcMar>
              <w:top w:w="90" w:type="dxa"/>
              <w:start w:w="100" w:type="dxa"/>
              <w:bottom w:w="90" w:type="dxa"/>
              <w:end w:w="100" w:type="dxa"/>
            </w:tcMar>
          </w:tcPr>
          <w:p>
            <w:r>
              <w:rPr>
                <w:sz w:val="17"/>
              </w:rPr>
              <w:t>Phase 4  Independent comparisons</w:t>
            </w:r>
          </w:p>
        </w:tc>
        <w:tc>
          <w:tcPr>
            <w:tcW w:type="dxa" w:w="1512"/>
            <w:tcMar>
              <w:top w:w="90" w:type="dxa"/>
              <w:start w:w="100" w:type="dxa"/>
              <w:bottom w:w="90" w:type="dxa"/>
              <w:end w:w="100" w:type="dxa"/>
            </w:tcMar>
          </w:tcPr>
          <w:p>
            <w:r>
              <w:rPr>
                <w:sz w:val="17"/>
              </w:rPr>
              <w:t>4–8 weeks</w:t>
            </w:r>
          </w:p>
        </w:tc>
        <w:tc>
          <w:tcPr>
            <w:tcW w:type="dxa" w:w="1800"/>
            <w:tcMar>
              <w:top w:w="90" w:type="dxa"/>
              <w:start w:w="100" w:type="dxa"/>
              <w:bottom w:w="90" w:type="dxa"/>
              <w:end w:w="100" w:type="dxa"/>
            </w:tcMar>
          </w:tcPr>
          <w:p>
            <w:r>
              <w:rPr>
                <w:sz w:val="17"/>
              </w:rPr>
              <w:t>Validation analyst</w:t>
            </w:r>
          </w:p>
        </w:tc>
        <w:tc>
          <w:tcPr>
            <w:tcW w:type="dxa" w:w="4392"/>
            <w:tcMar>
              <w:top w:w="90" w:type="dxa"/>
              <w:start w:w="100" w:type="dxa"/>
              <w:bottom w:w="90" w:type="dxa"/>
              <w:end w:w="100" w:type="dxa"/>
            </w:tcMar>
          </w:tcPr>
          <w:p>
            <w:r>
              <w:rPr>
                <w:sz w:val="17"/>
              </w:rPr>
              <w:t>Build XM01 interchange solver; coordinate CCMC/M-FLAMPA runs for XM02–XM03; freeze assumption maps.</w:t>
            </w:r>
          </w:p>
        </w:tc>
      </w:tr>
      <w:tr>
        <w:tc>
          <w:tcPr>
            <w:tcW w:type="dxa" w:w="2016"/>
            <w:tcMar>
              <w:top w:w="90" w:type="dxa"/>
              <w:start w:w="100" w:type="dxa"/>
              <w:bottom w:w="90" w:type="dxa"/>
              <w:end w:w="100" w:type="dxa"/>
            </w:tcMar>
            <w:shd w:fill="F7F9FB"/>
          </w:tcPr>
          <w:p>
            <w:r>
              <w:rPr>
                <w:sz w:val="17"/>
              </w:rPr>
              <w:t>Phase 5  Observational pipeline</w:t>
            </w:r>
          </w:p>
        </w:tc>
        <w:tc>
          <w:tcPr>
            <w:tcW w:type="dxa" w:w="1512"/>
            <w:tcMar>
              <w:top w:w="90" w:type="dxa"/>
              <w:start w:w="100" w:type="dxa"/>
              <w:bottom w:w="90" w:type="dxa"/>
              <w:end w:w="100" w:type="dxa"/>
            </w:tcMar>
            <w:shd w:fill="F7F9FB"/>
          </w:tcPr>
          <w:p>
            <w:r>
              <w:rPr>
                <w:sz w:val="17"/>
              </w:rPr>
              <w:t>4–6 weeks</w:t>
            </w:r>
          </w:p>
        </w:tc>
        <w:tc>
          <w:tcPr>
            <w:tcW w:type="dxa" w:w="1800"/>
            <w:tcMar>
              <w:top w:w="90" w:type="dxa"/>
              <w:start w:w="100" w:type="dxa"/>
              <w:bottom w:w="90" w:type="dxa"/>
              <w:end w:w="100" w:type="dxa"/>
            </w:tcMar>
            <w:shd w:fill="F7F9FB"/>
          </w:tcPr>
          <w:p>
            <w:r>
              <w:rPr>
                <w:sz w:val="17"/>
              </w:rPr>
              <w:t>Data lead</w:t>
            </w:r>
          </w:p>
        </w:tc>
        <w:tc>
          <w:tcPr>
            <w:tcW w:type="dxa" w:w="4392"/>
            <w:tcMar>
              <w:top w:w="90" w:type="dxa"/>
              <w:start w:w="100" w:type="dxa"/>
              <w:bottom w:w="90" w:type="dxa"/>
              <w:end w:w="100" w:type="dxa"/>
            </w:tcMar>
            <w:shd w:fill="F7F9FB"/>
          </w:tcPr>
          <w:p>
            <w:r>
              <w:rPr>
                <w:sz w:val="17"/>
              </w:rPr>
              <w:t>Implement official-archive downloaders, checksums, quality masks, energy response, event dossiers, and OV01. Then add OV02–OV05.</w:t>
            </w:r>
          </w:p>
        </w:tc>
      </w:tr>
      <w:tr>
        <w:tc>
          <w:tcPr>
            <w:tcW w:type="dxa" w:w="2016"/>
            <w:tcMar>
              <w:top w:w="90" w:type="dxa"/>
              <w:start w:w="100" w:type="dxa"/>
              <w:bottom w:w="90" w:type="dxa"/>
              <w:end w:w="100" w:type="dxa"/>
            </w:tcMar>
          </w:tcPr>
          <w:p>
            <w:r>
              <w:rPr>
                <w:sz w:val="17"/>
              </w:rPr>
              <w:t>Phase 6  Ensemble and held-out campaign</w:t>
            </w:r>
          </w:p>
        </w:tc>
        <w:tc>
          <w:tcPr>
            <w:tcW w:type="dxa" w:w="1512"/>
            <w:tcMar>
              <w:top w:w="90" w:type="dxa"/>
              <w:start w:w="100" w:type="dxa"/>
              <w:bottom w:w="90" w:type="dxa"/>
              <w:end w:w="100" w:type="dxa"/>
            </w:tcMar>
          </w:tcPr>
          <w:p>
            <w:r>
              <w:rPr>
                <w:sz w:val="17"/>
              </w:rPr>
              <w:t>6–12 weeks</w:t>
            </w:r>
          </w:p>
        </w:tc>
        <w:tc>
          <w:tcPr>
            <w:tcW w:type="dxa" w:w="1800"/>
            <w:tcMar>
              <w:top w:w="90" w:type="dxa"/>
              <w:start w:w="100" w:type="dxa"/>
              <w:bottom w:w="90" w:type="dxa"/>
              <w:end w:w="100" w:type="dxa"/>
            </w:tcMar>
          </w:tcPr>
          <w:p>
            <w:r>
              <w:rPr>
                <w:sz w:val="17"/>
              </w:rPr>
              <w:t>Campaign lead</w:t>
            </w:r>
          </w:p>
        </w:tc>
        <w:tc>
          <w:tcPr>
            <w:tcW w:type="dxa" w:w="4392"/>
            <w:tcMar>
              <w:top w:w="90" w:type="dxa"/>
              <w:start w:w="100" w:type="dxa"/>
              <w:bottom w:w="90" w:type="dxa"/>
              <w:end w:w="100" w:type="dxa"/>
            </w:tcMar>
          </w:tcPr>
          <w:p>
            <w:r>
              <w:rPr>
                <w:sz w:val="17"/>
              </w:rPr>
              <w:t>Create EV01 splits, calibration/identifiability workflow, seal EV02, publish scorecard, and define prospective cadence.</w:t>
            </w:r>
          </w:p>
        </w:tc>
      </w:tr>
    </w:tbl>
    <w:p>
      <w:pPr>
        <w:pStyle w:val="Heading2"/>
      </w:pPr>
      <w:r>
        <w:t>Definition of done for a case</w:t>
      </w:r>
    </w:p>
    <w:p>
      <w:pPr>
        <w:pStyle w:val="ListBullet"/>
        <w:ind w:left="317" w:hanging="173"/>
      </w:pPr>
      <w:r>
        <w:t>The case is selectable by ID and tag, runs unattended, and records effective physics flags.</w:t>
      </w:r>
    </w:p>
    <w:p>
      <w:pPr>
        <w:pStyle w:val="ListBullet"/>
        <w:ind w:left="317" w:hanging="173"/>
      </w:pPr>
      <w:r>
        <w:t>The analytical/reference generator is independent enough to catch the targeted defect and has a negative-control test.</w:t>
      </w:r>
    </w:p>
    <w:p>
      <w:pPr>
        <w:pStyle w:val="ListBullet"/>
        <w:ind w:left="317" w:hanging="173"/>
      </w:pPr>
      <w:r>
        <w:t>Metrics, uncertainty, and frozen thresholds are machine-readable; nonapplicable metrics are explicit.</w:t>
      </w:r>
    </w:p>
    <w:p>
      <w:pPr>
        <w:pStyle w:val="ListBullet"/>
        <w:ind w:left="317" w:hanging="173"/>
      </w:pPr>
      <w:r>
        <w:t>PNG and EPS comparisons, residuals, refinement or seed studies, logs, and provenance are generated from saved artifacts.</w:t>
      </w:r>
    </w:p>
    <w:p>
      <w:pPr>
        <w:pStyle w:val="ListBullet"/>
        <w:ind w:left="317" w:hanging="173"/>
      </w:pPr>
      <w:r>
        <w:t>The relevant README documents purpose, command examples, expected runtime, dependencies, data terms, and failure interpretation.</w:t>
      </w:r>
    </w:p>
    <w:p>
      <w:pPr>
        <w:pStyle w:val="ListBullet"/>
        <w:ind w:left="317" w:hanging="173"/>
      </w:pPr>
      <w:r>
        <w:t>At least one reviewer other than the implementer reproduces the case from a clean checkout/cache and signs the review record.</w:t>
      </w:r>
    </w:p>
    <w:p>
      <w:pPr>
        <w:pStyle w:val="Heading2"/>
      </w:pPr>
      <w:r>
        <w:t>Immediate backlog</w:t>
      </w:r>
    </w:p>
    <w:p>
      <w:pPr>
        <w:pStyle w:val="ListBullet"/>
        <w:ind w:left="317" w:hanging="173"/>
      </w:pPr>
      <w:r>
        <w:t>Create registry and schemas; migrate existing analytical cases into it without changing their physics.</w:t>
      </w:r>
    </w:p>
    <w:p>
      <w:pPr>
        <w:pStyle w:val="ListBullet"/>
        <w:ind w:left="317" w:hanging="173"/>
      </w:pPr>
      <w:r>
        <w:t>Implement CV01, CV02, and CV06 as the first end-to-end runner examples because they exercise characteristics, stochastic uncertainty, modal analysis, and plotting.</w:t>
      </w:r>
    </w:p>
    <w:p>
      <w:pPr>
        <w:pStyle w:val="ListBullet"/>
        <w:ind w:left="317" w:hanging="173"/>
      </w:pPr>
      <w:r>
        <w:t>Add common reference, metric, refinement-order, provenance, and plot modules used by every later case.</w:t>
      </w:r>
    </w:p>
    <w:p>
      <w:pPr>
        <w:pStyle w:val="ListBullet"/>
        <w:ind w:left="317" w:hanging="173"/>
      </w:pPr>
      <w:r>
        <w:t>Instrument particle, wave, escaped, injected, and boundary-work ledgers before CV12.</w:t>
      </w:r>
    </w:p>
    <w:p>
      <w:pPr>
        <w:pStyle w:val="ListBullet"/>
        <w:ind w:left="317" w:hanging="173"/>
      </w:pPr>
      <w:r>
        <w:t>Create the OV01 event dossier and data-acquisition scripts; do not begin parameter tuning until the dossier and preprocessing review pass.</w:t>
      </w:r>
    </w:p>
    <w:p>
      <w:pPr>
        <w:pStyle w:val="ListBullet"/>
        <w:ind w:left="317" w:hanging="173"/>
      </w:pPr>
      <w:r>
        <w:t>Contact CCMC or M-FLAMPA maintainers early for XM02/XM03 detailed output, version identifiers, and run-service constraints.</w:t>
      </w:r>
    </w:p>
    <w:p>
      <w:r>
        <w:br w:type="page"/>
      </w:r>
    </w:p>
    <w:p>
      <w:pPr>
        <w:pStyle w:val="Heading1"/>
      </w:pPr>
      <w:r>
        <w:t>J  Data-source directory and references</w:t>
      </w:r>
    </w:p>
    <w:p>
      <w:r>
        <w:t>Use official mission archives and science-level products. Web addresses and product interfaces can change; record the exact dataset identifier, version, URL, checksum, and access date in every campaign manifest.</w:t>
      </w:r>
    </w:p>
    <w:p>
      <w:pPr>
        <w:spacing w:after="60"/>
      </w:pPr>
      <w:r>
        <w:rPr>
          <w:b/>
        </w:rPr>
        <w:t xml:space="preserve">R1  ESA Solar Orbiter Archive SOAR. </w:t>
      </w:r>
      <w:r>
        <w:t xml:space="preserve">Solar Orbiter EPD, MAG, SWA and mission products; use the archive’s latest science-product metadata. </w:t>
      </w:r>
      <w:hyperlink r:id="rId11">
        <w:r>
          <w:rPr>
            <w:color w:val="2F5597"/>
            <w:u w:val="single"/>
          </w:rPr>
          <w:t>Open source</w:t>
        </w:r>
      </w:hyperlink>
    </w:p>
    <w:p>
      <w:pPr>
        <w:spacing w:after="60"/>
      </w:pPr>
      <w:r>
        <w:rPr>
          <w:b/>
        </w:rPr>
        <w:t xml:space="preserve">R2  NASA CDAWeb. </w:t>
      </w:r>
      <w:r>
        <w:t xml:space="preserve">Science-level CDF/netCDF access for heliophysics missions, including particle, plasma, magnetic-field, and ephemeris products. </w:t>
      </w:r>
      <w:hyperlink r:id="rId12">
        <w:r>
          <w:rPr>
            <w:color w:val="2F5597"/>
            <w:u w:val="single"/>
          </w:rPr>
          <w:t>Open source</w:t>
        </w:r>
      </w:hyperlink>
    </w:p>
    <w:p>
      <w:pPr>
        <w:spacing w:after="60"/>
      </w:pPr>
      <w:r>
        <w:rPr>
          <w:b/>
        </w:rPr>
        <w:t xml:space="preserve">R3  NASA SPDF and CDAWeb Web Services. </w:t>
      </w:r>
      <w:r>
        <w:t xml:space="preserve">Programmatic dataset discovery/download; pin dataset IDs and inspect metadata. </w:t>
      </w:r>
      <w:hyperlink r:id="rId13">
        <w:r>
          <w:rPr>
            <w:color w:val="2F5597"/>
            <w:u w:val="single"/>
          </w:rPr>
          <w:t>Open source</w:t>
        </w:r>
      </w:hyperlink>
    </w:p>
    <w:p>
      <w:pPr>
        <w:spacing w:after="60"/>
      </w:pPr>
      <w:r>
        <w:rPr>
          <w:b/>
        </w:rPr>
        <w:t xml:space="preserve">R4  NASA SPDF new-user guide. </w:t>
      </w:r>
      <w:r>
        <w:t xml:space="preserve">OMNI and COHOWeb context; note coordinate/time shifting and product definitions. </w:t>
      </w:r>
      <w:hyperlink r:id="rId14">
        <w:r>
          <w:rPr>
            <w:color w:val="2F5597"/>
            <w:u w:val="single"/>
          </w:rPr>
          <w:t>Open source</w:t>
        </w:r>
      </w:hyperlink>
    </w:p>
    <w:p>
      <w:pPr>
        <w:spacing w:after="60"/>
      </w:pPr>
      <w:r>
        <w:rPr>
          <w:b/>
        </w:rPr>
        <w:t xml:space="preserve">R5  SOHO data archive. </w:t>
      </w:r>
      <w:r>
        <w:t xml:space="preserve">SOHO science data and instrument links, including CELIAS, COSTEP/EPHIN and ERNE access paths. </w:t>
      </w:r>
      <w:hyperlink r:id="rId15">
        <w:r>
          <w:rPr>
            <w:color w:val="2F5597"/>
            <w:u w:val="single"/>
          </w:rPr>
          <w:t>Open source</w:t>
        </w:r>
      </w:hyperlink>
    </w:p>
    <w:p>
      <w:pPr>
        <w:spacing w:after="60"/>
      </w:pPr>
      <w:r>
        <w:rPr>
          <w:b/>
        </w:rPr>
        <w:t xml:space="preserve">R6  SOHO data portal. </w:t>
      </w:r>
      <w:r>
        <w:t xml:space="preserve">Mission data and direct instrument resources for ERNE proton/helium and EPHIN. </w:t>
      </w:r>
      <w:hyperlink r:id="rId16">
        <w:r>
          <w:rPr>
            <w:color w:val="2F5597"/>
            <w:u w:val="single"/>
          </w:rPr>
          <w:t>Open source</w:t>
        </w:r>
      </w:hyperlink>
    </w:p>
    <w:p>
      <w:pPr>
        <w:spacing w:after="60"/>
      </w:pPr>
      <w:r>
        <w:rPr>
          <w:b/>
        </w:rPr>
        <w:t xml:space="preserve">R7  ACE Science Center EPAM Level 2. </w:t>
      </w:r>
      <w:r>
        <w:t xml:space="preserve">Near-Earth energetic particles; verify channel definitions and quality information. </w:t>
      </w:r>
      <w:hyperlink r:id="rId17">
        <w:r>
          <w:rPr>
            <w:color w:val="2F5597"/>
            <w:u w:val="single"/>
          </w:rPr>
          <w:t>Open source</w:t>
        </w:r>
      </w:hyperlink>
    </w:p>
    <w:p>
      <w:pPr>
        <w:spacing w:after="60"/>
      </w:pPr>
      <w:r>
        <w:rPr>
          <w:b/>
        </w:rPr>
        <w:t xml:space="preserve">R8  STEREO Science Center instrument data. </w:t>
      </w:r>
      <w:r>
        <w:t xml:space="preserve">IMPACT SEPT/LET/HET/SIT and PLASTIC/MAG links, including ASCII and mission products. </w:t>
      </w:r>
      <w:hyperlink r:id="rId18">
        <w:r>
          <w:rPr>
            <w:color w:val="2F5597"/>
            <w:u w:val="single"/>
          </w:rPr>
          <w:t>Open source</w:t>
        </w:r>
      </w:hyperlink>
    </w:p>
    <w:p>
      <w:pPr>
        <w:spacing w:after="60"/>
      </w:pPr>
      <w:r>
        <w:rPr>
          <w:b/>
        </w:rPr>
        <w:t xml:space="preserve">R9  Parker Solar Probe ISOIS. </w:t>
      </w:r>
      <w:r>
        <w:t xml:space="preserve">Official ISOIS project data portal and documentation. </w:t>
      </w:r>
      <w:hyperlink r:id="rId19">
        <w:r>
          <w:rPr>
            <w:color w:val="2F5597"/>
            <w:u w:val="single"/>
          </w:rPr>
          <w:t>Open source</w:t>
        </w:r>
      </w:hyperlink>
    </w:p>
    <w:p>
      <w:pPr>
        <w:spacing w:after="60"/>
      </w:pPr>
      <w:r>
        <w:rPr>
          <w:b/>
        </w:rPr>
        <w:t xml:space="preserve">R10  PSP ISOIS EPI-Hi Level 2. </w:t>
      </w:r>
      <w:r>
        <w:t xml:space="preserve">Public EPI-Hi science files; record file version and inspect current release notes. </w:t>
      </w:r>
      <w:hyperlink r:id="rId20">
        <w:r>
          <w:rPr>
            <w:color w:val="2F5597"/>
            <w:u w:val="single"/>
          </w:rPr>
          <w:t>Open source</w:t>
        </w:r>
      </w:hyperlink>
    </w:p>
    <w:p>
      <w:pPr>
        <w:spacing w:after="60"/>
      </w:pPr>
      <w:r>
        <w:rPr>
          <w:b/>
        </w:rPr>
        <w:t xml:space="preserve">R11  PSP ISOIS release notes. </w:t>
      </w:r>
      <w:r>
        <w:t xml:space="preserve">Mandatory quality, calibration, contamination, pitch-angle, and supersession caveats. Do not use summary/quicklook products as final science data. </w:t>
      </w:r>
      <w:hyperlink r:id="rId21">
        <w:r>
          <w:rPr>
            <w:color w:val="2F5597"/>
            <w:u w:val="single"/>
          </w:rPr>
          <w:t>Open source</w:t>
        </w:r>
      </w:hyperlink>
    </w:p>
    <w:p>
      <w:pPr>
        <w:spacing w:after="60"/>
      </w:pPr>
      <w:r>
        <w:rPr>
          <w:b/>
        </w:rPr>
        <w:t xml:space="preserve">R12  NOAA NCEI GOES SEM science-quality particles. </w:t>
      </w:r>
      <w:r>
        <w:t xml:space="preserve">GOES-13–15 EPEAD/HEPAD and related calibrated science-quality particle products. </w:t>
      </w:r>
      <w:hyperlink r:id="rId22">
        <w:r>
          <w:rPr>
            <w:color w:val="2F5597"/>
            <w:u w:val="single"/>
          </w:rPr>
          <w:t>Open source</w:t>
        </w:r>
      </w:hyperlink>
    </w:p>
    <w:p>
      <w:pPr>
        <w:spacing w:after="60"/>
      </w:pPr>
      <w:r>
        <w:rPr>
          <w:b/>
        </w:rPr>
        <w:t xml:space="preserve">R13  NOAA NCEI GOES 1–15 SEM L1B and L2. </w:t>
      </w:r>
      <w:r>
        <w:t xml:space="preserve">Longer-baseline GOES energetic-particle products; select science-quality/calibrated products for validation. </w:t>
      </w:r>
      <w:hyperlink r:id="rId23">
        <w:r>
          <w:rPr>
            <w:color w:val="2F5597"/>
            <w:u w:val="single"/>
          </w:rPr>
          <w:t>Open source</w:t>
        </w:r>
      </w:hyperlink>
    </w:p>
    <w:p>
      <w:pPr>
        <w:spacing w:after="60"/>
      </w:pPr>
      <w:r>
        <w:rPr>
          <w:b/>
        </w:rPr>
        <w:t xml:space="preserve">R14  NASA CCMC M-FLAMPA. </w:t>
      </w:r>
      <w:r>
        <w:t xml:space="preserve">Model description, version, run service, inputs and output capabilities for field-line SEP transport comparison. </w:t>
      </w:r>
      <w:hyperlink r:id="rId24">
        <w:r>
          <w:rPr>
            <w:color w:val="2F5597"/>
            <w:u w:val="single"/>
          </w:rPr>
          <w:t>Open source</w:t>
        </w:r>
      </w:hyperlink>
    </w:p>
    <w:p>
      <w:pPr>
        <w:spacing w:after="60"/>
      </w:pPr>
      <w:r>
        <w:rPr>
          <w:b/>
        </w:rPr>
        <w:t xml:space="preserve">R15  Published M-FLAMPA/SOFIE 2013 April 11 study. </w:t>
      </w:r>
      <w:r>
        <w:t xml:space="preserve">Peer-reviewed event/background/model comparator; DOI 10.3847/1538-4357/adc4e3. </w:t>
      </w:r>
      <w:hyperlink r:id="rId25">
        <w:r>
          <w:rPr>
            <w:color w:val="2F5597"/>
            <w:u w:val="single"/>
          </w:rPr>
          <w:t>Open source</w:t>
        </w:r>
      </w:hyperlink>
    </w:p>
    <w:p>
      <w:pPr>
        <w:spacing w:after="60"/>
      </w:pPr>
      <w:r>
        <w:rPr>
          <w:b/>
        </w:rPr>
        <w:t xml:space="preserve">R16  SOHO LASCO CME Catalog. </w:t>
      </w:r>
      <w:r>
        <w:t xml:space="preserve">CME timing, speed and width context; retain catalog version and acknowledge projection uncertainty. </w:t>
      </w:r>
      <w:hyperlink r:id="rId26">
        <w:r>
          <w:rPr>
            <w:color w:val="2F5597"/>
            <w:u w:val="single"/>
          </w:rPr>
          <w:t>Open source</w:t>
        </w:r>
      </w:hyperlink>
    </w:p>
    <w:p>
      <w:pPr>
        <w:spacing w:after="60"/>
      </w:pPr>
      <w:r>
        <w:rPr>
          <w:b/>
        </w:rPr>
        <w:t xml:space="preserve">R17  NASA CCMC DONKI. </w:t>
      </w:r>
      <w:r>
        <w:t xml:space="preserve">Linked flare/CME/shock/SEP event context and APIs; treat associations and fitted CME parameters as uncertain inputs. </w:t>
      </w:r>
      <w:hyperlink r:id="rId27">
        <w:r>
          <w:rPr>
            <w:color w:val="2F5597"/>
            <w:u w:val="single"/>
          </w:rPr>
          <w:t>Open source</w:t>
        </w:r>
      </w:hyperlink>
    </w:p>
    <w:p>
      <w:pPr>
        <w:spacing w:after="60"/>
      </w:pPr>
      <w:r>
        <w:rPr>
          <w:b/>
        </w:rPr>
        <w:t xml:space="preserve">R18  NASA NAIF planetary and spacecraft kernels. </w:t>
      </w:r>
      <w:r>
        <w:t xml:space="preserve">SPICE kernels and geometry tooling for spacecraft ephemerides; use mission-approved reconstructed kernels where available. </w:t>
      </w:r>
      <w:hyperlink r:id="rId28">
        <w:r>
          <w:rPr>
            <w:color w:val="2F5597"/>
            <w:u w:val="single"/>
          </w:rPr>
          <w:t>Open source</w:t>
        </w:r>
      </w:hyperlink>
    </w:p>
    <w:p>
      <w:pPr>
        <w:spacing w:after="60"/>
      </w:pPr>
      <w:r>
        <w:rPr>
          <w:b/>
        </w:rPr>
        <w:t xml:space="preserve">R19  Spectral Analysis of the September 2017 SEP Events. </w:t>
      </w:r>
      <w:r>
        <w:t xml:space="preserve">Public peer-reviewed event analysis and instrument/channel overview for ACE, GOES and STEREO-A. </w:t>
      </w:r>
      <w:hyperlink r:id="rId29">
        <w:r>
          <w:rPr>
            <w:color w:val="2F5597"/>
            <w:u w:val="single"/>
          </w:rPr>
          <w:t>Open source</w:t>
        </w:r>
      </w:hyperlink>
    </w:p>
    <w:p>
      <w:pPr>
        <w:spacing w:after="60"/>
      </w:pPr>
      <w:r>
        <w:rPr>
          <w:b/>
        </w:rPr>
        <w:t xml:space="preserve">R20  NASA CCMC SEP Model Validation Challenge. </w:t>
      </w:r>
      <w:r>
        <w:t xml:space="preserve">Community event/non-event lists, standard inputs, requested channels, model output format and participation rules. </w:t>
      </w:r>
      <w:hyperlink r:id="rId30">
        <w:r>
          <w:rPr>
            <w:color w:val="2F5597"/>
            <w:u w:val="single"/>
          </w:rPr>
          <w:t>Open source</w:t>
        </w:r>
      </w:hyperlink>
    </w:p>
    <w:p>
      <w:pPr>
        <w:spacing w:after="60"/>
      </w:pPr>
      <w:r>
        <w:rPr>
          <w:b/>
        </w:rPr>
        <w:t xml:space="preserve">R21  NASA CCMC SEP validation framework. </w:t>
      </w:r>
      <w:r>
        <w:t xml:space="preserve">Compared quantities, metrics, operational thresholds, data-processing approach, and OpSEP references. </w:t>
      </w:r>
      <w:hyperlink r:id="rId31">
        <w:r>
          <w:rPr>
            <w:color w:val="2F5597"/>
            <w:u w:val="single"/>
          </w:rPr>
          <w:t>Open source</w:t>
        </w:r>
      </w:hyperlink>
    </w:p>
    <w:p>
      <w:pPr>
        <w:spacing w:after="60"/>
      </w:pPr>
      <w:r>
        <w:rPr>
          <w:b/>
        </w:rPr>
        <w:t xml:space="preserve">R22  NASA CCMC SEP Scoreboard. </w:t>
      </w:r>
      <w:r>
        <w:t xml:space="preserve">Operational/community forecast interface and conventions for prospective validation. </w:t>
      </w:r>
      <w:hyperlink r:id="rId32">
        <w:r>
          <w:rPr>
            <w:color w:val="2F5597"/>
            <w:u w:val="single"/>
          </w:rPr>
          <w:t>Open source</w:t>
        </w:r>
      </w:hyperlink>
    </w:p>
    <w:p>
      <w:pPr>
        <w:spacing w:after="60"/>
      </w:pPr>
      <w:r>
        <w:rPr>
          <w:b/>
        </w:rPr>
        <w:t xml:space="preserve">R23  Heliophysics Data Portal. </w:t>
      </w:r>
      <w:r>
        <w:t xml:space="preserve">Cross-mission discovery; use it to locate authoritative product records, then capture the mission dataset identifier. </w:t>
      </w:r>
      <w:hyperlink r:id="rId33">
        <w:r>
          <w:rPr>
            <w:color w:val="2F5597"/>
            <w:u w:val="single"/>
          </w:rPr>
          <w:t>Open source</w:t>
        </w:r>
      </w:hyperlink>
    </w:p>
    <w:p>
      <w:pPr>
        <w:pStyle w:val="Heading2"/>
      </w:pPr>
      <w:r>
        <w:t>Source-selection rules</w:t>
      </w:r>
    </w:p>
    <w:p>
      <w:pPr>
        <w:pStyle w:val="ListBullet"/>
        <w:ind w:left="317" w:hanging="173"/>
      </w:pPr>
      <w:r>
        <w:t>Prefer mission L2/science-quality data and official release notes over quicklook or third-party mirrors.</w:t>
      </w:r>
    </w:p>
    <w:p>
      <w:pPr>
        <w:pStyle w:val="ListBullet"/>
        <w:ind w:left="317" w:hanging="173"/>
      </w:pPr>
      <w:r>
        <w:t>If an archive republishes a dataset, retain the original mission dataset identifier and the archive access path.</w:t>
      </w:r>
    </w:p>
    <w:p>
      <w:pPr>
        <w:pStyle w:val="ListBullet"/>
        <w:ind w:left="317" w:hanging="173"/>
      </w:pPr>
      <w:r>
        <w:t>If numerical comparator output is unavailable, request it before digitizing a figure. Digitized values require an explicit uncertainty and retained digitizer project.</w:t>
      </w:r>
    </w:p>
    <w:p>
      <w:pPr>
        <w:pStyle w:val="ListBullet"/>
        <w:ind w:left="317" w:hanging="173"/>
      </w:pPr>
      <w:r>
        <w:t>Revalidate download scripts at campaign start because archive interfaces, calibration versions, and superseded products can change.</w:t>
      </w:r>
    </w:p>
    <w:p>
      <w:pPr>
        <w:pStyle w:val="ListBullet"/>
        <w:ind w:left="317" w:hanging="173"/>
      </w:pPr>
      <w:r>
        <w:t>Comply with mission acknowledgment and terms-of-use requirements; store a snapshot or checksum of the applicable text when permitted.</w:t>
      </w:r>
    </w:p>
    <w:sectPr w:rsidR="00FC693F" w:rsidRPr="0006063C" w:rsidSect="00034616">
      <w:headerReference w:type="default" r:id="rId9"/>
      <w:footerReference w:type="default" r:id="rId10"/>
      <w:pgSz w:w="12240" w:h="15840"/>
      <w:pgMar w:top="1037" w:right="1037"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17E"/>
        <w:sz w:val="16"/>
      </w:rPr>
      <w:t xml:space="preserve">Implementation plan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17E"/>
        <w:sz w:val="16"/>
      </w:rPr>
      <w:t>srcSEP Physics Validation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11111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basedOn w:val="Normal"/>
    <w:pPr>
      <w:keepNext/>
      <w:spacing w:after="40"/>
    </w:pPr>
    <w:rPr>
      <w:rFonts w:ascii="Aptos" w:hAnsi="Aptos"/>
      <w:b/>
      <w:color w:val="2F559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oar.esac.esa.int/" TargetMode="External"/><Relationship Id="rId12" Type="http://schemas.openxmlformats.org/officeDocument/2006/relationships/hyperlink" Target="https://cdaweb.gsfc.nasa.gov/index.html/" TargetMode="External"/><Relationship Id="rId13" Type="http://schemas.openxmlformats.org/officeDocument/2006/relationships/hyperlink" Target="https://cdaweb.gsfc.nasa.gov/WebServices/" TargetMode="External"/><Relationship Id="rId14" Type="http://schemas.openxmlformats.org/officeDocument/2006/relationships/hyperlink" Target="https://spdf.gsfc.nasa.gov/new_users.html" TargetMode="External"/><Relationship Id="rId15" Type="http://schemas.openxmlformats.org/officeDocument/2006/relationships/hyperlink" Target="https://soho.nascom.nasa.gov/data/archive.html" TargetMode="External"/><Relationship Id="rId16" Type="http://schemas.openxmlformats.org/officeDocument/2006/relationships/hyperlink" Target="https://soho.nascom.nasa.gov/data/data.html" TargetMode="External"/><Relationship Id="rId17" Type="http://schemas.openxmlformats.org/officeDocument/2006/relationships/hyperlink" Target="https://izw1.caltech.edu/ACE/ASC/DATA/level2/epam/" TargetMode="External"/><Relationship Id="rId18" Type="http://schemas.openxmlformats.org/officeDocument/2006/relationships/hyperlink" Target="https://stereo-ssc.nascom.nasa.gov/ins_data.shtml" TargetMode="External"/><Relationship Id="rId19" Type="http://schemas.openxmlformats.org/officeDocument/2006/relationships/hyperlink" Target="https://spp-isois.sr.unh.edu/" TargetMode="External"/><Relationship Id="rId20" Type="http://schemas.openxmlformats.org/officeDocument/2006/relationships/hyperlink" Target="https://spp-isois.sr.unh.edu/data_public/EPIHi/level2/" TargetMode="External"/><Relationship Id="rId21" Type="http://schemas.openxmlformats.org/officeDocument/2006/relationships/hyperlink" Target="https://spp-isois.sr.unh.edu/Release-Notes.html" TargetMode="External"/><Relationship Id="rId22" Type="http://schemas.openxmlformats.org/officeDocument/2006/relationships/hyperlink" Target="https://www.ncei.noaa.gov/access/metadata/landing-page/bin/iso?id=gov.noaa.ncei.swx%3Agoes_sem-particle-sci" TargetMode="External"/><Relationship Id="rId23" Type="http://schemas.openxmlformats.org/officeDocument/2006/relationships/hyperlink" Target="https://www.ncei.noaa.gov/access/metadata/landing-page/bin/iso?id=gov.noaa.ncei.swx%3Agoes_sem-l1b-l2_ncei" TargetMode="External"/><Relationship Id="rId24" Type="http://schemas.openxmlformats.org/officeDocument/2006/relationships/hyperlink" Target="https://ccmc.gsfc.nasa.gov/models/SWMF~M-FLAMPA~v1/" TargetMode="External"/><Relationship Id="rId25" Type="http://schemas.openxmlformats.org/officeDocument/2006/relationships/hyperlink" Target="https://doi.org/10.3847/1538-4357/adc4e3" TargetMode="External"/><Relationship Id="rId26" Type="http://schemas.openxmlformats.org/officeDocument/2006/relationships/hyperlink" Target="https://cdaw.gsfc.nasa.gov/CME_list/" TargetMode="External"/><Relationship Id="rId27" Type="http://schemas.openxmlformats.org/officeDocument/2006/relationships/hyperlink" Target="https://kauai.ccmc.gsfc.nasa.gov/DONKI/" TargetMode="External"/><Relationship Id="rId28" Type="http://schemas.openxmlformats.org/officeDocument/2006/relationships/hyperlink" Target="https://naif.jpl.nasa.gov/naif/data.html" TargetMode="External"/><Relationship Id="rId29" Type="http://schemas.openxmlformats.org/officeDocument/2006/relationships/hyperlink" Target="https://pmc.ncbi.nlm.nih.gov/articles/PMC7756961/" TargetMode="External"/><Relationship Id="rId30" Type="http://schemas.openxmlformats.org/officeDocument/2006/relationships/hyperlink" Target="https://ccmc.gsfc.nasa.gov/challenges/sep/" TargetMode="External"/><Relationship Id="rId31" Type="http://schemas.openxmlformats.org/officeDocument/2006/relationships/hyperlink" Target="https://ccmc.gsfc.nasa.gov/challenges/sep/validation/" TargetMode="External"/><Relationship Id="rId32" Type="http://schemas.openxmlformats.org/officeDocument/2006/relationships/hyperlink" Target="https://ccmc.gsfc.nasa.gov/scoreboards/sep/" TargetMode="External"/><Relationship Id="rId33" Type="http://schemas.openxmlformats.org/officeDocument/2006/relationships/hyperlink" Target="https://heliophysicsdata.gsfc.nasa.gov/websearch/HP_Data_Portal_info.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srcSEP Physics Validation Campaign Implementation Plan</dc:title>
  <dc:subject>Actionable analytical, numerical, cross-model, and observational validation plan</dc:subject>
  <dc:creator>python-docx</dc:creator>
  <cp:keywords>srcSEP, SEP, focused transport, validation, testing, heliosphere</cp:keywords>
  <dc:description>Generated as an implementation-ready validation specification.</dc:description>
  <cp:lastModifiedBy/>
  <cp:revision>1</cp:revision>
  <dcterms:created xsi:type="dcterms:W3CDTF">2013-12-23T23:15:00Z</dcterms:created>
  <dcterms:modified xsi:type="dcterms:W3CDTF">2013-12-23T23:15:00Z</dcterms:modified>
  <cp:category/>
</cp:coreProperties>
</file>