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36"/>
      </w:pPr>
      <w:r>
        <w:rPr>
          <w:b/>
          <w:color w:val="2A9D8F"/>
          <w:sz w:val="20"/>
        </w:rPr>
        <w:t>ENGINEERING ASSESSMENT</w:t>
      </w:r>
    </w:p>
    <w:p>
      <w:pPr>
        <w:pStyle w:val="Title"/>
      </w:pPr>
      <w:r>
        <w:t>SEP-in-Geospace</w:t>
        <w:br/>
        <w:t>Flux &amp; Energy-Spectrum Extension</w:t>
      </w:r>
    </w:p>
    <w:p>
      <w:pPr>
        <w:pStyle w:val="Subtitle"/>
      </w:pPr>
      <w:r>
        <w:t>Development and validation program for magnetospheric particle fluxes</w:t>
      </w:r>
    </w:p>
    <w:tbl>
      <w:tblPr>
        <w:tblW w:type="auto" w:w="0"/>
        <w:tblLayout w:type="fixed"/>
        <w:tblLook w:firstColumn="1" w:firstRow="1" w:lastColumn="0" w:lastRow="0" w:noHBand="0" w:noVBand="1" w:val="04A0"/>
      </w:tblPr>
      <w:tblGrid>
        <w:gridCol w:w="10166"/>
      </w:tblGrid>
      <w:tr>
        <w:trPr>
          <w:trHeight w:val="100" w:hRule="exact"/>
          <w:tblHeader w:val="true"/>
        </w:trPr>
        <w:tc>
          <w:tcPr>
            <w:tcW w:type="dxa" w:w="9936"/>
            <w:shd w:fill="2A9D8F"/>
          </w:tcPr>
          <w:p/>
        </w:tc>
      </w:tr>
    </w:tbl>
    <w:p>
      <w:pPr>
        <w:spacing w:before="400" w:after="80"/>
      </w:pPr>
      <w:r>
        <w:rPr>
          <w:b/>
          <w:color w:val="15354A"/>
        </w:rPr>
        <w:t>Assessment basis</w:t>
      </w:r>
    </w:p>
    <w:p>
      <w:pPr>
        <w:pStyle w:val="SmallNote"/>
      </w:pPr>
      <w:r>
        <w:rPr>
          <w:rFonts w:ascii="Aptos" w:hAnsi="Aptos"/>
          <w:sz w:val="18"/>
        </w:rPr>
        <w:t>Source package: earth-step9-geopack-fix-20260925.tar.gz</w:t>
        <w:br/>
        <w:t>Reviewed subsystem: srcEarth and src/interface</w:t>
        <w:br/>
        <w:t>Assessment date: 25 September 2026</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EAF7F4"/>
            <w:tcMar>
              <w:top w:w="140" w:type="dxa"/>
              <w:start w:w="180" w:type="dxa"/>
              <w:bottom w:w="140" w:type="dxa"/>
              <w:end w:w="180" w:type="dxa"/>
            </w:tcMar>
          </w:tcPr>
          <w:p>
            <w:pPr>
              <w:spacing w:after="60"/>
            </w:pPr>
            <w:r>
              <w:rPr>
                <w:b/>
                <w:color w:val="15354A"/>
              </w:rPr>
              <w:t>Decision recommendation</w:t>
            </w:r>
          </w:p>
          <w:p>
            <w:pPr>
              <w:spacing w:after="0" w:line="252" w:lineRule="auto"/>
            </w:pPr>
            <w:r>
              <w:t>Proceed with a scoped Phase-1 product for directly connected SEP/GCR protons and ions. Use backward characteristics as the primary solver, retain the full energy–direction access function, publish unresolved-trajectory bounds, and compare only response-folded model products with instruments. Do not claim validated forward transport or trapped-particle fluxes until backward/forward closure and loss-physics tests pass.</w:t>
            </w:r>
          </w:p>
        </w:tc>
      </w:tr>
    </w:tbl>
    <w:p>
      <w:pPr>
        <w:spacing w:after="0"/>
      </w:pPr>
    </w:p>
    <w:p>
      <w:pPr>
        <w:pStyle w:val="SmallNote"/>
        <w:spacing w:before="280"/>
      </w:pPr>
      <w:r>
        <w:rPr>
          <w:b/>
        </w:rPr>
        <w:t xml:space="preserve">Terminology note. </w:t>
      </w:r>
      <w:r>
        <w:t>The request is interpreted as particle energy spectra. Thermodynamic exergy is not a phase-space particle diagnostic and is outside this program.</w:t>
      </w:r>
    </w:p>
    <w:p>
      <w:pPr>
        <w:spacing w:before="720"/>
        <w:jc w:val="center"/>
      </w:pPr>
      <w:r>
        <w:rPr>
          <w:i/>
          <w:color w:val="5B6973"/>
          <w:sz w:val="18"/>
        </w:rPr>
        <w:t>Prepared as an implementation-ready validation plan</w:t>
      </w:r>
    </w:p>
    <w:p>
      <w:r>
        <w:br w:type="page"/>
      </w:r>
    </w:p>
    <w:p>
      <w:pPr>
        <w:keepNext/>
        <w:spacing w:before="40" w:after="80"/>
      </w:pPr>
      <w:r>
        <w:rPr>
          <w:rFonts w:ascii="Aptos Display" w:hAnsi="Aptos Display"/>
          <w:b/>
          <w:color w:val="15354A"/>
          <w:sz w:val="36"/>
        </w:rPr>
        <w:t>Contents</w:t>
      </w:r>
    </w:p>
    <w:p>
      <w:pPr>
        <w:pStyle w:val="SmallNote"/>
        <w:spacing w:after="100"/>
      </w:pPr>
      <w:r>
        <w:t>Click a section title to jump directly to it. Page numbers update when fields are refreshed in Word.</w:t>
      </w:r>
    </w:p>
    <w:p>
      <w:pPr>
        <w:tabs>
          <w:tab w:pos="9864" w:val="right" w:leader="dot"/>
        </w:tabs>
        <w:spacing w:before="0" w:after="20" w:line="226" w:lineRule="auto"/>
        <w:ind w:left="0" w:right="0"/>
      </w:pPr>
      <w:hyperlink w:anchor="toc_section_01" w:history="1">
        <w:r>
          <w:rPr>
            <w:rFonts w:ascii="Aptos" w:hAnsi="Aptos"/>
            <w:color w:val="15354A"/>
            <w:u w:val="none"/>
            <w:sz w:val="18"/>
            <w:b/>
          </w:rPr>
          <w:t>1. Executive summary</w:t>
        </w:r>
      </w:hyperlink>
      <w:r>
        <w:rPr>
          <w:sz w:val="17"/>
        </w:rPr>
        <w:tab/>
      </w:r>
      <w:r>
        <w:rPr>
          <w:rFonts w:ascii="Aptos" w:hAnsi="Aptos"/>
          <w:sz w:val="17"/>
        </w:rPr>
        <w:fldChar w:fldCharType="begin"/>
        <w:instrText xml:space="preserve"> PAGEREF toc_section_01 \h </w:instrText>
        <w:fldChar w:fldCharType="separate"/>
        <w:t>3</w:t>
        <w:fldChar w:fldCharType="end"/>
      </w:r>
    </w:p>
    <w:p>
      <w:pPr>
        <w:tabs>
          <w:tab w:pos="9864" w:val="right" w:leader="dot"/>
        </w:tabs>
        <w:spacing w:before="0" w:after="4" w:line="226" w:lineRule="auto"/>
        <w:ind w:left="317" w:right="0"/>
      </w:pPr>
      <w:hyperlink w:anchor="toc_section_02" w:history="1">
        <w:r>
          <w:rPr>
            <w:rFonts w:ascii="Aptos" w:hAnsi="Aptos"/>
            <w:color w:val="1D6F8A"/>
            <w:u w:val="none"/>
            <w:sz w:val="17"/>
          </w:rPr>
          <w:t>Recommended sequence</w:t>
        </w:r>
      </w:hyperlink>
      <w:r>
        <w:rPr>
          <w:sz w:val="17"/>
        </w:rPr>
        <w:tab/>
      </w:r>
      <w:r>
        <w:rPr>
          <w:rFonts w:ascii="Aptos" w:hAnsi="Aptos"/>
          <w:sz w:val="17"/>
        </w:rPr>
        <w:fldChar w:fldCharType="begin"/>
        <w:instrText xml:space="preserve"> PAGEREF toc_section_02 \h </w:instrText>
        <w:fldChar w:fldCharType="separate"/>
        <w:t>3</w:t>
        <w:fldChar w:fldCharType="end"/>
      </w:r>
    </w:p>
    <w:p>
      <w:pPr>
        <w:tabs>
          <w:tab w:pos="9864" w:val="right" w:leader="dot"/>
        </w:tabs>
        <w:spacing w:before="0" w:after="20" w:line="226" w:lineRule="auto"/>
        <w:ind w:left="0" w:right="0"/>
      </w:pPr>
      <w:hyperlink w:anchor="toc_section_03" w:history="1">
        <w:r>
          <w:rPr>
            <w:rFonts w:ascii="Aptos" w:hAnsi="Aptos"/>
            <w:color w:val="15354A"/>
            <w:u w:val="none"/>
            <w:sz w:val="18"/>
            <w:b/>
          </w:rPr>
          <w:t>2. Code and test audit</w:t>
        </w:r>
      </w:hyperlink>
      <w:r>
        <w:rPr>
          <w:sz w:val="17"/>
        </w:rPr>
        <w:tab/>
      </w:r>
      <w:r>
        <w:rPr>
          <w:rFonts w:ascii="Aptos" w:hAnsi="Aptos"/>
          <w:sz w:val="17"/>
        </w:rPr>
        <w:fldChar w:fldCharType="begin"/>
        <w:instrText xml:space="preserve"> PAGEREF toc_section_03 \h </w:instrText>
        <w:fldChar w:fldCharType="separate"/>
        <w:t>3</w:t>
        <w:fldChar w:fldCharType="end"/>
      </w:r>
    </w:p>
    <w:p>
      <w:pPr>
        <w:tabs>
          <w:tab w:pos="9864" w:val="right" w:leader="dot"/>
        </w:tabs>
        <w:spacing w:before="0" w:after="4" w:line="226" w:lineRule="auto"/>
        <w:ind w:left="317" w:right="0"/>
      </w:pPr>
      <w:hyperlink w:anchor="toc_section_04" w:history="1">
        <w:r>
          <w:rPr>
            <w:rFonts w:ascii="Aptos" w:hAnsi="Aptos"/>
            <w:color w:val="1D6F8A"/>
            <w:u w:val="none"/>
            <w:sz w:val="17"/>
          </w:rPr>
          <w:t>2.1 What already works in the gridless path</w:t>
        </w:r>
      </w:hyperlink>
      <w:r>
        <w:rPr>
          <w:sz w:val="17"/>
        </w:rPr>
        <w:tab/>
      </w:r>
      <w:r>
        <w:rPr>
          <w:rFonts w:ascii="Aptos" w:hAnsi="Aptos"/>
          <w:sz w:val="17"/>
        </w:rPr>
        <w:fldChar w:fldCharType="begin"/>
        <w:instrText xml:space="preserve"> PAGEREF toc_section_04 \h </w:instrText>
        <w:fldChar w:fldCharType="separate"/>
        <w:t>4</w:t>
        <w:fldChar w:fldCharType="end"/>
      </w:r>
    </w:p>
    <w:p>
      <w:pPr>
        <w:tabs>
          <w:tab w:pos="9864" w:val="right" w:leader="dot"/>
        </w:tabs>
        <w:spacing w:before="0" w:after="4" w:line="226" w:lineRule="auto"/>
        <w:ind w:left="317" w:right="0"/>
      </w:pPr>
      <w:hyperlink w:anchor="toc_section_05" w:history="1">
        <w:r>
          <w:rPr>
            <w:rFonts w:ascii="Aptos" w:hAnsi="Aptos"/>
            <w:color w:val="1D6F8A"/>
            <w:u w:val="none"/>
            <w:sz w:val="17"/>
          </w:rPr>
          <w:t>2.2 Publication-blocking findings</w:t>
        </w:r>
      </w:hyperlink>
      <w:r>
        <w:rPr>
          <w:sz w:val="17"/>
        </w:rPr>
        <w:tab/>
      </w:r>
      <w:r>
        <w:rPr>
          <w:rFonts w:ascii="Aptos" w:hAnsi="Aptos"/>
          <w:sz w:val="17"/>
        </w:rPr>
        <w:fldChar w:fldCharType="begin"/>
        <w:instrText xml:space="preserve"> PAGEREF toc_section_05 \h </w:instrText>
        <w:fldChar w:fldCharType="separate"/>
        <w:t>4</w:t>
        <w:fldChar w:fldCharType="end"/>
      </w:r>
    </w:p>
    <w:p>
      <w:pPr>
        <w:tabs>
          <w:tab w:pos="9864" w:val="right" w:leader="dot"/>
        </w:tabs>
        <w:spacing w:before="0" w:after="4" w:line="226" w:lineRule="auto"/>
        <w:ind w:left="317" w:right="0"/>
      </w:pPr>
      <w:hyperlink w:anchor="toc_section_06" w:history="1">
        <w:r>
          <w:rPr>
            <w:rFonts w:ascii="Aptos" w:hAnsi="Aptos"/>
            <w:color w:val="1D6F8A"/>
            <w:u w:val="none"/>
            <w:sz w:val="17"/>
          </w:rPr>
          <w:t>2.3 Current test coverage is necessary but not sufficient</w:t>
        </w:r>
      </w:hyperlink>
      <w:r>
        <w:rPr>
          <w:sz w:val="17"/>
        </w:rPr>
        <w:tab/>
      </w:r>
      <w:r>
        <w:rPr>
          <w:rFonts w:ascii="Aptos" w:hAnsi="Aptos"/>
          <w:sz w:val="17"/>
        </w:rPr>
        <w:fldChar w:fldCharType="begin"/>
        <w:instrText xml:space="preserve"> PAGEREF toc_section_06 \h </w:instrText>
        <w:fldChar w:fldCharType="separate"/>
        <w:t>5</w:t>
        <w:fldChar w:fldCharType="end"/>
      </w:r>
    </w:p>
    <w:p>
      <w:pPr>
        <w:tabs>
          <w:tab w:pos="9864" w:val="right" w:leader="dot"/>
        </w:tabs>
        <w:spacing w:before="0" w:after="20" w:line="226" w:lineRule="auto"/>
        <w:ind w:left="0" w:right="0"/>
      </w:pPr>
      <w:hyperlink w:anchor="toc_section_07" w:history="1">
        <w:r>
          <w:rPr>
            <w:rFonts w:ascii="Aptos" w:hAnsi="Aptos"/>
            <w:color w:val="15354A"/>
            <w:u w:val="none"/>
            <w:sz w:val="18"/>
            <w:b/>
          </w:rPr>
          <w:t>3. Physics and product contract</w:t>
        </w:r>
      </w:hyperlink>
      <w:r>
        <w:rPr>
          <w:sz w:val="17"/>
        </w:rPr>
        <w:tab/>
      </w:r>
      <w:r>
        <w:rPr>
          <w:rFonts w:ascii="Aptos" w:hAnsi="Aptos"/>
          <w:sz w:val="17"/>
        </w:rPr>
        <w:fldChar w:fldCharType="begin"/>
        <w:instrText xml:space="preserve"> PAGEREF toc_section_07 \h </w:instrText>
        <w:fldChar w:fldCharType="separate"/>
        <w:t>5</w:t>
        <w:fldChar w:fldCharType="end"/>
      </w:r>
    </w:p>
    <w:p>
      <w:pPr>
        <w:tabs>
          <w:tab w:pos="9864" w:val="right" w:leader="dot"/>
        </w:tabs>
        <w:spacing w:before="0" w:after="4" w:line="226" w:lineRule="auto"/>
        <w:ind w:left="317" w:right="0"/>
      </w:pPr>
      <w:hyperlink w:anchor="toc_section_08" w:history="1">
        <w:r>
          <w:rPr>
            <w:rFonts w:ascii="Aptos" w:hAnsi="Aptos"/>
            <w:color w:val="1D6F8A"/>
            <w:u w:val="none"/>
            <w:sz w:val="17"/>
          </w:rPr>
          <w:t>3.1 Backward-characteristic formulation</w:t>
        </w:r>
      </w:hyperlink>
      <w:r>
        <w:rPr>
          <w:sz w:val="17"/>
        </w:rPr>
        <w:tab/>
      </w:r>
      <w:r>
        <w:rPr>
          <w:rFonts w:ascii="Aptos" w:hAnsi="Aptos"/>
          <w:sz w:val="17"/>
        </w:rPr>
        <w:fldChar w:fldCharType="begin"/>
        <w:instrText xml:space="preserve"> PAGEREF toc_section_08 \h </w:instrText>
        <w:fldChar w:fldCharType="separate"/>
        <w:t>5</w:t>
        <w:fldChar w:fldCharType="end"/>
      </w:r>
    </w:p>
    <w:p>
      <w:pPr>
        <w:tabs>
          <w:tab w:pos="9864" w:val="right" w:leader="dot"/>
        </w:tabs>
        <w:spacing w:before="0" w:after="4" w:line="226" w:lineRule="auto"/>
        <w:ind w:left="317" w:right="0"/>
      </w:pPr>
      <w:hyperlink w:anchor="toc_section_09" w:history="1">
        <w:r>
          <w:rPr>
            <w:rFonts w:ascii="Aptos" w:hAnsi="Aptos"/>
            <w:color w:val="1D6F8A"/>
            <w:u w:val="none"/>
            <w:sz w:val="17"/>
          </w:rPr>
          <w:t>3.2 Output definitions</w:t>
        </w:r>
      </w:hyperlink>
      <w:r>
        <w:rPr>
          <w:sz w:val="17"/>
        </w:rPr>
        <w:tab/>
      </w:r>
      <w:r>
        <w:rPr>
          <w:rFonts w:ascii="Aptos" w:hAnsi="Aptos"/>
          <w:sz w:val="17"/>
        </w:rPr>
        <w:fldChar w:fldCharType="begin"/>
        <w:instrText xml:space="preserve"> PAGEREF toc_section_09 \h </w:instrText>
        <w:fldChar w:fldCharType="separate"/>
        <w:t>6</w:t>
        <w:fldChar w:fldCharType="end"/>
      </w:r>
    </w:p>
    <w:p>
      <w:pPr>
        <w:tabs>
          <w:tab w:pos="9864" w:val="right" w:leader="dot"/>
        </w:tabs>
        <w:spacing w:before="0" w:after="4" w:line="226" w:lineRule="auto"/>
        <w:ind w:left="317" w:right="0"/>
      </w:pPr>
      <w:hyperlink w:anchor="toc_section_10" w:history="1">
        <w:r>
          <w:rPr>
            <w:rFonts w:ascii="Aptos" w:hAnsi="Aptos"/>
            <w:color w:val="1D6F8A"/>
            <w:u w:val="none"/>
            <w:sz w:val="17"/>
          </w:rPr>
          <w:t>3.3 Required per-trajectory record</w:t>
        </w:r>
      </w:hyperlink>
      <w:r>
        <w:rPr>
          <w:sz w:val="17"/>
        </w:rPr>
        <w:tab/>
      </w:r>
      <w:r>
        <w:rPr>
          <w:rFonts w:ascii="Aptos" w:hAnsi="Aptos"/>
          <w:sz w:val="17"/>
        </w:rPr>
        <w:fldChar w:fldCharType="begin"/>
        <w:instrText xml:space="preserve"> PAGEREF toc_section_10 \h </w:instrText>
        <w:fldChar w:fldCharType="separate"/>
        <w:t>6</w:t>
        <w:fldChar w:fldCharType="end"/>
      </w:r>
    </w:p>
    <w:p>
      <w:pPr>
        <w:tabs>
          <w:tab w:pos="9864" w:val="right" w:leader="dot"/>
        </w:tabs>
        <w:spacing w:before="0" w:after="20" w:line="226" w:lineRule="auto"/>
        <w:ind w:left="0" w:right="0"/>
      </w:pPr>
      <w:hyperlink w:anchor="toc_section_11" w:history="1">
        <w:r>
          <w:rPr>
            <w:rFonts w:ascii="Aptos" w:hAnsi="Aptos"/>
            <w:color w:val="15354A"/>
            <w:u w:val="none"/>
            <w:sz w:val="18"/>
            <w:b/>
          </w:rPr>
          <w:t>4. Target architecture</w:t>
        </w:r>
      </w:hyperlink>
      <w:r>
        <w:rPr>
          <w:sz w:val="17"/>
        </w:rPr>
        <w:tab/>
      </w:r>
      <w:r>
        <w:rPr>
          <w:rFonts w:ascii="Aptos" w:hAnsi="Aptos"/>
          <w:sz w:val="17"/>
        </w:rPr>
        <w:fldChar w:fldCharType="begin"/>
        <w:instrText xml:space="preserve"> PAGEREF toc_section_11 \h </w:instrText>
        <w:fldChar w:fldCharType="separate"/>
        <w:t>7</w:t>
        <w:fldChar w:fldCharType="end"/>
      </w:r>
    </w:p>
    <w:p>
      <w:pPr>
        <w:tabs>
          <w:tab w:pos="9864" w:val="right" w:leader="dot"/>
        </w:tabs>
        <w:spacing w:before="0" w:after="4" w:line="226" w:lineRule="auto"/>
        <w:ind w:left="317" w:right="0"/>
      </w:pPr>
      <w:hyperlink w:anchor="toc_section_12" w:history="1">
        <w:r>
          <w:rPr>
            <w:rFonts w:ascii="Aptos" w:hAnsi="Aptos"/>
            <w:color w:val="1D6F8A"/>
            <w:u w:val="none"/>
            <w:sz w:val="17"/>
          </w:rPr>
          <w:t>4.1 Instrument adapter contract</w:t>
        </w:r>
      </w:hyperlink>
      <w:r>
        <w:rPr>
          <w:sz w:val="17"/>
        </w:rPr>
        <w:tab/>
      </w:r>
      <w:r>
        <w:rPr>
          <w:rFonts w:ascii="Aptos" w:hAnsi="Aptos"/>
          <w:sz w:val="17"/>
        </w:rPr>
        <w:fldChar w:fldCharType="begin"/>
        <w:instrText xml:space="preserve"> PAGEREF toc_section_12 \h </w:instrText>
        <w:fldChar w:fldCharType="separate"/>
        <w:t>7</w:t>
        <w:fldChar w:fldCharType="end"/>
      </w:r>
    </w:p>
    <w:p>
      <w:pPr>
        <w:tabs>
          <w:tab w:pos="9864" w:val="right" w:leader="dot"/>
        </w:tabs>
        <w:spacing w:before="0" w:after="4" w:line="226" w:lineRule="auto"/>
        <w:ind w:left="317" w:right="0"/>
      </w:pPr>
      <w:hyperlink w:anchor="toc_section_13" w:history="1">
        <w:r>
          <w:rPr>
            <w:rFonts w:ascii="Aptos" w:hAnsi="Aptos"/>
            <w:color w:val="1D6F8A"/>
            <w:u w:val="none"/>
            <w:sz w:val="17"/>
          </w:rPr>
          <w:t>4.2 Uncertainty products</w:t>
        </w:r>
      </w:hyperlink>
      <w:r>
        <w:rPr>
          <w:sz w:val="17"/>
        </w:rPr>
        <w:tab/>
      </w:r>
      <w:r>
        <w:rPr>
          <w:rFonts w:ascii="Aptos" w:hAnsi="Aptos"/>
          <w:sz w:val="17"/>
        </w:rPr>
        <w:fldChar w:fldCharType="begin"/>
        <w:instrText xml:space="preserve"> PAGEREF toc_section_13 \h </w:instrText>
        <w:fldChar w:fldCharType="separate"/>
        <w:t>7</w:t>
        <w:fldChar w:fldCharType="end"/>
      </w:r>
    </w:p>
    <w:p>
      <w:pPr>
        <w:tabs>
          <w:tab w:pos="9864" w:val="right" w:leader="dot"/>
        </w:tabs>
        <w:spacing w:before="0" w:after="20" w:line="226" w:lineRule="auto"/>
        <w:ind w:left="0" w:right="0"/>
      </w:pPr>
      <w:hyperlink w:anchor="toc_section_14" w:history="1">
        <w:r>
          <w:rPr>
            <w:rFonts w:ascii="Aptos" w:hAnsi="Aptos"/>
            <w:color w:val="15354A"/>
            <w:u w:val="none"/>
            <w:sz w:val="18"/>
            <w:b/>
          </w:rPr>
          <w:t>5. Development work packages and gates</w:t>
        </w:r>
      </w:hyperlink>
      <w:r>
        <w:rPr>
          <w:sz w:val="17"/>
        </w:rPr>
        <w:tab/>
      </w:r>
      <w:r>
        <w:rPr>
          <w:rFonts w:ascii="Aptos" w:hAnsi="Aptos"/>
          <w:sz w:val="17"/>
        </w:rPr>
        <w:fldChar w:fldCharType="begin"/>
        <w:instrText xml:space="preserve"> PAGEREF toc_section_14 \h </w:instrText>
        <w:fldChar w:fldCharType="separate"/>
        <w:t>8</w:t>
        <w:fldChar w:fldCharType="end"/>
      </w:r>
    </w:p>
    <w:p>
      <w:pPr>
        <w:tabs>
          <w:tab w:pos="9864" w:val="right" w:leader="dot"/>
        </w:tabs>
        <w:spacing w:before="0" w:after="4" w:line="226" w:lineRule="auto"/>
        <w:ind w:left="317" w:right="0"/>
      </w:pPr>
      <w:hyperlink w:anchor="toc_section_15" w:history="1">
        <w:r>
          <w:rPr>
            <w:rFonts w:ascii="Aptos" w:hAnsi="Aptos"/>
            <w:color w:val="1D6F8A"/>
            <w:u w:val="none"/>
            <w:sz w:val="17"/>
          </w:rPr>
          <w:t>5.1 Milestone order</w:t>
        </w:r>
      </w:hyperlink>
      <w:r>
        <w:rPr>
          <w:sz w:val="17"/>
        </w:rPr>
        <w:tab/>
      </w:r>
      <w:r>
        <w:rPr>
          <w:rFonts w:ascii="Aptos" w:hAnsi="Aptos"/>
          <w:sz w:val="17"/>
        </w:rPr>
        <w:fldChar w:fldCharType="begin"/>
        <w:instrText xml:space="preserve"> PAGEREF toc_section_15 \h </w:instrText>
        <w:fldChar w:fldCharType="separate"/>
        <w:t>9</w:t>
        <w:fldChar w:fldCharType="end"/>
      </w:r>
    </w:p>
    <w:p>
      <w:pPr>
        <w:tabs>
          <w:tab w:pos="9864" w:val="right" w:leader="dot"/>
        </w:tabs>
        <w:spacing w:before="0" w:after="4" w:line="226" w:lineRule="auto"/>
        <w:ind w:left="317" w:right="0"/>
      </w:pPr>
      <w:hyperlink w:anchor="toc_section_16" w:history="1">
        <w:r>
          <w:rPr>
            <w:rFonts w:ascii="Aptos" w:hAnsi="Aptos"/>
            <w:color w:val="1D6F8A"/>
            <w:u w:val="none"/>
            <w:sz w:val="17"/>
          </w:rPr>
          <w:t>5.2 Code implementation roadmap</w:t>
        </w:r>
      </w:hyperlink>
      <w:r>
        <w:rPr>
          <w:sz w:val="17"/>
        </w:rPr>
        <w:tab/>
      </w:r>
      <w:r>
        <w:rPr>
          <w:rFonts w:ascii="Aptos" w:hAnsi="Aptos"/>
          <w:sz w:val="17"/>
        </w:rPr>
        <w:fldChar w:fldCharType="begin"/>
        <w:instrText xml:space="preserve"> PAGEREF toc_section_16 \h </w:instrText>
        <w:fldChar w:fldCharType="separate"/>
        <w:t>9</w:t>
        <w:fldChar w:fldCharType="end"/>
      </w:r>
    </w:p>
    <w:p>
      <w:pPr>
        <w:tabs>
          <w:tab w:pos="9864" w:val="right" w:leader="dot"/>
        </w:tabs>
        <w:spacing w:before="0" w:after="4" w:line="226" w:lineRule="auto"/>
        <w:ind w:left="317" w:right="0"/>
      </w:pPr>
      <w:hyperlink w:anchor="toc_section_17" w:history="1">
        <w:r>
          <w:rPr>
            <w:rFonts w:ascii="Aptos" w:hAnsi="Aptos"/>
            <w:color w:val="1D6F8A"/>
            <w:u w:val="none"/>
            <w:sz w:val="17"/>
          </w:rPr>
          <w:t>5.3 Definition of working standalone code</w:t>
        </w:r>
      </w:hyperlink>
      <w:r>
        <w:rPr>
          <w:sz w:val="17"/>
        </w:rPr>
        <w:tab/>
      </w:r>
      <w:r>
        <w:rPr>
          <w:rFonts w:ascii="Aptos" w:hAnsi="Aptos"/>
          <w:sz w:val="17"/>
        </w:rPr>
        <w:fldChar w:fldCharType="begin"/>
        <w:instrText xml:space="preserve"> PAGEREF toc_section_17 \h </w:instrText>
        <w:fldChar w:fldCharType="separate"/>
        <w:t>14</w:t>
        <w:fldChar w:fldCharType="end"/>
      </w:r>
    </w:p>
    <w:p>
      <w:pPr>
        <w:tabs>
          <w:tab w:pos="9864" w:val="right" w:leader="dot"/>
        </w:tabs>
        <w:spacing w:before="0" w:after="4" w:line="226" w:lineRule="auto"/>
        <w:ind w:left="317" w:right="0"/>
      </w:pPr>
      <w:hyperlink w:anchor="toc_section_18" w:history="1">
        <w:r>
          <w:rPr>
            <w:rFonts w:ascii="Aptos" w:hAnsi="Aptos"/>
            <w:color w:val="1D6F8A"/>
            <w:u w:val="none"/>
            <w:sz w:val="17"/>
          </w:rPr>
          <w:t>5.4 Definition of working SWMF coupled code</w:t>
        </w:r>
      </w:hyperlink>
      <w:r>
        <w:rPr>
          <w:sz w:val="17"/>
        </w:rPr>
        <w:tab/>
      </w:r>
      <w:r>
        <w:rPr>
          <w:rFonts w:ascii="Aptos" w:hAnsi="Aptos"/>
          <w:sz w:val="17"/>
        </w:rPr>
        <w:fldChar w:fldCharType="begin"/>
        <w:instrText xml:space="preserve"> PAGEREF toc_section_18 \h </w:instrText>
        <w:fldChar w:fldCharType="separate"/>
        <w:t>14</w:t>
        <w:fldChar w:fldCharType="end"/>
      </w:r>
    </w:p>
    <w:p>
      <w:pPr>
        <w:tabs>
          <w:tab w:pos="9864" w:val="right" w:leader="dot"/>
        </w:tabs>
        <w:spacing w:before="0" w:after="20" w:line="226" w:lineRule="auto"/>
        <w:ind w:left="0" w:right="0"/>
      </w:pPr>
      <w:hyperlink w:anchor="toc_section_19" w:history="1">
        <w:r>
          <w:rPr>
            <w:rFonts w:ascii="Aptos" w:hAnsi="Aptos"/>
            <w:color w:val="15354A"/>
            <w:u w:val="none"/>
            <w:sz w:val="18"/>
            <w:b/>
          </w:rPr>
          <w:t>6. Validation taxonomy</w:t>
        </w:r>
      </w:hyperlink>
      <w:r>
        <w:rPr>
          <w:sz w:val="17"/>
        </w:rPr>
        <w:tab/>
      </w:r>
      <w:r>
        <w:rPr>
          <w:rFonts w:ascii="Aptos" w:hAnsi="Aptos"/>
          <w:sz w:val="17"/>
        </w:rPr>
        <w:fldChar w:fldCharType="begin"/>
        <w:instrText xml:space="preserve"> PAGEREF toc_section_19 \h </w:instrText>
        <w:fldChar w:fldCharType="separate"/>
        <w:t>14</w:t>
        <w:fldChar w:fldCharType="end"/>
      </w:r>
    </w:p>
    <w:p>
      <w:pPr>
        <w:tabs>
          <w:tab w:pos="9864" w:val="right" w:leader="dot"/>
        </w:tabs>
        <w:spacing w:before="0" w:after="4" w:line="226" w:lineRule="auto"/>
        <w:ind w:left="317" w:right="0"/>
      </w:pPr>
      <w:hyperlink w:anchor="toc_section_20" w:history="1">
        <w:r>
          <w:rPr>
            <w:rFonts w:ascii="Aptos" w:hAnsi="Aptos"/>
            <w:color w:val="1D6F8A"/>
            <w:u w:val="none"/>
            <w:sz w:val="17"/>
          </w:rPr>
          <w:t>6.1 Standalone numerical tests (U-Fxx)</w:t>
        </w:r>
      </w:hyperlink>
      <w:r>
        <w:rPr>
          <w:sz w:val="17"/>
        </w:rPr>
        <w:tab/>
      </w:r>
      <w:r>
        <w:rPr>
          <w:rFonts w:ascii="Aptos" w:hAnsi="Aptos"/>
          <w:sz w:val="17"/>
        </w:rPr>
        <w:fldChar w:fldCharType="begin"/>
        <w:instrText xml:space="preserve"> PAGEREF toc_section_20 \h </w:instrText>
        <w:fldChar w:fldCharType="separate"/>
        <w:t>15</w:t>
        <w:fldChar w:fldCharType="end"/>
      </w:r>
    </w:p>
    <w:p>
      <w:pPr>
        <w:tabs>
          <w:tab w:pos="9864" w:val="right" w:leader="dot"/>
        </w:tabs>
        <w:spacing w:before="0" w:after="4" w:line="226" w:lineRule="auto"/>
        <w:ind w:left="317" w:right="0"/>
      </w:pPr>
      <w:hyperlink w:anchor="toc_section_21" w:history="1">
        <w:r>
          <w:rPr>
            <w:rFonts w:ascii="Aptos" w:hAnsi="Aptos"/>
            <w:color w:val="1D6F8A"/>
            <w:u w:val="none"/>
            <w:sz w:val="17"/>
          </w:rPr>
          <w:t>6.2 Linked integration tests (I-Fxx)</w:t>
        </w:r>
      </w:hyperlink>
      <w:r>
        <w:rPr>
          <w:sz w:val="17"/>
        </w:rPr>
        <w:tab/>
      </w:r>
      <w:r>
        <w:rPr>
          <w:rFonts w:ascii="Aptos" w:hAnsi="Aptos"/>
          <w:sz w:val="17"/>
        </w:rPr>
        <w:fldChar w:fldCharType="begin"/>
        <w:instrText xml:space="preserve"> PAGEREF toc_section_21 \h </w:instrText>
        <w:fldChar w:fldCharType="separate"/>
        <w:t>16</w:t>
        <w:fldChar w:fldCharType="end"/>
      </w:r>
    </w:p>
    <w:p>
      <w:pPr>
        <w:tabs>
          <w:tab w:pos="9864" w:val="right" w:leader="dot"/>
        </w:tabs>
        <w:spacing w:before="0" w:after="20" w:line="226" w:lineRule="auto"/>
        <w:ind w:left="0" w:right="0"/>
      </w:pPr>
      <w:hyperlink w:anchor="toc_section_22" w:history="1">
        <w:r>
          <w:rPr>
            <w:rFonts w:ascii="Aptos" w:hAnsi="Aptos"/>
            <w:color w:val="15354A"/>
            <w:u w:val="none"/>
            <w:sz w:val="18"/>
            <w:b/>
          </w:rPr>
          <w:t>7. F-test evolution plan</w:t>
        </w:r>
      </w:hyperlink>
      <w:r>
        <w:rPr>
          <w:sz w:val="17"/>
        </w:rPr>
        <w:tab/>
      </w:r>
      <w:r>
        <w:rPr>
          <w:rFonts w:ascii="Aptos" w:hAnsi="Aptos"/>
          <w:sz w:val="17"/>
        </w:rPr>
        <w:fldChar w:fldCharType="begin"/>
        <w:instrText xml:space="preserve"> PAGEREF toc_section_22 \h </w:instrText>
        <w:fldChar w:fldCharType="separate"/>
        <w:t>17</w:t>
        <w:fldChar w:fldCharType="end"/>
      </w:r>
    </w:p>
    <w:p>
      <w:pPr>
        <w:tabs>
          <w:tab w:pos="9864" w:val="right" w:leader="dot"/>
        </w:tabs>
        <w:spacing w:before="0" w:after="4" w:line="226" w:lineRule="auto"/>
        <w:ind w:left="317" w:right="0"/>
      </w:pPr>
      <w:hyperlink w:anchor="toc_section_23" w:history="1">
        <w:r>
          <w:rPr>
            <w:rFonts w:ascii="Aptos" w:hAnsi="Aptos"/>
            <w:color w:val="1D6F8A"/>
            <w:u w:val="none"/>
            <w:sz w:val="17"/>
          </w:rPr>
          <w:t>7.1 Mandatory runner artifacts</w:t>
        </w:r>
      </w:hyperlink>
      <w:r>
        <w:rPr>
          <w:sz w:val="17"/>
        </w:rPr>
        <w:tab/>
      </w:r>
      <w:r>
        <w:rPr>
          <w:rFonts w:ascii="Aptos" w:hAnsi="Aptos"/>
          <w:sz w:val="17"/>
        </w:rPr>
        <w:fldChar w:fldCharType="begin"/>
        <w:instrText xml:space="preserve"> PAGEREF toc_section_23 \h </w:instrText>
        <w:fldChar w:fldCharType="separate"/>
        <w:t>18</w:t>
        <w:fldChar w:fldCharType="end"/>
      </w:r>
    </w:p>
    <w:p>
      <w:pPr>
        <w:tabs>
          <w:tab w:pos="9864" w:val="right" w:leader="dot"/>
        </w:tabs>
        <w:spacing w:before="0" w:after="20" w:line="226" w:lineRule="auto"/>
        <w:ind w:left="0" w:right="0"/>
      </w:pPr>
      <w:hyperlink w:anchor="toc_section_24" w:history="1">
        <w:r>
          <w:rPr>
            <w:rFonts w:ascii="Aptos" w:hAnsi="Aptos"/>
            <w:color w:val="15354A"/>
            <w:u w:val="none"/>
            <w:sz w:val="18"/>
            <w:b/>
          </w:rPr>
          <w:t>8. Observation validation program</w:t>
        </w:r>
      </w:hyperlink>
      <w:r>
        <w:rPr>
          <w:sz w:val="17"/>
        </w:rPr>
        <w:tab/>
      </w:r>
      <w:r>
        <w:rPr>
          <w:rFonts w:ascii="Aptos" w:hAnsi="Aptos"/>
          <w:sz w:val="17"/>
        </w:rPr>
        <w:fldChar w:fldCharType="begin"/>
        <w:instrText xml:space="preserve"> PAGEREF toc_section_24 \h </w:instrText>
        <w:fldChar w:fldCharType="separate"/>
        <w:t>18</w:t>
        <w:fldChar w:fldCharType="end"/>
      </w:r>
    </w:p>
    <w:p>
      <w:pPr>
        <w:tabs>
          <w:tab w:pos="9864" w:val="right" w:leader="dot"/>
        </w:tabs>
        <w:spacing w:before="0" w:after="4" w:line="226" w:lineRule="auto"/>
        <w:ind w:left="317" w:right="0"/>
      </w:pPr>
      <w:hyperlink w:anchor="toc_section_25" w:history="1">
        <w:r>
          <w:rPr>
            <w:rFonts w:ascii="Aptos" w:hAnsi="Aptos"/>
            <w:color w:val="1D6F8A"/>
            <w:u w:val="none"/>
            <w:sz w:val="17"/>
          </w:rPr>
          <w:t>8.1 Data and comparison protocol</w:t>
        </w:r>
      </w:hyperlink>
      <w:r>
        <w:rPr>
          <w:sz w:val="17"/>
        </w:rPr>
        <w:tab/>
      </w:r>
      <w:r>
        <w:rPr>
          <w:rFonts w:ascii="Aptos" w:hAnsi="Aptos"/>
          <w:sz w:val="17"/>
        </w:rPr>
        <w:fldChar w:fldCharType="begin"/>
        <w:instrText xml:space="preserve"> PAGEREF toc_section_25 \h </w:instrText>
        <w:fldChar w:fldCharType="separate"/>
        <w:t>19</w:t>
        <w:fldChar w:fldCharType="end"/>
      </w:r>
    </w:p>
    <w:p>
      <w:pPr>
        <w:tabs>
          <w:tab w:pos="9864" w:val="right" w:leader="dot"/>
        </w:tabs>
        <w:spacing w:before="0" w:after="4" w:line="226" w:lineRule="auto"/>
        <w:ind w:left="317" w:right="0"/>
      </w:pPr>
      <w:hyperlink w:anchor="toc_section_26" w:history="1">
        <w:r>
          <w:rPr>
            <w:rFonts w:ascii="Aptos" w:hAnsi="Aptos"/>
            <w:color w:val="1D6F8A"/>
            <w:u w:val="none"/>
            <w:sz w:val="17"/>
          </w:rPr>
          <w:t>8.2 Observation metrics</w:t>
        </w:r>
      </w:hyperlink>
      <w:r>
        <w:rPr>
          <w:sz w:val="17"/>
        </w:rPr>
        <w:tab/>
      </w:r>
      <w:r>
        <w:rPr>
          <w:rFonts w:ascii="Aptos" w:hAnsi="Aptos"/>
          <w:sz w:val="17"/>
        </w:rPr>
        <w:fldChar w:fldCharType="begin"/>
        <w:instrText xml:space="preserve"> PAGEREF toc_section_26 \h </w:instrText>
        <w:fldChar w:fldCharType="separate"/>
        <w:t>19</w:t>
        <w:fldChar w:fldCharType="end"/>
      </w:r>
    </w:p>
    <w:p>
      <w:pPr>
        <w:tabs>
          <w:tab w:pos="9864" w:val="right" w:leader="dot"/>
        </w:tabs>
        <w:spacing w:before="0" w:after="20" w:line="226" w:lineRule="auto"/>
        <w:ind w:left="0" w:right="0"/>
      </w:pPr>
      <w:hyperlink w:anchor="toc_section_27" w:history="1">
        <w:r>
          <w:rPr>
            <w:rFonts w:ascii="Aptos" w:hAnsi="Aptos"/>
            <w:color w:val="15354A"/>
            <w:u w:val="none"/>
            <w:sz w:val="18"/>
            <w:b/>
          </w:rPr>
          <w:t>9. Numerical acceptance gates</w:t>
        </w:r>
      </w:hyperlink>
      <w:r>
        <w:rPr>
          <w:sz w:val="17"/>
        </w:rPr>
        <w:tab/>
      </w:r>
      <w:r>
        <w:rPr>
          <w:rFonts w:ascii="Aptos" w:hAnsi="Aptos"/>
          <w:sz w:val="17"/>
        </w:rPr>
        <w:fldChar w:fldCharType="begin"/>
        <w:instrText xml:space="preserve"> PAGEREF toc_section_27 \h </w:instrText>
        <w:fldChar w:fldCharType="separate"/>
        <w:t>20</w:t>
        <w:fldChar w:fldCharType="end"/>
      </w:r>
    </w:p>
    <w:p>
      <w:pPr>
        <w:tabs>
          <w:tab w:pos="9864" w:val="right" w:leader="dot"/>
        </w:tabs>
        <w:spacing w:before="0" w:after="4" w:line="226" w:lineRule="auto"/>
        <w:ind w:left="317" w:right="0"/>
      </w:pPr>
      <w:hyperlink w:anchor="toc_section_28" w:history="1">
        <w:r>
          <w:rPr>
            <w:rFonts w:ascii="Aptos" w:hAnsi="Aptos"/>
            <w:color w:val="1D6F8A"/>
            <w:u w:val="none"/>
            <w:sz w:val="17"/>
          </w:rPr>
          <w:t>9.1 Release decision matrix</w:t>
        </w:r>
      </w:hyperlink>
      <w:r>
        <w:rPr>
          <w:sz w:val="17"/>
        </w:rPr>
        <w:tab/>
      </w:r>
      <w:r>
        <w:rPr>
          <w:rFonts w:ascii="Aptos" w:hAnsi="Aptos"/>
          <w:sz w:val="17"/>
        </w:rPr>
        <w:fldChar w:fldCharType="begin"/>
        <w:instrText xml:space="preserve"> PAGEREF toc_section_28 \h </w:instrText>
        <w:fldChar w:fldCharType="separate"/>
        <w:t>20</w:t>
        <w:fldChar w:fldCharType="end"/>
      </w:r>
    </w:p>
    <w:p>
      <w:pPr>
        <w:tabs>
          <w:tab w:pos="9864" w:val="right" w:leader="dot"/>
        </w:tabs>
        <w:spacing w:before="0" w:after="20" w:line="226" w:lineRule="auto"/>
        <w:ind w:left="0" w:right="0"/>
      </w:pPr>
      <w:hyperlink w:anchor="toc_section_29" w:history="1">
        <w:r>
          <w:rPr>
            <w:rFonts w:ascii="Aptos" w:hAnsi="Aptos"/>
            <w:color w:val="15354A"/>
            <w:u w:val="none"/>
            <w:sz w:val="18"/>
            <w:b/>
          </w:rPr>
          <w:t>10. Execution, CI, and evidence management</w:t>
        </w:r>
      </w:hyperlink>
      <w:r>
        <w:rPr>
          <w:sz w:val="17"/>
        </w:rPr>
        <w:tab/>
      </w:r>
      <w:r>
        <w:rPr>
          <w:rFonts w:ascii="Aptos" w:hAnsi="Aptos"/>
          <w:sz w:val="17"/>
        </w:rPr>
        <w:fldChar w:fldCharType="begin"/>
        <w:instrText xml:space="preserve"> PAGEREF toc_section_29 \h </w:instrText>
        <w:fldChar w:fldCharType="separate"/>
        <w:t>21</w:t>
        <w:fldChar w:fldCharType="end"/>
      </w:r>
    </w:p>
    <w:p>
      <w:pPr>
        <w:tabs>
          <w:tab w:pos="9864" w:val="right" w:leader="dot"/>
        </w:tabs>
        <w:spacing w:before="0" w:after="4" w:line="226" w:lineRule="auto"/>
        <w:ind w:left="317" w:right="0"/>
      </w:pPr>
      <w:hyperlink w:anchor="toc_section_30" w:history="1">
        <w:r>
          <w:rPr>
            <w:rFonts w:ascii="Aptos" w:hAnsi="Aptos"/>
            <w:color w:val="1D6F8A"/>
            <w:u w:val="none"/>
            <w:sz w:val="17"/>
          </w:rPr>
          <w:t>10.1 Test lanes</w:t>
        </w:r>
      </w:hyperlink>
      <w:r>
        <w:rPr>
          <w:sz w:val="17"/>
        </w:rPr>
        <w:tab/>
      </w:r>
      <w:r>
        <w:rPr>
          <w:rFonts w:ascii="Aptos" w:hAnsi="Aptos"/>
          <w:sz w:val="17"/>
        </w:rPr>
        <w:fldChar w:fldCharType="begin"/>
        <w:instrText xml:space="preserve"> PAGEREF toc_section_30 \h </w:instrText>
        <w:fldChar w:fldCharType="separate"/>
        <w:t>21</w:t>
        <w:fldChar w:fldCharType="end"/>
      </w:r>
    </w:p>
    <w:p>
      <w:pPr>
        <w:tabs>
          <w:tab w:pos="9864" w:val="right" w:leader="dot"/>
        </w:tabs>
        <w:spacing w:before="0" w:after="4" w:line="226" w:lineRule="auto"/>
        <w:ind w:left="317" w:right="0"/>
      </w:pPr>
      <w:hyperlink w:anchor="toc_section_31" w:history="1">
        <w:r>
          <w:rPr>
            <w:rFonts w:ascii="Aptos" w:hAnsi="Aptos"/>
            <w:color w:val="1D6F8A"/>
            <w:u w:val="none"/>
            <w:sz w:val="17"/>
          </w:rPr>
          <w:t>10.2 Required provenance manifest</w:t>
        </w:r>
      </w:hyperlink>
      <w:r>
        <w:rPr>
          <w:sz w:val="17"/>
        </w:rPr>
        <w:tab/>
      </w:r>
      <w:r>
        <w:rPr>
          <w:rFonts w:ascii="Aptos" w:hAnsi="Aptos"/>
          <w:sz w:val="17"/>
        </w:rPr>
        <w:fldChar w:fldCharType="begin"/>
        <w:instrText xml:space="preserve"> PAGEREF toc_section_31 \h </w:instrText>
        <w:fldChar w:fldCharType="separate"/>
        <w:t>21</w:t>
        <w:fldChar w:fldCharType="end"/>
      </w:r>
    </w:p>
    <w:p>
      <w:pPr>
        <w:tabs>
          <w:tab w:pos="9864" w:val="right" w:leader="dot"/>
        </w:tabs>
        <w:spacing w:before="0" w:after="4" w:line="226" w:lineRule="auto"/>
        <w:ind w:left="317" w:right="0"/>
      </w:pPr>
      <w:hyperlink w:anchor="toc_section_32" w:history="1">
        <w:r>
          <w:rPr>
            <w:rFonts w:ascii="Aptos" w:hAnsi="Aptos"/>
            <w:color w:val="1D6F8A"/>
            <w:u w:val="none"/>
            <w:sz w:val="17"/>
          </w:rPr>
          <w:t>10.3 Risk register</w:t>
        </w:r>
      </w:hyperlink>
      <w:r>
        <w:rPr>
          <w:sz w:val="17"/>
        </w:rPr>
        <w:tab/>
      </w:r>
      <w:r>
        <w:rPr>
          <w:rFonts w:ascii="Aptos" w:hAnsi="Aptos"/>
          <w:sz w:val="17"/>
        </w:rPr>
        <w:fldChar w:fldCharType="begin"/>
        <w:instrText xml:space="preserve"> PAGEREF toc_section_32 \h </w:instrText>
        <w:fldChar w:fldCharType="separate"/>
        <w:t>21</w:t>
        <w:fldChar w:fldCharType="end"/>
      </w:r>
    </w:p>
    <w:p>
      <w:pPr>
        <w:tabs>
          <w:tab w:pos="9864" w:val="right" w:leader="dot"/>
        </w:tabs>
        <w:spacing w:before="0" w:after="20" w:line="226" w:lineRule="auto"/>
        <w:ind w:left="0" w:right="0"/>
      </w:pPr>
      <w:hyperlink w:anchor="toc_section_33" w:history="1">
        <w:r>
          <w:rPr>
            <w:rFonts w:ascii="Aptos" w:hAnsi="Aptos"/>
            <w:color w:val="15354A"/>
            <w:u w:val="none"/>
            <w:sz w:val="18"/>
            <w:b/>
          </w:rPr>
          <w:t>11. First implementation increment</w:t>
        </w:r>
      </w:hyperlink>
      <w:r>
        <w:rPr>
          <w:sz w:val="17"/>
        </w:rPr>
        <w:tab/>
      </w:r>
      <w:r>
        <w:rPr>
          <w:rFonts w:ascii="Aptos" w:hAnsi="Aptos"/>
          <w:sz w:val="17"/>
        </w:rPr>
        <w:fldChar w:fldCharType="begin"/>
        <w:instrText xml:space="preserve"> PAGEREF toc_section_33 \h </w:instrText>
        <w:fldChar w:fldCharType="separate"/>
        <w:t>22</w:t>
        <w:fldChar w:fldCharType="end"/>
      </w:r>
    </w:p>
    <w:p>
      <w:pPr>
        <w:tabs>
          <w:tab w:pos="9864" w:val="right" w:leader="dot"/>
        </w:tabs>
        <w:spacing w:before="0" w:after="20" w:line="226" w:lineRule="auto"/>
        <w:ind w:left="0" w:right="0"/>
      </w:pPr>
      <w:hyperlink w:anchor="toc_section_34" w:history="1">
        <w:r>
          <w:rPr>
            <w:rFonts w:ascii="Aptos" w:hAnsi="Aptos"/>
            <w:color w:val="15354A"/>
            <w:u w:val="none"/>
            <w:sz w:val="18"/>
            <w:b/>
          </w:rPr>
          <w:t>Appendix A. Source traceability</w:t>
        </w:r>
      </w:hyperlink>
      <w:r>
        <w:rPr>
          <w:sz w:val="17"/>
        </w:rPr>
        <w:tab/>
      </w:r>
      <w:r>
        <w:rPr>
          <w:rFonts w:ascii="Aptos" w:hAnsi="Aptos"/>
          <w:sz w:val="17"/>
        </w:rPr>
        <w:fldChar w:fldCharType="begin"/>
        <w:instrText xml:space="preserve"> PAGEREF toc_section_34 \h </w:instrText>
        <w:fldChar w:fldCharType="separate"/>
        <w:t>22</w:t>
        <w:fldChar w:fldCharType="end"/>
      </w:r>
    </w:p>
    <w:p>
      <w:pPr>
        <w:tabs>
          <w:tab w:pos="9864" w:val="right" w:leader="dot"/>
        </w:tabs>
        <w:spacing w:before="0" w:after="20" w:line="226" w:lineRule="auto"/>
        <w:ind w:left="0" w:right="0"/>
      </w:pPr>
      <w:hyperlink w:anchor="toc_section_35" w:history="1">
        <w:r>
          <w:rPr>
            <w:rFonts w:ascii="Aptos" w:hAnsi="Aptos"/>
            <w:color w:val="15354A"/>
            <w:u w:val="none"/>
            <w:sz w:val="18"/>
            <w:b/>
          </w:rPr>
          <w:t>Appendix B. External observation basis</w:t>
        </w:r>
      </w:hyperlink>
      <w:r>
        <w:rPr>
          <w:sz w:val="17"/>
        </w:rPr>
        <w:tab/>
      </w:r>
      <w:r>
        <w:rPr>
          <w:rFonts w:ascii="Aptos" w:hAnsi="Aptos"/>
          <w:sz w:val="17"/>
        </w:rPr>
        <w:fldChar w:fldCharType="begin"/>
        <w:instrText xml:space="preserve"> PAGEREF toc_section_35 \h </w:instrText>
        <w:fldChar w:fldCharType="separate"/>
        <w:t>23</w:t>
        <w:fldChar w:fldCharType="end"/>
      </w:r>
    </w:p>
    <w:p>
      <w:pPr>
        <w:tabs>
          <w:tab w:pos="9864" w:val="right" w:leader="dot"/>
        </w:tabs>
        <w:spacing w:before="0" w:after="20" w:line="226" w:lineRule="auto"/>
        <w:ind w:left="0" w:right="0"/>
      </w:pPr>
      <w:hyperlink w:anchor="toc_section_36" w:history="1">
        <w:r>
          <w:rPr>
            <w:rFonts w:ascii="Aptos" w:hAnsi="Aptos"/>
            <w:color w:val="15354A"/>
            <w:u w:val="none"/>
            <w:sz w:val="18"/>
            <w:b/>
          </w:rPr>
          <w:t>Appendix C. Decisions to freeze at M0</w:t>
        </w:r>
      </w:hyperlink>
      <w:r>
        <w:rPr>
          <w:sz w:val="17"/>
        </w:rPr>
        <w:tab/>
      </w:r>
      <w:r>
        <w:rPr>
          <w:rFonts w:ascii="Aptos" w:hAnsi="Aptos"/>
          <w:sz w:val="17"/>
        </w:rPr>
        <w:fldChar w:fldCharType="begin"/>
        <w:instrText xml:space="preserve"> PAGEREF toc_section_36 \h </w:instrText>
        <w:fldChar w:fldCharType="separate"/>
        <w:t>23</w:t>
        <w:fldChar w:fldCharType="end"/>
      </w:r>
    </w:p>
    <w:p>
      <w:pPr>
        <w:tabs>
          <w:tab w:pos="9864" w:val="right" w:leader="dot"/>
        </w:tabs>
        <w:spacing w:before="0" w:after="20" w:line="226" w:lineRule="auto"/>
        <w:ind w:left="0" w:right="0"/>
      </w:pPr>
      <w:hyperlink w:anchor="toc_appendix_d_tests" w:history="1">
        <w:r>
          <w:rPr>
            <w:rFonts w:ascii="Aptos" w:hAnsi="Aptos"/>
            <w:color w:val="15354A"/>
            <w:u w:val="none"/>
            <w:sz w:val="18"/>
            <w:b/>
          </w:rPr>
          <w:t>Appendix D. Complete test specifications</w:t>
        </w:r>
      </w:hyperlink>
      <w:r>
        <w:rPr>
          <w:sz w:val="17"/>
        </w:rPr>
        <w:tab/>
      </w:r>
      <w:r>
        <w:rPr>
          <w:rFonts w:ascii="Aptos" w:hAnsi="Aptos"/>
          <w:sz w:val="17"/>
        </w:rPr>
        <w:fldChar w:fldCharType="begin"/>
        <w:instrText xml:space="preserve"> PAGEREF toc_appendix_d_tests \h </w:instrText>
        <w:fldChar w:fldCharType="separate"/>
        <w:t>24</w:t>
        <w:fldChar w:fldCharType="end"/>
      </w:r>
    </w:p>
    <w:p>
      <w:r>
        <w:br w:type="page"/>
      </w:r>
    </w:p>
    <w:p>
      <w:pPr>
        <w:pStyle w:val="Heading1"/>
      </w:pPr>
      <w:bookmarkStart w:id="100" w:name="toc_section_01"/>
      <w:r>
        <w:t>1. Executive summary</w:t>
      </w:r>
      <w:bookmarkEnd w:id="100"/>
    </w:p>
    <w:p>
      <w:r>
        <w:t>The cutoff capability is a sound foundation for a flux model, but the extension is not just a post-processing integral. A defensible flux product must preserve directional access, map the boundary phase-space distribution along each characteristic, distinguish unresolved trajectories from physical exclusion, and fold the result through the observing instrument.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5354A"/>
            <w:tcMar>
              <w:top w:w="70" w:type="dxa"/>
              <w:start w:w="90" w:type="dxa"/>
              <w:bottom w:w="70" w:type="dxa"/>
              <w:end w:w="90" w:type="dxa"/>
            </w:tcMar>
            <w:vAlign w:val="center"/>
          </w:tcPr>
          <w:p>
            <w:pPr>
              <w:spacing w:after="0"/>
              <w:jc w:val="left"/>
            </w:pPr>
            <w:r>
              <w:rPr>
                <w:b/>
                <w:color w:val="FFFFFF"/>
                <w:sz w:val="16"/>
              </w:rPr>
              <w:t>Question</w:t>
            </w:r>
          </w:p>
        </w:tc>
        <w:tc>
          <w:tcPr>
            <w:tcW w:type="dxa" w:w="3960"/>
            <w:shd w:fill="15354A"/>
            <w:tcMar>
              <w:top w:w="70" w:type="dxa"/>
              <w:start w:w="90" w:type="dxa"/>
              <w:bottom w:w="70" w:type="dxa"/>
              <w:end w:w="90" w:type="dxa"/>
            </w:tcMar>
            <w:vAlign w:val="center"/>
          </w:tcPr>
          <w:p>
            <w:pPr>
              <w:spacing w:after="0"/>
              <w:jc w:val="left"/>
            </w:pPr>
            <w:r>
              <w:rPr>
                <w:b/>
                <w:color w:val="FFFFFF"/>
                <w:sz w:val="16"/>
              </w:rPr>
              <w:t>Assessment</w:t>
            </w:r>
          </w:p>
        </w:tc>
        <w:tc>
          <w:tcPr>
            <w:tcW w:type="dxa" w:w="4031"/>
            <w:shd w:fill="15354A"/>
            <w:tcMar>
              <w:top w:w="70" w:type="dxa"/>
              <w:start w:w="90" w:type="dxa"/>
              <w:bottom w:w="70" w:type="dxa"/>
              <w:end w:w="90" w:type="dxa"/>
            </w:tcMar>
            <w:vAlign w:val="center"/>
          </w:tcPr>
          <w:p>
            <w:pPr>
              <w:spacing w:after="0"/>
              <w:jc w:val="left"/>
            </w:pPr>
            <w:r>
              <w:rPr>
                <w:b/>
                <w:color w:val="FFFFFF"/>
                <w:sz w:val="16"/>
              </w:rPr>
              <w:t>Program consequence</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Can the present gridless path produce a first spectrum/flux product?</w:t>
            </w:r>
          </w:p>
        </w:tc>
        <w:tc>
          <w:tcPr>
            <w:tcW w:type="dxa" w:w="3960"/>
            <w:tcMar>
              <w:top w:w="70" w:type="dxa"/>
              <w:start w:w="90" w:type="dxa"/>
              <w:bottom w:w="70" w:type="dxa"/>
              <w:end w:w="90" w:type="dxa"/>
            </w:tcMar>
            <w:vAlign w:val="top"/>
          </w:tcPr>
          <w:p>
            <w:pPr>
              <w:spacing w:after="0" w:line="240" w:lineRule="auto"/>
            </w:pPr>
            <w:r>
              <w:rPr>
                <w:sz w:val="16"/>
              </w:rPr>
              <w:t>Yes, for quasi-static, collisionless, directly connected populations. It already computes T(E), Jlocal(E)=T(E)Jboundary(E), density, and integral channels.</w:t>
            </w:r>
          </w:p>
        </w:tc>
        <w:tc>
          <w:tcPr>
            <w:tcW w:type="dxa" w:w="4031"/>
            <w:tcMar>
              <w:top w:w="70" w:type="dxa"/>
              <w:start w:w="90" w:type="dxa"/>
              <w:bottom w:w="70" w:type="dxa"/>
              <w:end w:w="90" w:type="dxa"/>
            </w:tcMar>
            <w:vAlign w:val="top"/>
          </w:tcPr>
          <w:p>
            <w:pPr>
              <w:spacing w:after="0" w:line="240" w:lineRule="auto"/>
            </w:pPr>
            <w:r>
              <w:rPr>
                <w:sz w:val="16"/>
              </w:rPr>
              <w:t>Harden and validate this path first; explicitly label its domain of validity.</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Is the Mode3D path ready for publication-grade fluxes?</w:t>
            </w:r>
          </w:p>
        </w:tc>
        <w:tc>
          <w:tcPr>
            <w:tcW w:type="dxa" w:w="3960"/>
            <w:shd w:fill="F8FAFB"/>
            <w:tcMar>
              <w:top w:w="70" w:type="dxa"/>
              <w:start w:w="90" w:type="dxa"/>
              <w:bottom w:w="70" w:type="dxa"/>
              <w:end w:w="90" w:type="dxa"/>
            </w:tcMar>
            <w:vAlign w:val="top"/>
          </w:tcPr>
          <w:p>
            <w:pPr>
              <w:spacing w:after="0" w:line="240" w:lineRule="auto"/>
            </w:pPr>
            <w:r>
              <w:rPr>
                <w:sz w:val="16"/>
              </w:rPr>
              <w:t>No. It has no F-test coverage, contains a quadratic expression in the LINEAR energy-grid branch, and collapses unresolved trajectories into the same scalar result as physical blocking.</w:t>
            </w:r>
          </w:p>
        </w:tc>
        <w:tc>
          <w:tcPr>
            <w:tcW w:type="dxa" w:w="4031"/>
            <w:shd w:fill="F8FAFB"/>
            <w:tcMar>
              <w:top w:w="70" w:type="dxa"/>
              <w:start w:w="90" w:type="dxa"/>
              <w:bottom w:w="70" w:type="dxa"/>
              <w:end w:w="90" w:type="dxa"/>
            </w:tcMar>
            <w:vAlign w:val="top"/>
          </w:tcPr>
          <w:p>
            <w:pPr>
              <w:spacing w:after="0" w:line="240" w:lineRule="auto"/>
            </w:pPr>
            <w:r>
              <w:rPr>
                <w:sz w:val="16"/>
              </w:rPr>
              <w:t>Fix parity and accounting defects before using mesh-field flux results for science claims.</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Is the forward solver ready to model trapped populations?</w:t>
            </w:r>
          </w:p>
        </w:tc>
        <w:tc>
          <w:tcPr>
            <w:tcW w:type="dxa" w:w="3960"/>
            <w:tcMar>
              <w:top w:w="70" w:type="dxa"/>
              <w:start w:w="90" w:type="dxa"/>
              <w:bottom w:w="70" w:type="dxa"/>
              <w:end w:w="90" w:type="dxa"/>
            </w:tcMar>
            <w:vAlign w:val="top"/>
          </w:tcPr>
          <w:p>
            <w:pPr>
              <w:spacing w:after="0" w:line="240" w:lineRule="auto"/>
            </w:pPr>
            <w:r>
              <w:rPr>
                <w:sz w:val="16"/>
              </w:rPr>
              <w:t>No. Forward density/surface samplers exist, but no F-test exercises them and several configuration/physics branches remain reserved or unimplemented.</w:t>
            </w:r>
          </w:p>
        </w:tc>
        <w:tc>
          <w:tcPr>
            <w:tcW w:type="dxa" w:w="4031"/>
            <w:tcMar>
              <w:top w:w="70" w:type="dxa"/>
              <w:start w:w="90" w:type="dxa"/>
              <w:bottom w:w="70" w:type="dxa"/>
              <w:end w:w="90" w:type="dxa"/>
            </w:tcMar>
            <w:vAlign w:val="top"/>
          </w:tcPr>
          <w:p>
            <w:pPr>
              <w:spacing w:after="0" w:line="240" w:lineRule="auto"/>
            </w:pPr>
            <w:r>
              <w:rPr>
                <w:sz w:val="16"/>
              </w:rPr>
              <w:t>Use forward mode only after static backward/forward closure, conservation, residence-time, and loss tests pass.</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What is the primary observational risk?</w:t>
            </w:r>
          </w:p>
        </w:tc>
        <w:tc>
          <w:tcPr>
            <w:tcW w:type="dxa" w:w="3960"/>
            <w:shd w:fill="F8FAFB"/>
            <w:tcMar>
              <w:top w:w="70" w:type="dxa"/>
              <w:start w:w="90" w:type="dxa"/>
              <w:bottom w:w="70" w:type="dxa"/>
              <w:end w:w="90" w:type="dxa"/>
            </w:tcMar>
            <w:vAlign w:val="top"/>
          </w:tcPr>
          <w:p>
            <w:pPr>
              <w:spacing w:after="0" w:line="240" w:lineRule="auto"/>
            </w:pPr>
            <w:r>
              <w:rPr>
                <w:sz w:val="16"/>
              </w:rPr>
              <w:t>Comparing omnidirectional model intensity directly with channel data whose aperture, energy response, attitude, background, and cadence differ.</w:t>
            </w:r>
          </w:p>
        </w:tc>
        <w:tc>
          <w:tcPr>
            <w:tcW w:type="dxa" w:w="4031"/>
            <w:shd w:fill="F8FAFB"/>
            <w:tcMar>
              <w:top w:w="70" w:type="dxa"/>
              <w:start w:w="90" w:type="dxa"/>
              <w:bottom w:w="70" w:type="dxa"/>
              <w:end w:w="90" w:type="dxa"/>
            </w:tcMar>
            <w:vAlign w:val="top"/>
          </w:tcPr>
          <w:p>
            <w:pPr>
              <w:spacing w:after="0" w:line="240" w:lineRule="auto"/>
            </w:pPr>
            <w:r>
              <w:rPr>
                <w:sz w:val="16"/>
              </w:rPr>
              <w:t>Make the instrument response adapter part of the validated production pipeline, not an afterthought.</w:t>
            </w:r>
          </w:p>
        </w:tc>
      </w:tr>
    </w:tbl>
    <w:p>
      <w:pPr>
        <w:spacing w:after="0"/>
      </w:pPr>
    </w:p>
    <w:p>
      <w:pPr>
        <w:pStyle w:val="Heading2"/>
      </w:pPr>
      <w:bookmarkStart w:id="101" w:name="toc_section_02"/>
      <w:r>
        <w:t>Recommended sequence</w:t>
      </w:r>
      <w:bookmarkEnd w:id="101"/>
    </w:p>
    <w:p>
      <w:pPr>
        <w:pStyle w:val="ListNumber"/>
      </w:pPr>
      <w:r>
        <w:t>Freeze the output/units/termination contract and establish a reproducible baseline.</w:t>
      </w:r>
    </w:p>
    <w:p>
      <w:pPr>
        <w:pStyle w:val="ListNumber"/>
      </w:pPr>
      <w:r>
        <w:t>Extract shared production kernels and remove known parity defects.</w:t>
      </w:r>
    </w:p>
    <w:p>
      <w:pPr>
        <w:pStyle w:val="ListNumber"/>
      </w:pPr>
      <w:r>
        <w:t>Upgrade the backward result from scalar T(E) to directional phase-space mapping A(E, Ω) with asymptotic state and uncertainty bounds.</w:t>
      </w:r>
    </w:p>
    <w:p>
      <w:pPr>
        <w:pStyle w:val="ListNumber"/>
      </w:pPr>
      <w:r>
        <w:t>Add response folding, ephemeris/attitude handling, and time-interpolated boundary spectra.</w:t>
      </w:r>
    </w:p>
    <w:p>
      <w:pPr>
        <w:pStyle w:val="ListNumber"/>
      </w:pPr>
      <w:r>
        <w:t>Pass standalone numerical U-tests and linked integration I-tests before extending the F-suite.</w:t>
      </w:r>
    </w:p>
    <w:p>
      <w:pPr>
        <w:pStyle w:val="ListNumber"/>
      </w:pPr>
      <w:r>
        <w:t>Validate on independent multi-platform events, then run one frozen holdout event without retuning.</w:t>
      </w:r>
    </w:p>
    <w:p>
      <w:pPr>
        <w:pStyle w:val="ListNumber"/>
      </w:pPr>
      <w:r>
        <w:t>Only then add dynamic E/B characteristics and forward/trapped-population physics.</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EAF4F8"/>
            <w:tcMar>
              <w:top w:w="140" w:type="dxa"/>
              <w:start w:w="180" w:type="dxa"/>
              <w:bottom w:w="140" w:type="dxa"/>
              <w:end w:w="180" w:type="dxa"/>
            </w:tcMar>
          </w:tcPr>
          <w:p>
            <w:pPr>
              <w:spacing w:after="60"/>
            </w:pPr>
            <w:r>
              <w:rPr>
                <w:b/>
                <w:color w:val="15354A"/>
              </w:rPr>
              <w:t>Minimum publishable capability</w:t>
            </w:r>
          </w:p>
          <w:p>
            <w:pPr>
              <w:spacing w:after="0" w:line="252" w:lineRule="auto"/>
            </w:pPr>
            <w:r>
              <w:t>Static or quasi-static magnetic snapshots; SEP/GCR protons first; per-direction access and termination; detector-response-folded spectra and rates; numerical convergence evidence; unresolved lower/upper bounds; comparison with at least one GEO, one LEO, and one inner-magnetosphere data set; no platform-specific normalization factors.</w:t>
            </w:r>
          </w:p>
        </w:tc>
      </w:tr>
    </w:tbl>
    <w:p>
      <w:pPr>
        <w:spacing w:after="0"/>
      </w:pPr>
    </w:p>
    <w:p>
      <w:pPr>
        <w:pStyle w:val="Heading1"/>
      </w:pPr>
      <w:bookmarkStart w:id="102" w:name="toc_section_03"/>
      <w:r>
        <w:t>2. Code and test audit</w:t>
      </w:r>
      <w:bookmarkEnd w:id="102"/>
    </w:p>
    <w:p>
      <w:r>
        <w:t>The assessment combines static source review, the implemented Steps 2–9 validation suites, and the linked C/F regression contracts. Dependency-free unit and contract suites now cover numerical kernels, immutable field snapshots, trajectory/event handling, directional access, boundary products, standalone campaign logic, SWMF snapshot replay, GEOPACK tilt, and test-runner transactions. Linked C/F tests remain the authority for end-to-end executable behavior; cases that require external observations or reference services are identified explicitly and may not be reported as passing without the comparison artifact.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5354A"/>
            <w:tcMar>
              <w:top w:w="70" w:type="dxa"/>
              <w:start w:w="90" w:type="dxa"/>
              <w:bottom w:w="70" w:type="dxa"/>
              <w:end w:w="90" w:type="dxa"/>
            </w:tcMar>
            <w:vAlign w:val="center"/>
          </w:tcPr>
          <w:p>
            <w:pPr>
              <w:spacing w:after="0"/>
              <w:jc w:val="left"/>
            </w:pPr>
            <w:r>
              <w:rPr>
                <w:b/>
                <w:color w:val="FFFFFF"/>
                <w:sz w:val="16"/>
              </w:rPr>
              <w:t>Evidence</w:t>
            </w:r>
          </w:p>
        </w:tc>
        <w:tc>
          <w:tcPr>
            <w:tcW w:type="dxa" w:w="4608"/>
            <w:shd w:fill="15354A"/>
            <w:tcMar>
              <w:top w:w="70" w:type="dxa"/>
              <w:start w:w="90" w:type="dxa"/>
              <w:bottom w:w="70" w:type="dxa"/>
              <w:end w:w="90" w:type="dxa"/>
            </w:tcMar>
            <w:vAlign w:val="center"/>
          </w:tcPr>
          <w:p>
            <w:pPr>
              <w:spacing w:after="0"/>
              <w:jc w:val="left"/>
            </w:pPr>
            <w:r>
              <w:rPr>
                <w:b/>
                <w:color w:val="FFFFFF"/>
                <w:sz w:val="16"/>
              </w:rPr>
              <w:t>Observed state</w:t>
            </w:r>
          </w:p>
        </w:tc>
        <w:tc>
          <w:tcPr>
            <w:tcW w:type="dxa" w:w="3384"/>
            <w:shd w:fill="15354A"/>
            <w:tcMar>
              <w:top w:w="70" w:type="dxa"/>
              <w:start w:w="90" w:type="dxa"/>
              <w:bottom w:w="70" w:type="dxa"/>
              <w:end w:w="90" w:type="dxa"/>
            </w:tcMar>
            <w:vAlign w:val="center"/>
          </w:tcPr>
          <w:p>
            <w:pPr>
              <w:spacing w:after="0"/>
              <w:jc w:val="left"/>
            </w:pPr>
            <w:r>
              <w:rPr>
                <w:b/>
                <w:color w:val="FFFFFF"/>
                <w:sz w:val="16"/>
              </w:rPr>
              <w:t>Confidence / limitation</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Existing functional suite</w:t>
            </w:r>
          </w:p>
        </w:tc>
        <w:tc>
          <w:tcPr>
            <w:tcW w:type="dxa" w:w="4608"/>
            <w:tcMar>
              <w:top w:w="70" w:type="dxa"/>
              <w:start w:w="90" w:type="dxa"/>
              <w:bottom w:w="70" w:type="dxa"/>
              <w:end w:w="90" w:type="dxa"/>
            </w:tcMar>
            <w:vAlign w:val="top"/>
          </w:tcPr>
          <w:p>
            <w:pPr>
              <w:spacing w:after="0" w:line="240" w:lineRule="auto"/>
            </w:pPr>
            <w:r>
              <w:rPr>
                <w:sz w:val="16"/>
              </w:rPr>
              <w:t>F1–F5, F11, F12, F15, F16 are present; all runners invoke -mode gridless.</w:t>
            </w:r>
          </w:p>
        </w:tc>
        <w:tc>
          <w:tcPr>
            <w:tcW w:type="dxa" w:w="3384"/>
            <w:tcMar>
              <w:top w:w="70" w:type="dxa"/>
              <w:start w:w="90" w:type="dxa"/>
              <w:bottom w:w="70" w:type="dxa"/>
              <w:end w:w="90" w:type="dxa"/>
            </w:tcMar>
            <w:vAlign w:val="top"/>
          </w:tcPr>
          <w:p>
            <w:pPr>
              <w:spacing w:after="0" w:line="240" w:lineRule="auto"/>
            </w:pPr>
            <w:r>
              <w:rPr>
                <w:sz w:val="16"/>
              </w:rPr>
              <w:t>High confidence from runner inspection and dry-run output.</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Standalone numerical test</w:t>
            </w:r>
          </w:p>
        </w:tc>
        <w:tc>
          <w:tcPr>
            <w:tcW w:type="dxa" w:w="4608"/>
            <w:shd w:fill="F8FAFB"/>
            <w:tcMar>
              <w:top w:w="70" w:type="dxa"/>
              <w:start w:w="90" w:type="dxa"/>
              <w:bottom w:w="70" w:type="dxa"/>
              <w:end w:w="90" w:type="dxa"/>
            </w:tcMar>
            <w:vAlign w:val="top"/>
          </w:tcPr>
          <w:p>
            <w:pPr>
              <w:spacing w:after="0" w:line="240" w:lineRule="auto"/>
            </w:pPr>
            <w:r>
              <w:rPr>
                <w:sz w:val="16"/>
              </w:rPr>
              <w:t>srcEarth/test/F3/run_boundary_unit_test.py reports trajectory boundary/termination/trapping tests PASS.</w:t>
            </w:r>
          </w:p>
        </w:tc>
        <w:tc>
          <w:tcPr>
            <w:tcW w:type="dxa" w:w="3384"/>
            <w:shd w:fill="F8FAFB"/>
            <w:tcMar>
              <w:top w:w="70" w:type="dxa"/>
              <w:start w:w="90" w:type="dxa"/>
              <w:bottom w:w="70" w:type="dxa"/>
              <w:end w:w="90" w:type="dxa"/>
            </w:tcMar>
            <w:vAlign w:val="top"/>
          </w:tcPr>
          <w:p>
            <w:pPr>
              <w:spacing w:after="0" w:line="240" w:lineRule="auto"/>
            </w:pPr>
            <w:r>
              <w:rPr>
                <w:sz w:val="16"/>
              </w:rPr>
              <w:t>Directly executed; does not exercise the linked production executable.</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Cutoff suite</w:t>
            </w:r>
          </w:p>
        </w:tc>
        <w:tc>
          <w:tcPr>
            <w:tcW w:type="dxa" w:w="4608"/>
            <w:tcMar>
              <w:top w:w="70" w:type="dxa"/>
              <w:start w:w="90" w:type="dxa"/>
              <w:bottom w:w="70" w:type="dxa"/>
              <w:end w:w="90" w:type="dxa"/>
            </w:tcMar>
            <w:vAlign w:val="top"/>
          </w:tcPr>
          <w:p>
            <w:pPr>
              <w:spacing w:after="0" w:line="240" w:lineRule="auto"/>
            </w:pPr>
            <w:r>
              <w:rPr>
                <w:sz w:val="16"/>
              </w:rPr>
              <w:t>C1–C19 directories exist with broad analytic, cross-solver, and observational intent; runner maturity is uneven.</w:t>
            </w:r>
          </w:p>
        </w:tc>
        <w:tc>
          <w:tcPr>
            <w:tcW w:type="dxa" w:w="3384"/>
            <w:tcMar>
              <w:top w:w="70" w:type="dxa"/>
              <w:start w:w="90" w:type="dxa"/>
              <w:bottom w:w="70" w:type="dxa"/>
              <w:end w:w="90" w:type="dxa"/>
            </w:tcMar>
            <w:vAlign w:val="top"/>
          </w:tcPr>
          <w:p>
            <w:pPr>
              <w:spacing w:after="0" w:line="240" w:lineRule="auto"/>
            </w:pPr>
            <w:r>
              <w:rPr>
                <w:sz w:val="16"/>
              </w:rPr>
              <w:t>Useful foundation; flux extension still needs independent U/I/F/O gates.</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Mesh-field flux</w:t>
            </w:r>
          </w:p>
        </w:tc>
        <w:tc>
          <w:tcPr>
            <w:tcW w:type="dxa" w:w="4608"/>
            <w:shd w:fill="F8FAFB"/>
            <w:tcMar>
              <w:top w:w="70" w:type="dxa"/>
              <w:start w:w="90" w:type="dxa"/>
              <w:bottom w:w="70" w:type="dxa"/>
              <w:end w:w="90" w:type="dxa"/>
            </w:tcMar>
            <w:vAlign w:val="top"/>
          </w:tcPr>
          <w:p>
            <w:pPr>
              <w:spacing w:after="0" w:line="240" w:lineRule="auto"/>
            </w:pPr>
            <w:r>
              <w:rPr>
                <w:sz w:val="16"/>
              </w:rPr>
              <w:t>DensityMode3D.cpp implements spectrum, density, and channel outputs.</w:t>
            </w:r>
          </w:p>
        </w:tc>
        <w:tc>
          <w:tcPr>
            <w:tcW w:type="dxa" w:w="3384"/>
            <w:shd w:fill="F8FAFB"/>
            <w:tcMar>
              <w:top w:w="70" w:type="dxa"/>
              <w:start w:w="90" w:type="dxa"/>
              <w:bottom w:w="70" w:type="dxa"/>
              <w:end w:w="90" w:type="dxa"/>
            </w:tcMar>
            <w:vAlign w:val="top"/>
          </w:tcPr>
          <w:p>
            <w:pPr>
              <w:spacing w:after="0" w:line="240" w:lineRule="auto"/>
            </w:pPr>
            <w:r>
              <w:rPr>
                <w:sz w:val="16"/>
              </w:rPr>
              <w:t>Unvalidated by the current F suite.</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Forward flux/density</w:t>
            </w:r>
          </w:p>
        </w:tc>
        <w:tc>
          <w:tcPr>
            <w:tcW w:type="dxa" w:w="4608"/>
            <w:tcMar>
              <w:top w:w="70" w:type="dxa"/>
              <w:start w:w="90" w:type="dxa"/>
              <w:bottom w:w="70" w:type="dxa"/>
              <w:end w:w="90" w:type="dxa"/>
            </w:tcMar>
            <w:vAlign w:val="top"/>
          </w:tcPr>
          <w:p>
            <w:pPr>
              <w:spacing w:after="0" w:line="240" w:lineRule="auto"/>
            </w:pPr>
            <w:r>
              <w:rPr>
                <w:sz w:val="16"/>
              </w:rPr>
              <w:t>3d_forward contains volumetric density and inner-sphere incident-flux samplers.</w:t>
            </w:r>
          </w:p>
        </w:tc>
        <w:tc>
          <w:tcPr>
            <w:tcW w:type="dxa" w:w="3384"/>
            <w:tcMar>
              <w:top w:w="70" w:type="dxa"/>
              <w:start w:w="90" w:type="dxa"/>
              <w:bottom w:w="70" w:type="dxa"/>
              <w:end w:w="90" w:type="dxa"/>
            </w:tcMar>
            <w:vAlign w:val="top"/>
          </w:tcPr>
          <w:p>
            <w:pPr>
              <w:spacing w:after="0" w:line="240" w:lineRule="auto"/>
            </w:pPr>
            <w:r>
              <w:rPr>
                <w:sz w:val="16"/>
              </w:rPr>
              <w:t>No test under srcEarth/test/F* references or executes 3d_forward.</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Build/run baseline</w:t>
            </w:r>
          </w:p>
        </w:tc>
        <w:tc>
          <w:tcPr>
            <w:tcW w:type="dxa" w:w="4608"/>
            <w:shd w:fill="F8FAFB"/>
            <w:tcMar>
              <w:top w:w="70" w:type="dxa"/>
              <w:start w:w="90" w:type="dxa"/>
              <w:bottom w:w="70" w:type="dxa"/>
              <w:end w:w="90" w:type="dxa"/>
            </w:tcMar>
            <w:vAlign w:val="top"/>
          </w:tcPr>
          <w:p>
            <w:pPr>
              <w:spacing w:after="0" w:line="240" w:lineRule="auto"/>
            </w:pPr>
            <w:r>
              <w:rPr>
                <w:sz w:val="16"/>
              </w:rPr>
              <w:t>No amps executable or Makefile.conf in the supplied package.</w:t>
            </w:r>
          </w:p>
        </w:tc>
        <w:tc>
          <w:tcPr>
            <w:tcW w:type="dxa" w:w="3384"/>
            <w:shd w:fill="F8FAFB"/>
            <w:tcMar>
              <w:top w:w="70" w:type="dxa"/>
              <w:start w:w="90" w:type="dxa"/>
              <w:bottom w:w="70" w:type="dxa"/>
              <w:end w:w="90" w:type="dxa"/>
            </w:tcMar>
            <w:vAlign w:val="top"/>
          </w:tcPr>
          <w:p>
            <w:pPr>
              <w:spacing w:after="0" w:line="240" w:lineRule="auto"/>
            </w:pPr>
            <w:r>
              <w:rPr>
                <w:sz w:val="16"/>
              </w:rPr>
              <w:t>Linked-runtime conclusions remain provisional until CI or a configured AMPS tree is used.</w:t>
            </w:r>
          </w:p>
        </w:tc>
      </w:tr>
    </w:tbl>
    <w:p>
      <w:pPr>
        <w:spacing w:after="0"/>
      </w:pPr>
    </w:p>
    <w:p>
      <w:pPr>
        <w:pStyle w:val="Heading2"/>
      </w:pPr>
      <w:bookmarkStart w:id="103" w:name="toc_section_04"/>
      <w:r>
        <w:t>2.1 What already works in the gridless path</w:t>
      </w:r>
      <w:bookmarkEnd w:id="103"/>
    </w:p>
    <w:p>
      <w:pPr>
        <w:pStyle w:val="ListBullet"/>
      </w:pPr>
      <w:r>
        <w:t>Backward tracing at a target point over an energy/rigidity grid and a deterministic 24 × 48 direction grid.</w:t>
      </w:r>
    </w:p>
    <w:p>
      <w:pPr>
        <w:pStyle w:val="ListBullet"/>
      </w:pPr>
      <w:r>
        <w:t>Directional allowed/forbidden classification with explicit outer-allowed, inner-forbidden, bounce/drift-trapped, time, step, distance, invalid-field, and numerical-failure terminations.</w:t>
      </w:r>
    </w:p>
    <w:p>
      <w:pPr>
        <w:pStyle w:val="ListBullet"/>
      </w:pPr>
      <w:r>
        <w:t>Resolved-only transmissivity, boundary-spectrum folding, local differential spectrum, number density, full-range integral, and named energy channels.</w:t>
      </w:r>
    </w:p>
    <w:p>
      <w:pPr>
        <w:pStyle w:val="ListBullet"/>
      </w:pPr>
      <w:r>
        <w:t>Point, trajectory, and shell outputs; static and time-indexed boundary spectra; optional PAD/spatial weighting.</w:t>
      </w:r>
    </w:p>
    <w:p>
      <w:pPr>
        <w:pStyle w:val="ListBullet"/>
      </w:pPr>
      <w:r>
        <w:t>Lossless numeric output and a termination summary that exposes unresolved fractions.</w:t>
      </w:r>
    </w:p>
    <w:p>
      <w:pPr>
        <w:pStyle w:val="Heading2"/>
      </w:pPr>
      <w:bookmarkStart w:id="104" w:name="toc_section_05"/>
      <w:r>
        <w:t>2.2 Publication-blocking findings</w:t>
      </w:r>
      <w:bookmarkEnd w:id="104"/>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20"/>
            <w:shd w:fill="15354A"/>
            <w:tcMar>
              <w:top w:w="70" w:type="dxa"/>
              <w:start w:w="90" w:type="dxa"/>
              <w:bottom w:w="70" w:type="dxa"/>
              <w:end w:w="90" w:type="dxa"/>
            </w:tcMar>
            <w:vAlign w:val="center"/>
          </w:tcPr>
          <w:p>
            <w:pPr>
              <w:spacing w:after="0"/>
              <w:jc w:val="left"/>
            </w:pPr>
            <w:r>
              <w:rPr>
                <w:b/>
                <w:color w:val="FFFFFF"/>
                <w:sz w:val="15"/>
              </w:rPr>
              <w:t>Priority</w:t>
            </w:r>
          </w:p>
        </w:tc>
        <w:tc>
          <w:tcPr>
            <w:tcW w:type="dxa" w:w="3168"/>
            <w:shd w:fill="15354A"/>
            <w:tcMar>
              <w:top w:w="70" w:type="dxa"/>
              <w:start w:w="90" w:type="dxa"/>
              <w:bottom w:w="70" w:type="dxa"/>
              <w:end w:w="90" w:type="dxa"/>
            </w:tcMar>
            <w:vAlign w:val="center"/>
          </w:tcPr>
          <w:p>
            <w:pPr>
              <w:spacing w:after="0"/>
              <w:jc w:val="left"/>
            </w:pPr>
            <w:r>
              <w:rPr>
                <w:b/>
                <w:color w:val="FFFFFF"/>
                <w:sz w:val="15"/>
              </w:rPr>
              <w:t>Finding</w:t>
            </w:r>
          </w:p>
        </w:tc>
        <w:tc>
          <w:tcPr>
            <w:tcW w:type="dxa" w:w="3240"/>
            <w:shd w:fill="15354A"/>
            <w:tcMar>
              <w:top w:w="70" w:type="dxa"/>
              <w:start w:w="90" w:type="dxa"/>
              <w:bottom w:w="70" w:type="dxa"/>
              <w:end w:w="90" w:type="dxa"/>
            </w:tcMar>
            <w:vAlign w:val="center"/>
          </w:tcPr>
          <w:p>
            <w:pPr>
              <w:spacing w:after="0"/>
              <w:jc w:val="left"/>
            </w:pPr>
            <w:r>
              <w:rPr>
                <w:b/>
                <w:color w:val="FFFFFF"/>
                <w:sz w:val="15"/>
              </w:rPr>
              <w:t>Evidence</w:t>
            </w:r>
          </w:p>
        </w:tc>
        <w:tc>
          <w:tcPr>
            <w:tcW w:type="dxa" w:w="2880"/>
            <w:shd w:fill="15354A"/>
            <w:tcMar>
              <w:top w:w="70" w:type="dxa"/>
              <w:start w:w="90" w:type="dxa"/>
              <w:bottom w:w="70" w:type="dxa"/>
              <w:end w:w="90" w:type="dxa"/>
            </w:tcMar>
            <w:vAlign w:val="center"/>
          </w:tcPr>
          <w:p>
            <w:pPr>
              <w:spacing w:after="0"/>
              <w:jc w:val="left"/>
            </w:pPr>
            <w:r>
              <w:rPr>
                <w:b/>
                <w:color w:val="FFFFFF"/>
                <w:sz w:val="15"/>
              </w:rPr>
              <w:t>Required disposition</w:t>
            </w:r>
          </w:p>
        </w:tc>
      </w:tr>
      <w:tr>
        <w:trPr>
          <w:cantSplit/>
        </w:trPr>
        <w:tc>
          <w:tcPr>
            <w:tcW w:type="dxa" w:w="720"/>
            <w:tcMar>
              <w:top w:w="70" w:type="dxa"/>
              <w:start w:w="90" w:type="dxa"/>
              <w:bottom w:w="70" w:type="dxa"/>
              <w:end w:w="90" w:type="dxa"/>
            </w:tcMar>
            <w:vAlign w:val="top"/>
          </w:tcPr>
          <w:p>
            <w:pPr>
              <w:spacing w:after="0" w:line="240" w:lineRule="auto"/>
            </w:pPr>
            <w:r>
              <w:rPr>
                <w:b/>
                <w:color w:val="15354A"/>
                <w:sz w:val="15"/>
              </w:rPr>
              <w:t>P0</w:t>
            </w:r>
          </w:p>
        </w:tc>
        <w:tc>
          <w:tcPr>
            <w:tcW w:type="dxa" w:w="3168"/>
            <w:tcMar>
              <w:top w:w="70" w:type="dxa"/>
              <w:start w:w="90" w:type="dxa"/>
              <w:bottom w:w="70" w:type="dxa"/>
              <w:end w:w="90" w:type="dxa"/>
            </w:tcMar>
            <w:vAlign w:val="top"/>
          </w:tcPr>
          <w:p>
            <w:pPr>
              <w:spacing w:after="0" w:line="240" w:lineRule="auto"/>
            </w:pPr>
            <w:r>
              <w:rPr>
                <w:sz w:val="15"/>
              </w:rPr>
              <w:t>Mode3D LINEAR energy grid is quadratic in normalized index.</w:t>
            </w:r>
          </w:p>
        </w:tc>
        <w:tc>
          <w:tcPr>
            <w:tcW w:type="dxa" w:w="3240"/>
            <w:tcMar>
              <w:top w:w="70" w:type="dxa"/>
              <w:start w:w="90" w:type="dxa"/>
              <w:bottom w:w="70" w:type="dxa"/>
              <w:end w:w="90" w:type="dxa"/>
            </w:tcMar>
            <w:vAlign w:val="top"/>
          </w:tcPr>
          <w:p>
            <w:pPr>
              <w:spacing w:after="0" w:line="240" w:lineRule="auto"/>
            </w:pPr>
            <w:r>
              <w:rPr>
                <w:sz w:val="15"/>
              </w:rPr>
              <w:t>srcEarth/3d/DensityMode3D.cpp:255 uses Emin + a·(Emax−Emin)·a.</w:t>
            </w:r>
          </w:p>
        </w:tc>
        <w:tc>
          <w:tcPr>
            <w:tcW w:type="dxa" w:w="2880"/>
            <w:tcMar>
              <w:top w:w="70" w:type="dxa"/>
              <w:start w:w="90" w:type="dxa"/>
              <w:bottom w:w="70" w:type="dxa"/>
              <w:end w:w="90" w:type="dxa"/>
            </w:tcMar>
            <w:vAlign w:val="top"/>
          </w:tcPr>
          <w:p>
            <w:pPr>
              <w:spacing w:after="0" w:line="240" w:lineRule="auto"/>
            </w:pPr>
            <w:r>
              <w:rPr>
                <w:sz w:val="15"/>
              </w:rPr>
              <w:t>Fix and add an endpoint/spacing unit test shared by both solvers.</w:t>
            </w:r>
          </w:p>
        </w:tc>
      </w:tr>
      <w:tr>
        <w:trPr>
          <w:cantSplit/>
        </w:trPr>
        <w:tc>
          <w:tcPr>
            <w:tcW w:type="dxa" w:w="720"/>
            <w:shd w:fill="F8FAFB"/>
            <w:tcMar>
              <w:top w:w="70" w:type="dxa"/>
              <w:start w:w="90" w:type="dxa"/>
              <w:bottom w:w="70" w:type="dxa"/>
              <w:end w:w="90" w:type="dxa"/>
            </w:tcMar>
            <w:vAlign w:val="top"/>
          </w:tcPr>
          <w:p>
            <w:pPr>
              <w:spacing w:after="0" w:line="240" w:lineRule="auto"/>
            </w:pPr>
            <w:r>
              <w:rPr>
                <w:b/>
                <w:color w:val="15354A"/>
                <w:sz w:val="15"/>
              </w:rPr>
              <w:t>P0</w:t>
            </w:r>
          </w:p>
        </w:tc>
        <w:tc>
          <w:tcPr>
            <w:tcW w:type="dxa" w:w="3168"/>
            <w:shd w:fill="F8FAFB"/>
            <w:tcMar>
              <w:top w:w="70" w:type="dxa"/>
              <w:start w:w="90" w:type="dxa"/>
              <w:bottom w:w="70" w:type="dxa"/>
              <w:end w:w="90" w:type="dxa"/>
            </w:tcMar>
            <w:vAlign w:val="top"/>
          </w:tcPr>
          <w:p>
            <w:pPr>
              <w:spacing w:after="0" w:line="240" w:lineRule="auto"/>
            </w:pPr>
            <w:r>
              <w:rPr>
                <w:sz w:val="15"/>
              </w:rPr>
              <w:t>Mode3D drops termination detail and maps ‘none resolved’ to T=0.</w:t>
            </w:r>
          </w:p>
        </w:tc>
        <w:tc>
          <w:tcPr>
            <w:tcW w:type="dxa" w:w="3240"/>
            <w:shd w:fill="F8FAFB"/>
            <w:tcMar>
              <w:top w:w="70" w:type="dxa"/>
              <w:start w:w="90" w:type="dxa"/>
              <w:bottom w:w="70" w:type="dxa"/>
              <w:end w:w="90" w:type="dxa"/>
            </w:tcMar>
            <w:vAlign w:val="top"/>
          </w:tcPr>
          <w:p>
            <w:pPr>
              <w:spacing w:after="0" w:line="240" w:lineRule="auto"/>
            </w:pPr>
            <w:r>
              <w:rPr>
                <w:sz w:val="15"/>
              </w:rPr>
              <w:t>ComputeT_atEnergy_Mode3D_ returns one scalar after skipping unresolved trajectories.</w:t>
            </w:r>
          </w:p>
        </w:tc>
        <w:tc>
          <w:tcPr>
            <w:tcW w:type="dxa" w:w="2880"/>
            <w:shd w:fill="F8FAFB"/>
            <w:tcMar>
              <w:top w:w="70" w:type="dxa"/>
              <w:start w:w="90" w:type="dxa"/>
              <w:bottom w:w="70" w:type="dxa"/>
              <w:end w:w="90" w:type="dxa"/>
            </w:tcMar>
            <w:vAlign w:val="top"/>
          </w:tcPr>
          <w:p>
            <w:pPr>
              <w:spacing w:after="0" w:line="240" w:lineRule="auto"/>
            </w:pPr>
            <w:r>
              <w:rPr>
                <w:sz w:val="15"/>
              </w:rPr>
              <w:t>Return weighted counts, termination categories, retry state, and lower/upper bounds; fail gates on excessive unresolved support.</w:t>
            </w:r>
          </w:p>
        </w:tc>
      </w:tr>
      <w:tr>
        <w:trPr>
          <w:cantSplit/>
        </w:trPr>
        <w:tc>
          <w:tcPr>
            <w:tcW w:type="dxa" w:w="720"/>
            <w:tcMar>
              <w:top w:w="70" w:type="dxa"/>
              <w:start w:w="90" w:type="dxa"/>
              <w:bottom w:w="70" w:type="dxa"/>
              <w:end w:w="90" w:type="dxa"/>
            </w:tcMar>
            <w:vAlign w:val="top"/>
          </w:tcPr>
          <w:p>
            <w:pPr>
              <w:spacing w:after="0" w:line="240" w:lineRule="auto"/>
            </w:pPr>
            <w:r>
              <w:rPr>
                <w:b/>
                <w:color w:val="15354A"/>
                <w:sz w:val="15"/>
              </w:rPr>
              <w:t>P0</w:t>
            </w:r>
          </w:p>
        </w:tc>
        <w:tc>
          <w:tcPr>
            <w:tcW w:type="dxa" w:w="3168"/>
            <w:tcMar>
              <w:top w:w="70" w:type="dxa"/>
              <w:start w:w="90" w:type="dxa"/>
              <w:bottom w:w="70" w:type="dxa"/>
              <w:end w:w="90" w:type="dxa"/>
            </w:tcMar>
            <w:vAlign w:val="top"/>
          </w:tcPr>
          <w:p>
            <w:pPr>
              <w:spacing w:after="0" w:line="240" w:lineRule="auto"/>
            </w:pPr>
            <w:r>
              <w:rPr>
                <w:sz w:val="15"/>
              </w:rPr>
              <w:t>No F-test exercises Mode3D or forward flux products.</w:t>
            </w:r>
          </w:p>
        </w:tc>
        <w:tc>
          <w:tcPr>
            <w:tcW w:type="dxa" w:w="3240"/>
            <w:tcMar>
              <w:top w:w="70" w:type="dxa"/>
              <w:start w:w="90" w:type="dxa"/>
              <w:bottom w:w="70" w:type="dxa"/>
              <w:end w:w="90" w:type="dxa"/>
            </w:tcMar>
            <w:vAlign w:val="top"/>
          </w:tcPr>
          <w:p>
            <w:pPr>
              <w:spacing w:after="0" w:line="240" w:lineRule="auto"/>
            </w:pPr>
            <w:r>
              <w:rPr>
                <w:sz w:val="15"/>
              </w:rPr>
              <w:t>Every present F runner launches -mode gridless.</w:t>
            </w:r>
          </w:p>
        </w:tc>
        <w:tc>
          <w:tcPr>
            <w:tcW w:type="dxa" w:w="2880"/>
            <w:tcMar>
              <w:top w:w="70" w:type="dxa"/>
              <w:start w:w="90" w:type="dxa"/>
              <w:bottom w:w="70" w:type="dxa"/>
              <w:end w:w="90" w:type="dxa"/>
            </w:tcMar>
            <w:vAlign w:val="top"/>
          </w:tcPr>
          <w:p>
            <w:pPr>
              <w:spacing w:after="0" w:line="240" w:lineRule="auto"/>
            </w:pPr>
            <w:r>
              <w:rPr>
                <w:sz w:val="15"/>
              </w:rPr>
              <w:t>Add linked parity and forward/backward closure tests before science use.</w:t>
            </w:r>
          </w:p>
        </w:tc>
      </w:tr>
      <w:tr>
        <w:trPr>
          <w:cantSplit/>
        </w:trPr>
        <w:tc>
          <w:tcPr>
            <w:tcW w:type="dxa" w:w="720"/>
            <w:shd w:fill="F8FAFB"/>
            <w:tcMar>
              <w:top w:w="70" w:type="dxa"/>
              <w:start w:w="90" w:type="dxa"/>
              <w:bottom w:w="70" w:type="dxa"/>
              <w:end w:w="90" w:type="dxa"/>
            </w:tcMar>
            <w:vAlign w:val="top"/>
          </w:tcPr>
          <w:p>
            <w:pPr>
              <w:spacing w:after="0" w:line="240" w:lineRule="auto"/>
            </w:pPr>
            <w:r>
              <w:rPr>
                <w:b/>
                <w:color w:val="15354A"/>
                <w:sz w:val="15"/>
              </w:rPr>
              <w:t>P1</w:t>
            </w:r>
          </w:p>
        </w:tc>
        <w:tc>
          <w:tcPr>
            <w:tcW w:type="dxa" w:w="3168"/>
            <w:shd w:fill="F8FAFB"/>
            <w:tcMar>
              <w:top w:w="70" w:type="dxa"/>
              <w:start w:w="90" w:type="dxa"/>
              <w:bottom w:w="70" w:type="dxa"/>
              <w:end w:w="90" w:type="dxa"/>
            </w:tcMar>
            <w:vAlign w:val="top"/>
          </w:tcPr>
          <w:p>
            <w:pPr>
              <w:spacing w:after="0" w:line="240" w:lineRule="auto"/>
            </w:pPr>
            <w:r>
              <w:rPr>
                <w:sz w:val="15"/>
              </w:rPr>
              <w:t>ADAPTIVE currently selects the same fixed logarithmic rigidity grid as SCAN.</w:t>
            </w:r>
          </w:p>
        </w:tc>
        <w:tc>
          <w:tcPr>
            <w:tcW w:type="dxa" w:w="3240"/>
            <w:shd w:fill="F8FAFB"/>
            <w:tcMar>
              <w:top w:w="70" w:type="dxa"/>
              <w:start w:w="90" w:type="dxa"/>
              <w:bottom w:w="70" w:type="dxa"/>
              <w:end w:w="90" w:type="dxa"/>
            </w:tcMar>
            <w:vAlign w:val="top"/>
          </w:tcPr>
          <w:p>
            <w:pPr>
              <w:spacing w:after="0" w:line="240" w:lineRule="auto"/>
            </w:pPr>
            <w:r>
              <w:rPr>
                <w:sz w:val="15"/>
              </w:rPr>
              <w:t>Both branches enter the same grid construction; refinement count is reserved.</w:t>
            </w:r>
          </w:p>
        </w:tc>
        <w:tc>
          <w:tcPr>
            <w:tcW w:type="dxa" w:w="2880"/>
            <w:shd w:fill="F8FAFB"/>
            <w:tcMar>
              <w:top w:w="70" w:type="dxa"/>
              <w:start w:w="90" w:type="dxa"/>
              <w:bottom w:w="70" w:type="dxa"/>
              <w:end w:w="90" w:type="dxa"/>
            </w:tcMar>
            <w:vAlign w:val="top"/>
          </w:tcPr>
          <w:p>
            <w:pPr>
              <w:spacing w:after="0" w:line="240" w:lineRule="auto"/>
            </w:pPr>
            <w:r>
              <w:rPr>
                <w:sz w:val="15"/>
              </w:rPr>
              <w:t>Implement error-driven interval refinement around access transitions and response edges.</w:t>
            </w:r>
          </w:p>
        </w:tc>
      </w:tr>
      <w:tr>
        <w:trPr>
          <w:cantSplit/>
        </w:trPr>
        <w:tc>
          <w:tcPr>
            <w:tcW w:type="dxa" w:w="720"/>
            <w:tcMar>
              <w:top w:w="70" w:type="dxa"/>
              <w:start w:w="90" w:type="dxa"/>
              <w:bottom w:w="70" w:type="dxa"/>
              <w:end w:w="90" w:type="dxa"/>
            </w:tcMar>
            <w:vAlign w:val="top"/>
          </w:tcPr>
          <w:p>
            <w:pPr>
              <w:spacing w:after="0" w:line="240" w:lineRule="auto"/>
            </w:pPr>
            <w:r>
              <w:rPr>
                <w:b/>
                <w:color w:val="15354A"/>
                <w:sz w:val="15"/>
              </w:rPr>
              <w:t>P1</w:t>
            </w:r>
          </w:p>
        </w:tc>
        <w:tc>
          <w:tcPr>
            <w:tcW w:type="dxa" w:w="3168"/>
            <w:tcMar>
              <w:top w:w="70" w:type="dxa"/>
              <w:start w:w="90" w:type="dxa"/>
              <w:bottom w:w="70" w:type="dxa"/>
              <w:end w:w="90" w:type="dxa"/>
            </w:tcMar>
            <w:vAlign w:val="top"/>
          </w:tcPr>
          <w:p>
            <w:pPr>
              <w:spacing w:after="0" w:line="240" w:lineRule="auto"/>
            </w:pPr>
            <w:r>
              <w:rPr>
                <w:sz w:val="15"/>
              </w:rPr>
              <w:t>‘Total flux’ naming is physically ambiguous.</w:t>
            </w:r>
          </w:p>
        </w:tc>
        <w:tc>
          <w:tcPr>
            <w:tcW w:type="dxa" w:w="3240"/>
            <w:tcMar>
              <w:top w:w="70" w:type="dxa"/>
              <w:start w:w="90" w:type="dxa"/>
              <w:bottom w:w="70" w:type="dxa"/>
              <w:end w:w="90" w:type="dxa"/>
            </w:tcMar>
            <w:vAlign w:val="top"/>
          </w:tcPr>
          <w:p>
            <w:pPr>
              <w:spacing w:after="0" w:line="240" w:lineRule="auto"/>
            </w:pPr>
            <w:r>
              <w:rPr>
                <w:sz w:val="15"/>
              </w:rPr>
              <w:t>Current integral is 4π∫Jlocal dE for an isotropic directional intensity.</w:t>
            </w:r>
          </w:p>
        </w:tc>
        <w:tc>
          <w:tcPr>
            <w:tcW w:type="dxa" w:w="2880"/>
            <w:tcMar>
              <w:top w:w="70" w:type="dxa"/>
              <w:start w:w="90" w:type="dxa"/>
              <w:bottom w:w="70" w:type="dxa"/>
              <w:end w:w="90" w:type="dxa"/>
            </w:tcMar>
            <w:vAlign w:val="top"/>
          </w:tcPr>
          <w:p>
            <w:pPr>
              <w:spacing w:after="0" w:line="240" w:lineRule="auto"/>
            </w:pPr>
            <w:r>
              <w:rPr>
                <w:sz w:val="15"/>
              </w:rPr>
              <w:t>Rename as omnidirectional integral intensity and add explicit planar/detector products.</w:t>
            </w:r>
          </w:p>
        </w:tc>
      </w:tr>
      <w:tr>
        <w:trPr>
          <w:cantSplit/>
        </w:trPr>
        <w:tc>
          <w:tcPr>
            <w:tcW w:type="dxa" w:w="720"/>
            <w:shd w:fill="F8FAFB"/>
            <w:tcMar>
              <w:top w:w="70" w:type="dxa"/>
              <w:start w:w="90" w:type="dxa"/>
              <w:bottom w:w="70" w:type="dxa"/>
              <w:end w:w="90" w:type="dxa"/>
            </w:tcMar>
            <w:vAlign w:val="top"/>
          </w:tcPr>
          <w:p>
            <w:pPr>
              <w:spacing w:after="0" w:line="240" w:lineRule="auto"/>
            </w:pPr>
            <w:r>
              <w:rPr>
                <w:b/>
                <w:color w:val="15354A"/>
                <w:sz w:val="15"/>
              </w:rPr>
              <w:t>P1</w:t>
            </w:r>
          </w:p>
        </w:tc>
        <w:tc>
          <w:tcPr>
            <w:tcW w:type="dxa" w:w="3168"/>
            <w:shd w:fill="F8FAFB"/>
            <w:tcMar>
              <w:top w:w="70" w:type="dxa"/>
              <w:start w:w="90" w:type="dxa"/>
              <w:bottom w:w="70" w:type="dxa"/>
              <w:end w:w="90" w:type="dxa"/>
            </w:tcMar>
            <w:vAlign w:val="top"/>
          </w:tcPr>
          <w:p>
            <w:pPr>
              <w:spacing w:after="0" w:line="240" w:lineRule="auto"/>
            </w:pPr>
            <w:r>
              <w:rPr>
                <w:sz w:val="15"/>
              </w:rPr>
              <w:t>Boundary time dependence selects the nearest table row.</w:t>
            </w:r>
          </w:p>
        </w:tc>
        <w:tc>
          <w:tcPr>
            <w:tcW w:type="dxa" w:w="3240"/>
            <w:shd w:fill="F8FAFB"/>
            <w:tcMar>
              <w:top w:w="70" w:type="dxa"/>
              <w:start w:w="90" w:type="dxa"/>
              <w:bottom w:w="70" w:type="dxa"/>
              <w:end w:w="90" w:type="dxa"/>
            </w:tcMar>
            <w:vAlign w:val="top"/>
          </w:tcPr>
          <w:p>
            <w:pPr>
              <w:spacing w:after="0" w:line="240" w:lineRule="auto"/>
            </w:pPr>
            <w:r>
              <w:rPr>
                <w:sz w:val="15"/>
              </w:rPr>
              <w:t>spectrum.h documents and implements nearest-snapshot selection.</w:t>
            </w:r>
          </w:p>
        </w:tc>
        <w:tc>
          <w:tcPr>
            <w:tcW w:type="dxa" w:w="2880"/>
            <w:shd w:fill="F8FAFB"/>
            <w:tcMar>
              <w:top w:w="70" w:type="dxa"/>
              <w:start w:w="90" w:type="dxa"/>
              <w:bottom w:w="70" w:type="dxa"/>
              <w:end w:w="90" w:type="dxa"/>
            </w:tcMar>
            <w:vAlign w:val="top"/>
          </w:tcPr>
          <w:p>
            <w:pPr>
              <w:spacing w:after="0" w:line="240" w:lineRule="auto"/>
            </w:pPr>
            <w:r>
              <w:rPr>
                <w:sz w:val="15"/>
              </w:rPr>
              <w:t>Add log-intensity interpolation, gap policy, and interpolation tests.</w:t>
            </w:r>
          </w:p>
        </w:tc>
      </w:tr>
      <w:tr>
        <w:trPr>
          <w:cantSplit/>
        </w:trPr>
        <w:tc>
          <w:tcPr>
            <w:tcW w:type="dxa" w:w="720"/>
            <w:tcMar>
              <w:top w:w="70" w:type="dxa"/>
              <w:start w:w="90" w:type="dxa"/>
              <w:bottom w:w="70" w:type="dxa"/>
              <w:end w:w="90" w:type="dxa"/>
            </w:tcMar>
            <w:vAlign w:val="top"/>
          </w:tcPr>
          <w:p>
            <w:pPr>
              <w:spacing w:after="0" w:line="240" w:lineRule="auto"/>
            </w:pPr>
            <w:r>
              <w:rPr>
                <w:b/>
                <w:color w:val="15354A"/>
                <w:sz w:val="15"/>
              </w:rPr>
              <w:t>P1</w:t>
            </w:r>
          </w:p>
        </w:tc>
        <w:tc>
          <w:tcPr>
            <w:tcW w:type="dxa" w:w="3168"/>
            <w:tcMar>
              <w:top w:w="70" w:type="dxa"/>
              <w:start w:w="90" w:type="dxa"/>
              <w:bottom w:w="70" w:type="dxa"/>
              <w:end w:w="90" w:type="dxa"/>
            </w:tcMar>
            <w:vAlign w:val="top"/>
          </w:tcPr>
          <w:p>
            <w:pPr>
              <w:spacing w:after="0" w:line="240" w:lineRule="auto"/>
            </w:pPr>
            <w:r>
              <w:rPr>
                <w:sz w:val="15"/>
              </w:rPr>
              <w:t>Anisotropy factors are not normalized to a declared integral convention.</w:t>
            </w:r>
          </w:p>
        </w:tc>
        <w:tc>
          <w:tcPr>
            <w:tcW w:type="dxa" w:w="3240"/>
            <w:tcMar>
              <w:top w:w="70" w:type="dxa"/>
              <w:start w:w="90" w:type="dxa"/>
              <w:bottom w:w="70" w:type="dxa"/>
              <w:end w:w="90" w:type="dxa"/>
            </w:tcMar>
            <w:vAlign w:val="top"/>
          </w:tcPr>
          <w:p>
            <w:pPr>
              <w:spacing w:after="0" w:line="240" w:lineRule="auto"/>
            </w:pPr>
            <w:r>
              <w:rPr>
                <w:sz w:val="15"/>
              </w:rPr>
              <w:t>PAD/spatial weights modify access-weighted intensity directly.</w:t>
            </w:r>
          </w:p>
        </w:tc>
        <w:tc>
          <w:tcPr>
            <w:tcW w:type="dxa" w:w="2880"/>
            <w:tcMar>
              <w:top w:w="70" w:type="dxa"/>
              <w:start w:w="90" w:type="dxa"/>
              <w:bottom w:w="70" w:type="dxa"/>
              <w:end w:w="90" w:type="dxa"/>
            </w:tcMar>
            <w:vAlign w:val="top"/>
          </w:tcPr>
          <w:p>
            <w:pPr>
              <w:spacing w:after="0" w:line="240" w:lineRule="auto"/>
            </w:pPr>
            <w:r>
              <w:rPr>
                <w:sz w:val="15"/>
              </w:rPr>
              <w:t>Support normalized and raw-factor modes with provenance and analytic moment tests.</w:t>
            </w:r>
          </w:p>
        </w:tc>
      </w:tr>
      <w:tr>
        <w:trPr>
          <w:cantSplit/>
        </w:trPr>
        <w:tc>
          <w:tcPr>
            <w:tcW w:type="dxa" w:w="720"/>
            <w:shd w:fill="F8FAFB"/>
            <w:tcMar>
              <w:top w:w="70" w:type="dxa"/>
              <w:start w:w="90" w:type="dxa"/>
              <w:bottom w:w="70" w:type="dxa"/>
              <w:end w:w="90" w:type="dxa"/>
            </w:tcMar>
            <w:vAlign w:val="top"/>
          </w:tcPr>
          <w:p>
            <w:pPr>
              <w:spacing w:after="0" w:line="240" w:lineRule="auto"/>
            </w:pPr>
            <w:r>
              <w:rPr>
                <w:b/>
                <w:color w:val="15354A"/>
                <w:sz w:val="15"/>
              </w:rPr>
              <w:t>P2</w:t>
            </w:r>
          </w:p>
        </w:tc>
        <w:tc>
          <w:tcPr>
            <w:tcW w:type="dxa" w:w="3168"/>
            <w:shd w:fill="F8FAFB"/>
            <w:tcMar>
              <w:top w:w="70" w:type="dxa"/>
              <w:start w:w="90" w:type="dxa"/>
              <w:bottom w:w="70" w:type="dxa"/>
              <w:end w:w="90" w:type="dxa"/>
            </w:tcMar>
            <w:vAlign w:val="top"/>
          </w:tcPr>
          <w:p>
            <w:pPr>
              <w:spacing w:after="0" w:line="240" w:lineRule="auto"/>
            </w:pPr>
            <w:r>
              <w:rPr>
                <w:sz w:val="15"/>
              </w:rPr>
              <w:t>Forward configuration and mover branches are incomplete.</w:t>
            </w:r>
          </w:p>
        </w:tc>
        <w:tc>
          <w:tcPr>
            <w:tcW w:type="dxa" w:w="3240"/>
            <w:shd w:fill="F8FAFB"/>
            <w:tcMar>
              <w:top w:w="70" w:type="dxa"/>
              <w:start w:w="90" w:type="dxa"/>
              <w:bottom w:w="70" w:type="dxa"/>
              <w:end w:w="90" w:type="dxa"/>
            </w:tcMar>
            <w:vAlign w:val="top"/>
          </w:tcPr>
          <w:p>
            <w:pPr>
              <w:spacing w:after="0" w:line="240" w:lineRule="auto"/>
            </w:pPr>
            <w:r>
              <w:rPr>
                <w:sz w:val="15"/>
              </w:rPr>
              <w:t>ForwardParticleMovers and Mode3DForward document reserved fields and contain not-implemented exits.</w:t>
            </w:r>
          </w:p>
        </w:tc>
        <w:tc>
          <w:tcPr>
            <w:tcW w:type="dxa" w:w="2880"/>
            <w:shd w:fill="F8FAFB"/>
            <w:tcMar>
              <w:top w:w="70" w:type="dxa"/>
              <w:start w:w="90" w:type="dxa"/>
              <w:bottom w:w="70" w:type="dxa"/>
              <w:end w:w="90" w:type="dxa"/>
            </w:tcMar>
            <w:vAlign w:val="top"/>
          </w:tcPr>
          <w:p>
            <w:pPr>
              <w:spacing w:after="0" w:line="240" w:lineRule="auto"/>
            </w:pPr>
            <w:r>
              <w:rPr>
                <w:sz w:val="15"/>
              </w:rPr>
              <w:t>Inventory supported combinations; reject unsupported configurations before launch; validate each released combination.</w:t>
            </w:r>
          </w:p>
        </w:tc>
      </w:tr>
    </w:tbl>
    <w:p>
      <w:pPr>
        <w:spacing w:after="0"/>
      </w:pPr>
    </w:p>
    <w:p>
      <w:pPr>
        <w:pStyle w:val="Heading2"/>
      </w:pPr>
      <w:bookmarkStart w:id="105" w:name="toc_section_06"/>
      <w:r>
        <w:t>2.3 Current test coverage is necessary but not sufficient</w:t>
      </w:r>
      <w:bookmarkEnd w:id="105"/>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368"/>
            <w:shd w:fill="15354A"/>
            <w:tcMar>
              <w:top w:w="70" w:type="dxa"/>
              <w:start w:w="90" w:type="dxa"/>
              <w:bottom w:w="70" w:type="dxa"/>
              <w:end w:w="90" w:type="dxa"/>
            </w:tcMar>
            <w:vAlign w:val="center"/>
          </w:tcPr>
          <w:p>
            <w:pPr>
              <w:spacing w:after="0"/>
              <w:jc w:val="left"/>
            </w:pPr>
            <w:r>
              <w:rPr>
                <w:b/>
                <w:color w:val="FFFFFF"/>
                <w:sz w:val="16"/>
              </w:rPr>
              <w:t>Existing test</w:t>
            </w:r>
          </w:p>
        </w:tc>
        <w:tc>
          <w:tcPr>
            <w:tcW w:type="dxa" w:w="4031"/>
            <w:shd w:fill="15354A"/>
            <w:tcMar>
              <w:top w:w="70" w:type="dxa"/>
              <w:start w:w="90" w:type="dxa"/>
              <w:bottom w:w="70" w:type="dxa"/>
              <w:end w:w="90" w:type="dxa"/>
            </w:tcMar>
            <w:vAlign w:val="center"/>
          </w:tcPr>
          <w:p>
            <w:pPr>
              <w:spacing w:after="0"/>
              <w:jc w:val="left"/>
            </w:pPr>
            <w:r>
              <w:rPr>
                <w:b/>
                <w:color w:val="FFFFFF"/>
                <w:sz w:val="16"/>
              </w:rPr>
              <w:t>What it establishes</w:t>
            </w:r>
          </w:p>
        </w:tc>
        <w:tc>
          <w:tcPr>
            <w:tcW w:type="dxa" w:w="4320"/>
            <w:shd w:fill="15354A"/>
            <w:tcMar>
              <w:top w:w="70" w:type="dxa"/>
              <w:start w:w="90" w:type="dxa"/>
              <w:bottom w:w="70" w:type="dxa"/>
              <w:end w:w="90" w:type="dxa"/>
            </w:tcMar>
            <w:vAlign w:val="center"/>
          </w:tcPr>
          <w:p>
            <w:pPr>
              <w:spacing w:after="0"/>
              <w:jc w:val="left"/>
            </w:pPr>
            <w:r>
              <w:rPr>
                <w:b/>
                <w:color w:val="FFFFFF"/>
                <w:sz w:val="16"/>
              </w:rPr>
              <w:t>What it does not establish</w:t>
            </w:r>
          </w:p>
        </w:tc>
      </w:tr>
      <w:tr>
        <w:trPr>
          <w:cantSplit/>
        </w:trPr>
        <w:tc>
          <w:tcPr>
            <w:tcW w:type="dxa" w:w="1368"/>
            <w:tcMar>
              <w:top w:w="70" w:type="dxa"/>
              <w:start w:w="90" w:type="dxa"/>
              <w:bottom w:w="70" w:type="dxa"/>
              <w:end w:w="90" w:type="dxa"/>
            </w:tcMar>
            <w:vAlign w:val="top"/>
          </w:tcPr>
          <w:p>
            <w:pPr>
              <w:spacing w:after="0" w:line="240" w:lineRule="auto"/>
            </w:pPr>
            <w:r>
              <w:rPr>
                <w:b/>
                <w:color w:val="15354A"/>
                <w:sz w:val="16"/>
              </w:rPr>
              <w:t>F1</w:t>
            </w:r>
          </w:p>
        </w:tc>
        <w:tc>
          <w:tcPr>
            <w:tcW w:type="dxa" w:w="4031"/>
            <w:tcMar>
              <w:top w:w="70" w:type="dxa"/>
              <w:start w:w="90" w:type="dxa"/>
              <w:bottom w:w="70" w:type="dxa"/>
              <w:end w:w="90" w:type="dxa"/>
            </w:tcMar>
            <w:vAlign w:val="top"/>
          </w:tcPr>
          <w:p>
            <w:pPr>
              <w:spacing w:after="0" w:line="240" w:lineRule="auto"/>
            </w:pPr>
            <w:r>
              <w:rPr>
                <w:sz w:val="16"/>
              </w:rPr>
              <w:t>Zero-field normalization and continuous-reference agreement at the configured energy resolution.</w:t>
            </w:r>
          </w:p>
        </w:tc>
        <w:tc>
          <w:tcPr>
            <w:tcW w:type="dxa" w:w="4320"/>
            <w:tcMar>
              <w:top w:w="70" w:type="dxa"/>
              <w:start w:w="90" w:type="dxa"/>
              <w:bottom w:w="70" w:type="dxa"/>
              <w:end w:w="90" w:type="dxa"/>
            </w:tcMar>
            <w:vAlign w:val="top"/>
          </w:tcPr>
          <w:p>
            <w:pPr>
              <w:spacing w:after="0" w:line="240" w:lineRule="auto"/>
            </w:pPr>
            <w:r>
              <w:rPr>
                <w:sz w:val="16"/>
              </w:rPr>
              <w:t>Mesh parity, directional response, event realism.</w:t>
            </w:r>
          </w:p>
        </w:tc>
      </w:tr>
      <w:tr>
        <w:trPr>
          <w:cantSplit/>
        </w:trPr>
        <w:tc>
          <w:tcPr>
            <w:tcW w:type="dxa" w:w="1368"/>
            <w:shd w:fill="F8FAFB"/>
            <w:tcMar>
              <w:top w:w="70" w:type="dxa"/>
              <w:start w:w="90" w:type="dxa"/>
              <w:bottom w:w="70" w:type="dxa"/>
              <w:end w:w="90" w:type="dxa"/>
            </w:tcMar>
            <w:vAlign w:val="top"/>
          </w:tcPr>
          <w:p>
            <w:pPr>
              <w:spacing w:after="0" w:line="240" w:lineRule="auto"/>
            </w:pPr>
            <w:r>
              <w:rPr>
                <w:b/>
                <w:color w:val="15354A"/>
                <w:sz w:val="16"/>
              </w:rPr>
              <w:t>F2</w:t>
            </w:r>
          </w:p>
        </w:tc>
        <w:tc>
          <w:tcPr>
            <w:tcW w:type="dxa" w:w="4031"/>
            <w:shd w:fill="F8FAFB"/>
            <w:tcMar>
              <w:top w:w="70" w:type="dxa"/>
              <w:start w:w="90" w:type="dxa"/>
              <w:bottom w:w="70" w:type="dxa"/>
              <w:end w:w="90" w:type="dxa"/>
            </w:tcMar>
            <w:vAlign w:val="top"/>
          </w:tcPr>
          <w:p>
            <w:pPr>
              <w:spacing w:after="0" w:line="240" w:lineRule="auto"/>
            </w:pPr>
            <w:r>
              <w:rPr>
                <w:sz w:val="16"/>
              </w:rPr>
              <w:t>Power-law energy integration on a fine grid.</w:t>
            </w:r>
          </w:p>
        </w:tc>
        <w:tc>
          <w:tcPr>
            <w:tcW w:type="dxa" w:w="4320"/>
            <w:shd w:fill="F8FAFB"/>
            <w:tcMar>
              <w:top w:w="70" w:type="dxa"/>
              <w:start w:w="90" w:type="dxa"/>
              <w:bottom w:w="70" w:type="dxa"/>
              <w:end w:w="90" w:type="dxa"/>
            </w:tcMar>
            <w:vAlign w:val="top"/>
          </w:tcPr>
          <w:p>
            <w:pPr>
              <w:spacing w:after="0" w:line="240" w:lineRule="auto"/>
            </w:pPr>
            <w:r>
              <w:rPr>
                <w:sz w:val="16"/>
              </w:rPr>
              <w:t>Cutoff penumbra, time dependence, detector response.</w:t>
            </w:r>
          </w:p>
        </w:tc>
      </w:tr>
      <w:tr>
        <w:trPr>
          <w:cantSplit/>
        </w:trPr>
        <w:tc>
          <w:tcPr>
            <w:tcW w:type="dxa" w:w="1368"/>
            <w:tcMar>
              <w:top w:w="70" w:type="dxa"/>
              <w:start w:w="90" w:type="dxa"/>
              <w:bottom w:w="70" w:type="dxa"/>
              <w:end w:w="90" w:type="dxa"/>
            </w:tcMar>
            <w:vAlign w:val="top"/>
          </w:tcPr>
          <w:p>
            <w:pPr>
              <w:spacing w:after="0" w:line="240" w:lineRule="auto"/>
            </w:pPr>
            <w:r>
              <w:rPr>
                <w:b/>
                <w:color w:val="15354A"/>
                <w:sz w:val="16"/>
              </w:rPr>
              <w:t>F3</w:t>
            </w:r>
          </w:p>
        </w:tc>
        <w:tc>
          <w:tcPr>
            <w:tcW w:type="dxa" w:w="4031"/>
            <w:tcMar>
              <w:top w:w="70" w:type="dxa"/>
              <w:start w:w="90" w:type="dxa"/>
              <w:bottom w:w="70" w:type="dxa"/>
              <w:end w:w="90" w:type="dxa"/>
            </w:tcMar>
            <w:vAlign w:val="top"/>
          </w:tcPr>
          <w:p>
            <w:pPr>
              <w:spacing w:after="0" w:line="240" w:lineRule="auto"/>
            </w:pPr>
            <w:r>
              <w:rPr>
                <w:sz w:val="16"/>
              </w:rPr>
              <w:t>End-to-end dipole cutoff-filtered gridless flux; explicit termination behavior.</w:t>
            </w:r>
          </w:p>
        </w:tc>
        <w:tc>
          <w:tcPr>
            <w:tcW w:type="dxa" w:w="4320"/>
            <w:tcMar>
              <w:top w:w="70" w:type="dxa"/>
              <w:start w:w="90" w:type="dxa"/>
              <w:bottom w:w="70" w:type="dxa"/>
              <w:end w:w="90" w:type="dxa"/>
            </w:tcMar>
            <w:vAlign w:val="top"/>
          </w:tcPr>
          <w:p>
            <w:pPr>
              <w:spacing w:after="0" w:line="240" w:lineRule="auto"/>
            </w:pPr>
            <w:r>
              <w:rPr>
                <w:sz w:val="16"/>
              </w:rPr>
              <w:t>Mode3D parity and realistic field/event spectra.</w:t>
            </w:r>
          </w:p>
        </w:tc>
      </w:tr>
      <w:tr>
        <w:trPr>
          <w:cantSplit/>
        </w:trPr>
        <w:tc>
          <w:tcPr>
            <w:tcW w:type="dxa" w:w="1368"/>
            <w:shd w:fill="F8FAFB"/>
            <w:tcMar>
              <w:top w:w="70" w:type="dxa"/>
              <w:start w:w="90" w:type="dxa"/>
              <w:bottom w:w="70" w:type="dxa"/>
              <w:end w:w="90" w:type="dxa"/>
            </w:tcMar>
            <w:vAlign w:val="top"/>
          </w:tcPr>
          <w:p>
            <w:pPr>
              <w:spacing w:after="0" w:line="240" w:lineRule="auto"/>
            </w:pPr>
            <w:r>
              <w:rPr>
                <w:b/>
                <w:color w:val="15354A"/>
                <w:sz w:val="16"/>
              </w:rPr>
              <w:t>F4</w:t>
            </w:r>
          </w:p>
        </w:tc>
        <w:tc>
          <w:tcPr>
            <w:tcW w:type="dxa" w:w="4031"/>
            <w:shd w:fill="F8FAFB"/>
            <w:tcMar>
              <w:top w:w="70" w:type="dxa"/>
              <w:start w:w="90" w:type="dxa"/>
              <w:bottom w:w="70" w:type="dxa"/>
              <w:end w:w="90" w:type="dxa"/>
            </w:tcMar>
            <w:vAlign w:val="top"/>
          </w:tcPr>
          <w:p>
            <w:pPr>
              <w:spacing w:after="0" w:line="240" w:lineRule="auto"/>
            </w:pPr>
            <w:r>
              <w:rPr>
                <w:sz w:val="16"/>
              </w:rPr>
              <w:t>Internal reconstruction closure from written spectrum/transmission products.</w:t>
            </w:r>
          </w:p>
        </w:tc>
        <w:tc>
          <w:tcPr>
            <w:tcW w:type="dxa" w:w="4320"/>
            <w:shd w:fill="F8FAFB"/>
            <w:tcMar>
              <w:top w:w="70" w:type="dxa"/>
              <w:start w:w="90" w:type="dxa"/>
              <w:bottom w:w="70" w:type="dxa"/>
              <w:end w:w="90" w:type="dxa"/>
            </w:tcMar>
            <w:vAlign w:val="top"/>
          </w:tcPr>
          <w:p>
            <w:pPr>
              <w:spacing w:after="0" w:line="240" w:lineRule="auto"/>
            </w:pPr>
            <w:r>
              <w:rPr>
                <w:sz w:val="16"/>
              </w:rPr>
              <w:t>Independent physics truth.</w:t>
            </w:r>
          </w:p>
        </w:tc>
      </w:tr>
      <w:tr>
        <w:trPr>
          <w:cantSplit/>
        </w:trPr>
        <w:tc>
          <w:tcPr>
            <w:tcW w:type="dxa" w:w="1368"/>
            <w:tcMar>
              <w:top w:w="70" w:type="dxa"/>
              <w:start w:w="90" w:type="dxa"/>
              <w:bottom w:w="70" w:type="dxa"/>
              <w:end w:w="90" w:type="dxa"/>
            </w:tcMar>
            <w:vAlign w:val="top"/>
          </w:tcPr>
          <w:p>
            <w:pPr>
              <w:spacing w:after="0" w:line="240" w:lineRule="auto"/>
            </w:pPr>
            <w:r>
              <w:rPr>
                <w:b/>
                <w:color w:val="15354A"/>
                <w:sz w:val="16"/>
              </w:rPr>
              <w:t>F5/F11/F12</w:t>
            </w:r>
          </w:p>
        </w:tc>
        <w:tc>
          <w:tcPr>
            <w:tcW w:type="dxa" w:w="4031"/>
            <w:tcMar>
              <w:top w:w="70" w:type="dxa"/>
              <w:start w:w="90" w:type="dxa"/>
              <w:bottom w:w="70" w:type="dxa"/>
              <w:end w:w="90" w:type="dxa"/>
            </w:tcMar>
            <w:vAlign w:val="top"/>
          </w:tcPr>
          <w:p>
            <w:pPr>
              <w:spacing w:after="0" w:line="240" w:lineRule="auto"/>
            </w:pPr>
            <w:r>
              <w:rPr>
                <w:sz w:val="16"/>
              </w:rPr>
              <w:t>PAD and spatial-weight identities.</w:t>
            </w:r>
          </w:p>
        </w:tc>
        <w:tc>
          <w:tcPr>
            <w:tcW w:type="dxa" w:w="4320"/>
            <w:tcMar>
              <w:top w:w="70" w:type="dxa"/>
              <w:start w:w="90" w:type="dxa"/>
              <w:bottom w:w="70" w:type="dxa"/>
              <w:end w:w="90" w:type="dxa"/>
            </w:tcMar>
            <w:vAlign w:val="top"/>
          </w:tcPr>
          <w:p>
            <w:pPr>
              <w:spacing w:after="0" w:line="240" w:lineRule="auto"/>
            </w:pPr>
            <w:r>
              <w:rPr>
                <w:sz w:val="16"/>
              </w:rPr>
              <w:t>Absolute anisotropic normalization and measured angular response.</w:t>
            </w:r>
          </w:p>
        </w:tc>
      </w:tr>
      <w:tr>
        <w:trPr>
          <w:cantSplit/>
        </w:trPr>
        <w:tc>
          <w:tcPr>
            <w:tcW w:type="dxa" w:w="1368"/>
            <w:shd w:fill="F8FAFB"/>
            <w:tcMar>
              <w:top w:w="70" w:type="dxa"/>
              <w:start w:w="90" w:type="dxa"/>
              <w:bottom w:w="70" w:type="dxa"/>
              <w:end w:w="90" w:type="dxa"/>
            </w:tcMar>
            <w:vAlign w:val="top"/>
          </w:tcPr>
          <w:p>
            <w:pPr>
              <w:spacing w:after="0" w:line="240" w:lineRule="auto"/>
            </w:pPr>
            <w:r>
              <w:rPr>
                <w:b/>
                <w:color w:val="15354A"/>
                <w:sz w:val="16"/>
              </w:rPr>
              <w:t>F15</w:t>
            </w:r>
          </w:p>
        </w:tc>
        <w:tc>
          <w:tcPr>
            <w:tcW w:type="dxa" w:w="4031"/>
            <w:shd w:fill="F8FAFB"/>
            <w:tcMar>
              <w:top w:w="70" w:type="dxa"/>
              <w:start w:w="90" w:type="dxa"/>
              <w:bottom w:w="70" w:type="dxa"/>
              <w:end w:w="90" w:type="dxa"/>
            </w:tcMar>
            <w:vAlign w:val="top"/>
          </w:tcPr>
          <w:p>
            <w:pPr>
              <w:spacing w:after="0" w:line="240" w:lineRule="auto"/>
            </w:pPr>
            <w:r>
              <w:rPr>
                <w:sz w:val="16"/>
              </w:rPr>
              <w:t>Relativistic density normalization from top-hat spectra.</w:t>
            </w:r>
          </w:p>
        </w:tc>
        <w:tc>
          <w:tcPr>
            <w:tcW w:type="dxa" w:w="4320"/>
            <w:shd w:fill="F8FAFB"/>
            <w:tcMar>
              <w:top w:w="70" w:type="dxa"/>
              <w:start w:w="90" w:type="dxa"/>
              <w:bottom w:w="70" w:type="dxa"/>
              <w:end w:w="90" w:type="dxa"/>
            </w:tcMar>
            <w:vAlign w:val="top"/>
          </w:tcPr>
          <w:p>
            <w:pPr>
              <w:spacing w:after="0" w:line="240" w:lineRule="auto"/>
            </w:pPr>
            <w:r>
              <w:rPr>
                <w:sz w:val="16"/>
              </w:rPr>
              <w:t>Detector counts or surface flux.</w:t>
            </w:r>
          </w:p>
        </w:tc>
      </w:tr>
      <w:tr>
        <w:trPr>
          <w:cantSplit/>
        </w:trPr>
        <w:tc>
          <w:tcPr>
            <w:tcW w:type="dxa" w:w="1368"/>
            <w:tcMar>
              <w:top w:w="70" w:type="dxa"/>
              <w:start w:w="90" w:type="dxa"/>
              <w:bottom w:w="70" w:type="dxa"/>
              <w:end w:w="90" w:type="dxa"/>
            </w:tcMar>
            <w:vAlign w:val="top"/>
          </w:tcPr>
          <w:p>
            <w:pPr>
              <w:spacing w:after="0" w:line="240" w:lineRule="auto"/>
            </w:pPr>
            <w:r>
              <w:rPr>
                <w:b/>
                <w:color w:val="15354A"/>
                <w:sz w:val="16"/>
              </w:rPr>
              <w:t>F16</w:t>
            </w:r>
          </w:p>
        </w:tc>
        <w:tc>
          <w:tcPr>
            <w:tcW w:type="dxa" w:w="4031"/>
            <w:tcMar>
              <w:top w:w="70" w:type="dxa"/>
              <w:start w:w="90" w:type="dxa"/>
              <w:bottom w:w="70" w:type="dxa"/>
              <w:end w:w="90" w:type="dxa"/>
            </w:tcMar>
            <w:vAlign w:val="top"/>
          </w:tcPr>
          <w:p>
            <w:pPr>
              <w:spacing w:after="0" w:line="240" w:lineRule="auto"/>
            </w:pPr>
            <w:r>
              <w:rPr>
                <w:sz w:val="16"/>
              </w:rPr>
              <w:t>Exact all-blocked zero limit.</w:t>
            </w:r>
          </w:p>
        </w:tc>
        <w:tc>
          <w:tcPr>
            <w:tcW w:type="dxa" w:w="4320"/>
            <w:tcMar>
              <w:top w:w="70" w:type="dxa"/>
              <w:start w:w="90" w:type="dxa"/>
              <w:bottom w:w="70" w:type="dxa"/>
              <w:end w:w="90" w:type="dxa"/>
            </w:tcMar>
            <w:vAlign w:val="top"/>
          </w:tcPr>
          <w:p>
            <w:pPr>
              <w:spacing w:after="0" w:line="240" w:lineRule="auto"/>
            </w:pPr>
            <w:r>
              <w:rPr>
                <w:sz w:val="16"/>
              </w:rPr>
              <w:t>Difference between physical blocking and unresolved trajectories in Mode3D.</w:t>
            </w:r>
          </w:p>
        </w:tc>
      </w:tr>
    </w:tbl>
    <w:p>
      <w:pPr>
        <w:spacing w:after="0"/>
      </w:pPr>
    </w:p>
    <w:p>
      <w:pPr>
        <w:pStyle w:val="Heading1"/>
      </w:pPr>
      <w:bookmarkStart w:id="106" w:name="toc_section_07"/>
      <w:r>
        <w:t>3. Physics and product contract</w:t>
      </w:r>
      <w:bookmarkEnd w:id="106"/>
    </w:p>
    <w:p>
      <w:r>
        <w:t>Phase 1 should be explicitly limited to collisionless particles whose local phase-space point maps to an external boundary without modeled scattering, nuclear interaction, or long-duration trapping. This is the natural extension of a validated cutoff solver. Radiation-belt populations, local acceleration, radial diffusion, atmospheric albedo/CRAND, and sustained loss processes belong to a later forward-transport release.</w:t>
      </w:r>
    </w:p>
    <w:p>
      <w:pPr>
        <w:pStyle w:val="Heading2"/>
      </w:pPr>
      <w:bookmarkStart w:id="107" w:name="toc_section_08"/>
      <w:r>
        <w:t>3.1 Backward-characteristic formulation</w:t>
      </w:r>
      <w:bookmarkEnd w:id="107"/>
    </w:p>
    <w:p>
      <w:r>
        <w:t>For each local state (xₗ, Eₗ, Ωₗ, tₗ), trace the collisionless characteristic backward to its first physical termination. If it reaches the external boundary, retain the complete asymptotic state (xᵦ, pᵦ, Ωᵦ, tᵦ), not only an allowed flag. Liouville conservation gives:</w:t>
      </w:r>
    </w:p>
    <w:p>
      <w:pPr>
        <w:pStyle w:val="EquationPlain"/>
      </w:pPr>
      <w:r>
        <w:t>fₗ(xₗ, pₗ, tₗ) = fᵦ(xᵦ, pᵦ, tᵦ)</w:t>
      </w:r>
    </w:p>
    <w:p>
      <w:r>
        <w:t>Since directional differential intensity j is proportional to p²f, the general mapping is:</w:t>
      </w:r>
    </w:p>
    <w:p>
      <w:pPr>
        <w:pStyle w:val="EquationPlain"/>
      </w:pPr>
      <w:r>
        <w:t>jₗ(Eₗ, Ωₗ) = A · (pₗ² / pᵦ²) · jᵦ(Eᵦ, Ωᵦ, xᵦ, tᵦ)</w:t>
      </w:r>
    </w:p>
    <w:p>
      <w:r>
        <w:t>Here A is the access/weight term, including the physical termination and any explicitly normalized boundary angular/spatial model. For a static magnetic field, pₗ=pᵦ and the present relation Jlocal=T·Jboundary is recovered after angular averaging. For electric or time-dependent fields, the p² mapping and the boundary time/energy must be tested directly; a sequence of static snapshots is not equivalent to a time-dependent characteristic.</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FFF4D6"/>
            <w:tcMar>
              <w:top w:w="140" w:type="dxa"/>
              <w:start w:w="180" w:type="dxa"/>
              <w:bottom w:w="140" w:type="dxa"/>
              <w:end w:w="180" w:type="dxa"/>
            </w:tcMar>
          </w:tcPr>
          <w:p>
            <w:pPr>
              <w:spacing w:after="60"/>
            </w:pPr>
            <w:r>
              <w:rPr>
                <w:b/>
                <w:color w:val="15354A"/>
              </w:rPr>
              <w:t>Dynamic-field rule</w:t>
            </w:r>
          </w:p>
          <w:p>
            <w:pPr>
              <w:spacing w:after="0" w:line="252" w:lineRule="auto"/>
            </w:pPr>
            <w:r>
              <w:t>Backward integration in E(x,t), B(x,t) must integrate the same-charge characteristic backward in physical time (or a mathematically equivalent adjoint). Do not assume that the static-field anti-particle/reversed-velocity shortcut remains valid. Release dynamic mode only after reversible uniform-field and manufactured time-dependent tests pass.</w:t>
            </w:r>
          </w:p>
        </w:tc>
      </w:tr>
    </w:tbl>
    <w:p>
      <w:pPr>
        <w:spacing w:after="0"/>
      </w:pPr>
    </w:p>
    <w:p>
      <w:pPr>
        <w:pStyle w:val="Heading2"/>
      </w:pPr>
      <w:bookmarkStart w:id="108" w:name="toc_section_09"/>
      <w:r>
        <w:t>3.2 Output definitions</w:t>
      </w:r>
      <w:bookmarkEnd w:id="108"/>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5354A"/>
            <w:tcMar>
              <w:top w:w="70" w:type="dxa"/>
              <w:start w:w="90" w:type="dxa"/>
              <w:bottom w:w="70" w:type="dxa"/>
              <w:end w:w="90" w:type="dxa"/>
            </w:tcMar>
            <w:vAlign w:val="center"/>
          </w:tcPr>
          <w:p>
            <w:pPr>
              <w:spacing w:after="0"/>
              <w:jc w:val="left"/>
            </w:pPr>
            <w:r>
              <w:rPr>
                <w:b/>
                <w:color w:val="FFFFFF"/>
                <w:sz w:val="16"/>
              </w:rPr>
              <w:t>Product</w:t>
            </w:r>
          </w:p>
        </w:tc>
        <w:tc>
          <w:tcPr>
            <w:tcW w:type="dxa" w:w="3816"/>
            <w:shd w:fill="15354A"/>
            <w:tcMar>
              <w:top w:w="70" w:type="dxa"/>
              <w:start w:w="90" w:type="dxa"/>
              <w:bottom w:w="70" w:type="dxa"/>
              <w:end w:w="90" w:type="dxa"/>
            </w:tcMar>
            <w:vAlign w:val="center"/>
          </w:tcPr>
          <w:p>
            <w:pPr>
              <w:spacing w:after="0"/>
              <w:jc w:val="left"/>
            </w:pPr>
            <w:r>
              <w:rPr>
                <w:b/>
                <w:color w:val="FFFFFF"/>
                <w:sz w:val="16"/>
              </w:rPr>
              <w:t>Definition</w:t>
            </w:r>
          </w:p>
        </w:tc>
        <w:tc>
          <w:tcPr>
            <w:tcW w:type="dxa" w:w="3671"/>
            <w:shd w:fill="15354A"/>
            <w:tcMar>
              <w:top w:w="70" w:type="dxa"/>
              <w:start w:w="90" w:type="dxa"/>
              <w:bottom w:w="70" w:type="dxa"/>
              <w:end w:w="90" w:type="dxa"/>
            </w:tcMar>
            <w:vAlign w:val="center"/>
          </w:tcPr>
          <w:p>
            <w:pPr>
              <w:spacing w:after="0"/>
              <w:jc w:val="left"/>
            </w:pPr>
            <w:r>
              <w:rPr>
                <w:b/>
                <w:color w:val="FFFFFF"/>
                <w:sz w:val="16"/>
              </w:rPr>
              <w:t>Recommended unit / interpretation</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6"/>
              </w:rPr>
              <w:t>Directional differential intensity</w:t>
            </w:r>
          </w:p>
        </w:tc>
        <w:tc>
          <w:tcPr>
            <w:tcW w:type="dxa" w:w="3816"/>
            <w:tcMar>
              <w:top w:w="70" w:type="dxa"/>
              <w:start w:w="90" w:type="dxa"/>
              <w:bottom w:w="70" w:type="dxa"/>
              <w:end w:w="90" w:type="dxa"/>
            </w:tcMar>
            <w:vAlign w:val="top"/>
          </w:tcPr>
          <w:p>
            <w:pPr>
              <w:spacing w:after="0" w:line="240" w:lineRule="auto"/>
            </w:pPr>
            <w:r>
              <w:rPr>
                <w:sz w:val="16"/>
              </w:rPr>
              <w:t>j(E, Ω, x, t)</w:t>
            </w:r>
          </w:p>
        </w:tc>
        <w:tc>
          <w:tcPr>
            <w:tcW w:type="dxa" w:w="3671"/>
            <w:tcMar>
              <w:top w:w="70" w:type="dxa"/>
              <w:start w:w="90" w:type="dxa"/>
              <w:bottom w:w="70" w:type="dxa"/>
              <w:end w:w="90" w:type="dxa"/>
            </w:tcMar>
            <w:vAlign w:val="top"/>
          </w:tcPr>
          <w:p>
            <w:pPr>
              <w:spacing w:after="0" w:line="240" w:lineRule="auto"/>
            </w:pPr>
            <w:r>
              <w:rPr>
                <w:sz w:val="16"/>
              </w:rPr>
              <w:t>m⁻² s⁻¹ sr⁻¹ MeV⁻¹; primary phase-space observable.</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6"/>
              </w:rPr>
              <w:t>Omnidirectional differential intensity</w:t>
            </w:r>
          </w:p>
        </w:tc>
        <w:tc>
          <w:tcPr>
            <w:tcW w:type="dxa" w:w="3816"/>
            <w:shd w:fill="F8FAFB"/>
            <w:tcMar>
              <w:top w:w="70" w:type="dxa"/>
              <w:start w:w="90" w:type="dxa"/>
              <w:bottom w:w="70" w:type="dxa"/>
              <w:end w:w="90" w:type="dxa"/>
            </w:tcMar>
            <w:vAlign w:val="top"/>
          </w:tcPr>
          <w:p>
            <w:pPr>
              <w:spacing w:after="0" w:line="240" w:lineRule="auto"/>
            </w:pPr>
            <w:r>
              <w:rPr>
                <w:sz w:val="16"/>
              </w:rPr>
              <w:t>JΩ(E)=∫4π j(E,Ω)dΩ</w:t>
            </w:r>
          </w:p>
        </w:tc>
        <w:tc>
          <w:tcPr>
            <w:tcW w:type="dxa" w:w="3671"/>
            <w:shd w:fill="F8FAFB"/>
            <w:tcMar>
              <w:top w:w="70" w:type="dxa"/>
              <w:start w:w="90" w:type="dxa"/>
              <w:bottom w:w="70" w:type="dxa"/>
              <w:end w:w="90" w:type="dxa"/>
            </w:tcMar>
            <w:vAlign w:val="top"/>
          </w:tcPr>
          <w:p>
            <w:pPr>
              <w:spacing w:after="0" w:line="240" w:lineRule="auto"/>
            </w:pPr>
            <w:r>
              <w:rPr>
                <w:sz w:val="16"/>
              </w:rPr>
              <w:t>m⁻² s⁻¹ MeV⁻¹; never compare directly with a narrow aperture.</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6"/>
              </w:rPr>
              <w:t>Band-integrated omnidirectional intensity</w:t>
            </w:r>
          </w:p>
        </w:tc>
        <w:tc>
          <w:tcPr>
            <w:tcW w:type="dxa" w:w="3816"/>
            <w:tcMar>
              <w:top w:w="70" w:type="dxa"/>
              <w:start w:w="90" w:type="dxa"/>
              <w:bottom w:w="70" w:type="dxa"/>
              <w:end w:w="90" w:type="dxa"/>
            </w:tcMar>
            <w:vAlign w:val="top"/>
          </w:tcPr>
          <w:p>
            <w:pPr>
              <w:spacing w:after="0" w:line="240" w:lineRule="auto"/>
            </w:pPr>
            <w:r>
              <w:rPr>
                <w:sz w:val="16"/>
              </w:rPr>
              <w:t>F[E1,E2]=∫E1E2∫4π j dΩ dE</w:t>
            </w:r>
          </w:p>
        </w:tc>
        <w:tc>
          <w:tcPr>
            <w:tcW w:type="dxa" w:w="3671"/>
            <w:tcMar>
              <w:top w:w="70" w:type="dxa"/>
              <w:start w:w="90" w:type="dxa"/>
              <w:bottom w:w="70" w:type="dxa"/>
              <w:end w:w="90" w:type="dxa"/>
            </w:tcMar>
            <w:vAlign w:val="top"/>
          </w:tcPr>
          <w:p>
            <w:pPr>
              <w:spacing w:after="0" w:line="240" w:lineRule="auto"/>
            </w:pPr>
            <w:r>
              <w:rPr>
                <w:sz w:val="16"/>
              </w:rPr>
              <w:t>m⁻² s⁻¹; current ‘total flux’ is closest to this quantity.</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6"/>
              </w:rPr>
              <w:t>One-way planar flux</w:t>
            </w:r>
          </w:p>
        </w:tc>
        <w:tc>
          <w:tcPr>
            <w:tcW w:type="dxa" w:w="3816"/>
            <w:shd w:fill="F8FAFB"/>
            <w:tcMar>
              <w:top w:w="70" w:type="dxa"/>
              <w:start w:w="90" w:type="dxa"/>
              <w:bottom w:w="70" w:type="dxa"/>
              <w:end w:w="90" w:type="dxa"/>
            </w:tcMar>
            <w:vAlign w:val="top"/>
          </w:tcPr>
          <w:p>
            <w:pPr>
              <w:spacing w:after="0" w:line="240" w:lineRule="auto"/>
            </w:pPr>
            <w:r>
              <w:rPr>
                <w:sz w:val="16"/>
              </w:rPr>
              <w:t>Φ=∫hemisphere∫ j cosθ dΩ dE</w:t>
            </w:r>
          </w:p>
        </w:tc>
        <w:tc>
          <w:tcPr>
            <w:tcW w:type="dxa" w:w="3671"/>
            <w:shd w:fill="F8FAFB"/>
            <w:tcMar>
              <w:top w:w="70" w:type="dxa"/>
              <w:start w:w="90" w:type="dxa"/>
              <w:bottom w:w="70" w:type="dxa"/>
              <w:end w:w="90" w:type="dxa"/>
            </w:tcMar>
            <w:vAlign w:val="top"/>
          </w:tcPr>
          <w:p>
            <w:pPr>
              <w:spacing w:after="0" w:line="240" w:lineRule="auto"/>
            </w:pPr>
            <w:r>
              <w:rPr>
                <w:sz w:val="16"/>
              </w:rPr>
              <w:t>m⁻² s⁻¹; for isotropic j, angular factor is π, not 4π.</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6"/>
              </w:rPr>
              <w:t>Number density</w:t>
            </w:r>
          </w:p>
        </w:tc>
        <w:tc>
          <w:tcPr>
            <w:tcW w:type="dxa" w:w="3816"/>
            <w:tcMar>
              <w:top w:w="70" w:type="dxa"/>
              <w:start w:w="90" w:type="dxa"/>
              <w:bottom w:w="70" w:type="dxa"/>
              <w:end w:w="90" w:type="dxa"/>
            </w:tcMar>
            <w:vAlign w:val="top"/>
          </w:tcPr>
          <w:p>
            <w:pPr>
              <w:spacing w:after="0" w:line="240" w:lineRule="auto"/>
            </w:pPr>
            <w:r>
              <w:rPr>
                <w:sz w:val="16"/>
              </w:rPr>
              <w:t>n=∫∫ j/v dΩ dE</w:t>
            </w:r>
          </w:p>
        </w:tc>
        <w:tc>
          <w:tcPr>
            <w:tcW w:type="dxa" w:w="3671"/>
            <w:tcMar>
              <w:top w:w="70" w:type="dxa"/>
              <w:start w:w="90" w:type="dxa"/>
              <w:bottom w:w="70" w:type="dxa"/>
              <w:end w:w="90" w:type="dxa"/>
            </w:tcMar>
            <w:vAlign w:val="top"/>
          </w:tcPr>
          <w:p>
            <w:pPr>
              <w:spacing w:after="0" w:line="240" w:lineRule="auto"/>
            </w:pPr>
            <w:r>
              <w:rPr>
                <w:sz w:val="16"/>
              </w:rPr>
              <w:t>m⁻³; present 4π∫Jlocal/v dE is the isotropic special case.</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6"/>
              </w:rPr>
              <w:t>Instrument count/rate</w:t>
            </w:r>
          </w:p>
        </w:tc>
        <w:tc>
          <w:tcPr>
            <w:tcW w:type="dxa" w:w="3816"/>
            <w:shd w:fill="F8FAFB"/>
            <w:tcMar>
              <w:top w:w="70" w:type="dxa"/>
              <w:start w:w="90" w:type="dxa"/>
              <w:bottom w:w="70" w:type="dxa"/>
              <w:end w:w="90" w:type="dxa"/>
            </w:tcMar>
            <w:vAlign w:val="top"/>
          </w:tcPr>
          <w:p>
            <w:pPr>
              <w:spacing w:after="0" w:line="240" w:lineRule="auto"/>
            </w:pPr>
            <w:r>
              <w:rPr>
                <w:sz w:val="16"/>
              </w:rPr>
              <w:t>Ck(t)=∫∫ Gk(E,Ω,t) j(E,Ω,t)dΩdE</w:t>
            </w:r>
          </w:p>
        </w:tc>
        <w:tc>
          <w:tcPr>
            <w:tcW w:type="dxa" w:w="3671"/>
            <w:shd w:fill="F8FAFB"/>
            <w:tcMar>
              <w:top w:w="70" w:type="dxa"/>
              <w:start w:w="90" w:type="dxa"/>
              <w:bottom w:w="70" w:type="dxa"/>
              <w:end w:w="90" w:type="dxa"/>
            </w:tcMar>
            <w:vAlign w:val="top"/>
          </w:tcPr>
          <w:p>
            <w:pPr>
              <w:spacing w:after="0" w:line="240" w:lineRule="auto"/>
            </w:pPr>
            <w:r>
              <w:rPr>
                <w:sz w:val="16"/>
              </w:rPr>
              <w:t>counts s⁻¹ or channel product; G includes aperture/response convention.</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6"/>
              </w:rPr>
              <w:t>Access bounds</w:t>
            </w:r>
          </w:p>
        </w:tc>
        <w:tc>
          <w:tcPr>
            <w:tcW w:type="dxa" w:w="3816"/>
            <w:tcMar>
              <w:top w:w="70" w:type="dxa"/>
              <w:start w:w="90" w:type="dxa"/>
              <w:bottom w:w="70" w:type="dxa"/>
              <w:end w:w="90" w:type="dxa"/>
            </w:tcMar>
            <w:vAlign w:val="top"/>
          </w:tcPr>
          <w:p>
            <w:pPr>
              <w:spacing w:after="0" w:line="240" w:lineRule="auto"/>
            </w:pPr>
            <w:r>
              <w:rPr>
                <w:sz w:val="16"/>
              </w:rPr>
              <w:t>lower: unresolved blocked; upper: unresolved externally connected</w:t>
            </w:r>
          </w:p>
        </w:tc>
        <w:tc>
          <w:tcPr>
            <w:tcW w:type="dxa" w:w="3671"/>
            <w:tcMar>
              <w:top w:w="70" w:type="dxa"/>
              <w:start w:w="90" w:type="dxa"/>
              <w:bottom w:w="70" w:type="dxa"/>
              <w:end w:w="90" w:type="dxa"/>
            </w:tcMar>
            <w:vAlign w:val="top"/>
          </w:tcPr>
          <w:p>
            <w:pPr>
              <w:spacing w:after="0" w:line="240" w:lineRule="auto"/>
            </w:pPr>
            <w:r>
              <w:rPr>
                <w:sz w:val="16"/>
              </w:rPr>
              <w:t>Bracket on every integrated or response-folded product.</w:t>
            </w:r>
          </w:p>
        </w:tc>
      </w:tr>
    </w:tbl>
    <w:p>
      <w:pPr>
        <w:spacing w:after="0"/>
      </w:pPr>
    </w:p>
    <w:p>
      <w:pPr>
        <w:pStyle w:val="Heading2"/>
      </w:pPr>
      <w:bookmarkStart w:id="109" w:name="toc_section_10"/>
      <w:r>
        <w:t>3.3 Required per-trajectory record</w:t>
      </w:r>
      <w:bookmarkEnd w:id="109"/>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5354A"/>
            <w:tcMar>
              <w:top w:w="70" w:type="dxa"/>
              <w:start w:w="90" w:type="dxa"/>
              <w:bottom w:w="70" w:type="dxa"/>
              <w:end w:w="90" w:type="dxa"/>
            </w:tcMar>
            <w:vAlign w:val="center"/>
          </w:tcPr>
          <w:p>
            <w:pPr>
              <w:spacing w:after="0"/>
              <w:jc w:val="left"/>
            </w:pPr>
            <w:r>
              <w:rPr>
                <w:b/>
                <w:color w:val="FFFFFF"/>
                <w:sz w:val="16"/>
              </w:rPr>
              <w:t>Group</w:t>
            </w:r>
          </w:p>
        </w:tc>
        <w:tc>
          <w:tcPr>
            <w:tcW w:type="dxa" w:w="5400"/>
            <w:shd w:fill="15354A"/>
            <w:tcMar>
              <w:top w:w="70" w:type="dxa"/>
              <w:start w:w="90" w:type="dxa"/>
              <w:bottom w:w="70" w:type="dxa"/>
              <w:end w:w="90" w:type="dxa"/>
            </w:tcMar>
            <w:vAlign w:val="center"/>
          </w:tcPr>
          <w:p>
            <w:pPr>
              <w:spacing w:after="0"/>
              <w:jc w:val="left"/>
            </w:pPr>
            <w:r>
              <w:rPr>
                <w:b/>
                <w:color w:val="FFFFFF"/>
                <w:sz w:val="16"/>
              </w:rPr>
              <w:t>Required fields</w:t>
            </w:r>
          </w:p>
        </w:tc>
        <w:tc>
          <w:tcPr>
            <w:tcW w:type="dxa" w:w="2592"/>
            <w:shd w:fill="15354A"/>
            <w:tcMar>
              <w:top w:w="70" w:type="dxa"/>
              <w:start w:w="90" w:type="dxa"/>
              <w:bottom w:w="70" w:type="dxa"/>
              <w:end w:w="90" w:type="dxa"/>
            </w:tcMar>
            <w:vAlign w:val="center"/>
          </w:tcPr>
          <w:p>
            <w:pPr>
              <w:spacing w:after="0"/>
              <w:jc w:val="left"/>
            </w:pPr>
            <w:r>
              <w:rPr>
                <w:b/>
                <w:color w:val="FFFFFF"/>
                <w:sz w:val="16"/>
              </w:rPr>
              <w:t>Why retained</w:t>
            </w:r>
          </w:p>
        </w:tc>
      </w:tr>
      <w:tr>
        <w:trPr>
          <w:cantSplit/>
        </w:trPr>
        <w:tc>
          <w:tcPr>
            <w:tcW w:type="dxa" w:w="1800"/>
            <w:tcMar>
              <w:top w:w="70" w:type="dxa"/>
              <w:start w:w="90" w:type="dxa"/>
              <w:bottom w:w="70" w:type="dxa"/>
              <w:end w:w="90" w:type="dxa"/>
            </w:tcMar>
            <w:vAlign w:val="top"/>
          </w:tcPr>
          <w:p>
            <w:pPr>
              <w:spacing w:after="0" w:line="240" w:lineRule="auto"/>
            </w:pPr>
            <w:r>
              <w:rPr>
                <w:b/>
                <w:color w:val="15354A"/>
                <w:sz w:val="16"/>
              </w:rPr>
              <w:t>Local launch</w:t>
            </w:r>
          </w:p>
        </w:tc>
        <w:tc>
          <w:tcPr>
            <w:tcW w:type="dxa" w:w="5400"/>
            <w:tcMar>
              <w:top w:w="70" w:type="dxa"/>
              <w:start w:w="90" w:type="dxa"/>
              <w:bottom w:w="70" w:type="dxa"/>
              <w:end w:w="90" w:type="dxa"/>
            </w:tcMar>
            <w:vAlign w:val="top"/>
          </w:tcPr>
          <w:p>
            <w:pPr>
              <w:spacing w:after="0" w:line="240" w:lineRule="auto"/>
            </w:pPr>
            <w:r>
              <w:rPr>
                <w:sz w:val="16"/>
              </w:rPr>
              <w:t>target ID, epoch, position/frame, species, charge, mass, E or rigidity, arrival direction, quadrature weight</w:t>
            </w:r>
          </w:p>
        </w:tc>
        <w:tc>
          <w:tcPr>
            <w:tcW w:type="dxa" w:w="2592"/>
            <w:tcMar>
              <w:top w:w="70" w:type="dxa"/>
              <w:start w:w="90" w:type="dxa"/>
              <w:bottom w:w="70" w:type="dxa"/>
              <w:end w:w="90" w:type="dxa"/>
            </w:tcMar>
            <w:vAlign w:val="top"/>
          </w:tcPr>
          <w:p>
            <w:pPr>
              <w:spacing w:after="0" w:line="240" w:lineRule="auto"/>
            </w:pPr>
            <w:r>
              <w:rPr>
                <w:sz w:val="16"/>
              </w:rPr>
              <w:t>Reconstruction and reproducibility.</w:t>
            </w:r>
          </w:p>
        </w:tc>
      </w:tr>
      <w:tr>
        <w:trPr>
          <w:cantSplit/>
        </w:trPr>
        <w:tc>
          <w:tcPr>
            <w:tcW w:type="dxa" w:w="1800"/>
            <w:shd w:fill="F8FAFB"/>
            <w:tcMar>
              <w:top w:w="70" w:type="dxa"/>
              <w:start w:w="90" w:type="dxa"/>
              <w:bottom w:w="70" w:type="dxa"/>
              <w:end w:w="90" w:type="dxa"/>
            </w:tcMar>
            <w:vAlign w:val="top"/>
          </w:tcPr>
          <w:p>
            <w:pPr>
              <w:spacing w:after="0" w:line="240" w:lineRule="auto"/>
            </w:pPr>
            <w:r>
              <w:rPr>
                <w:b/>
                <w:color w:val="15354A"/>
                <w:sz w:val="16"/>
              </w:rPr>
              <w:t>Asymptotic state</w:t>
            </w:r>
          </w:p>
        </w:tc>
        <w:tc>
          <w:tcPr>
            <w:tcW w:type="dxa" w:w="5400"/>
            <w:shd w:fill="F8FAFB"/>
            <w:tcMar>
              <w:top w:w="70" w:type="dxa"/>
              <w:start w:w="90" w:type="dxa"/>
              <w:bottom w:w="70" w:type="dxa"/>
              <w:end w:w="90" w:type="dxa"/>
            </w:tcMar>
            <w:vAlign w:val="top"/>
          </w:tcPr>
          <w:p>
            <w:pPr>
              <w:spacing w:after="0" w:line="240" w:lineRule="auto"/>
            </w:pPr>
            <w:r>
              <w:rPr>
                <w:sz w:val="16"/>
              </w:rPr>
              <w:t>exit time, position/frame, momentum/energy, direction, pitch angle, boundary face</w:t>
            </w:r>
          </w:p>
        </w:tc>
        <w:tc>
          <w:tcPr>
            <w:tcW w:type="dxa" w:w="2592"/>
            <w:shd w:fill="F8FAFB"/>
            <w:tcMar>
              <w:top w:w="70" w:type="dxa"/>
              <w:start w:w="90" w:type="dxa"/>
              <w:bottom w:w="70" w:type="dxa"/>
              <w:end w:w="90" w:type="dxa"/>
            </w:tcMar>
            <w:vAlign w:val="top"/>
          </w:tcPr>
          <w:p>
            <w:pPr>
              <w:spacing w:after="0" w:line="240" w:lineRule="auto"/>
            </w:pPr>
            <w:r>
              <w:rPr>
                <w:sz w:val="16"/>
              </w:rPr>
              <w:t>Anisotropic/time-varying boundary evaluation and detector geometry.</w:t>
            </w:r>
          </w:p>
        </w:tc>
      </w:tr>
      <w:tr>
        <w:trPr>
          <w:cantSplit/>
        </w:trPr>
        <w:tc>
          <w:tcPr>
            <w:tcW w:type="dxa" w:w="1800"/>
            <w:tcMar>
              <w:top w:w="70" w:type="dxa"/>
              <w:start w:w="90" w:type="dxa"/>
              <w:bottom w:w="70" w:type="dxa"/>
              <w:end w:w="90" w:type="dxa"/>
            </w:tcMar>
            <w:vAlign w:val="top"/>
          </w:tcPr>
          <w:p>
            <w:pPr>
              <w:spacing w:after="0" w:line="240" w:lineRule="auto"/>
            </w:pPr>
            <w:r>
              <w:rPr>
                <w:b/>
                <w:color w:val="15354A"/>
                <w:sz w:val="16"/>
              </w:rPr>
              <w:t>Termination</w:t>
            </w:r>
          </w:p>
        </w:tc>
        <w:tc>
          <w:tcPr>
            <w:tcW w:type="dxa" w:w="5400"/>
            <w:tcMar>
              <w:top w:w="70" w:type="dxa"/>
              <w:start w:w="90" w:type="dxa"/>
              <w:bottom w:w="70" w:type="dxa"/>
              <w:end w:w="90" w:type="dxa"/>
            </w:tcMar>
            <w:vAlign w:val="top"/>
          </w:tcPr>
          <w:p>
            <w:pPr>
              <w:spacing w:after="0" w:line="240" w:lineRule="auto"/>
            </w:pPr>
            <w:r>
              <w:rPr>
                <w:sz w:val="16"/>
              </w:rPr>
              <w:t>resolved flag, physical category, numerical category, steps, path length, trace time, retry state</w:t>
            </w:r>
          </w:p>
        </w:tc>
        <w:tc>
          <w:tcPr>
            <w:tcW w:type="dxa" w:w="2592"/>
            <w:tcMar>
              <w:top w:w="70" w:type="dxa"/>
              <w:start w:w="90" w:type="dxa"/>
              <w:bottom w:w="70" w:type="dxa"/>
              <w:end w:w="90" w:type="dxa"/>
            </w:tcMar>
            <w:vAlign w:val="top"/>
          </w:tcPr>
          <w:p>
            <w:pPr>
              <w:spacing w:after="0" w:line="240" w:lineRule="auto"/>
            </w:pPr>
            <w:r>
              <w:rPr>
                <w:sz w:val="16"/>
              </w:rPr>
              <w:t>Separate shielding/trapping from numerical truncation.</w:t>
            </w:r>
          </w:p>
        </w:tc>
      </w:tr>
      <w:tr>
        <w:trPr>
          <w:cantSplit/>
        </w:trPr>
        <w:tc>
          <w:tcPr>
            <w:tcW w:type="dxa" w:w="1800"/>
            <w:shd w:fill="F8FAFB"/>
            <w:tcMar>
              <w:top w:w="70" w:type="dxa"/>
              <w:start w:w="90" w:type="dxa"/>
              <w:bottom w:w="70" w:type="dxa"/>
              <w:end w:w="90" w:type="dxa"/>
            </w:tcMar>
            <w:vAlign w:val="top"/>
          </w:tcPr>
          <w:p>
            <w:pPr>
              <w:spacing w:after="0" w:line="240" w:lineRule="auto"/>
            </w:pPr>
            <w:r>
              <w:rPr>
                <w:b/>
                <w:color w:val="15354A"/>
                <w:sz w:val="16"/>
              </w:rPr>
              <w:t>Weight</w:t>
            </w:r>
          </w:p>
        </w:tc>
        <w:tc>
          <w:tcPr>
            <w:tcW w:type="dxa" w:w="5400"/>
            <w:shd w:fill="F8FAFB"/>
            <w:tcMar>
              <w:top w:w="70" w:type="dxa"/>
              <w:start w:w="90" w:type="dxa"/>
              <w:bottom w:w="70" w:type="dxa"/>
              <w:end w:w="90" w:type="dxa"/>
            </w:tcMar>
            <w:vAlign w:val="top"/>
          </w:tcPr>
          <w:p>
            <w:pPr>
              <w:spacing w:after="0" w:line="240" w:lineRule="auto"/>
            </w:pPr>
            <w:r>
              <w:rPr>
                <w:sz w:val="16"/>
              </w:rPr>
              <w:t>access, PAD/spatial normalization, importance weight, p² ratio</w:t>
            </w:r>
          </w:p>
        </w:tc>
        <w:tc>
          <w:tcPr>
            <w:tcW w:type="dxa" w:w="2592"/>
            <w:shd w:fill="F8FAFB"/>
            <w:tcMar>
              <w:top w:w="70" w:type="dxa"/>
              <w:start w:w="90" w:type="dxa"/>
              <w:bottom w:w="70" w:type="dxa"/>
              <w:end w:w="90" w:type="dxa"/>
            </w:tcMar>
            <w:vAlign w:val="top"/>
          </w:tcPr>
          <w:p>
            <w:pPr>
              <w:spacing w:after="0" w:line="240" w:lineRule="auto"/>
            </w:pPr>
            <w:r>
              <w:rPr>
                <w:sz w:val="16"/>
              </w:rPr>
              <w:t>Auditable phase-space mapping.</w:t>
            </w:r>
          </w:p>
        </w:tc>
      </w:tr>
      <w:tr>
        <w:trPr>
          <w:cantSplit/>
        </w:trPr>
        <w:tc>
          <w:tcPr>
            <w:tcW w:type="dxa" w:w="1800"/>
            <w:tcMar>
              <w:top w:w="70" w:type="dxa"/>
              <w:start w:w="90" w:type="dxa"/>
              <w:bottom w:w="70" w:type="dxa"/>
              <w:end w:w="90" w:type="dxa"/>
            </w:tcMar>
            <w:vAlign w:val="top"/>
          </w:tcPr>
          <w:p>
            <w:pPr>
              <w:spacing w:after="0" w:line="240" w:lineRule="auto"/>
            </w:pPr>
            <w:r>
              <w:rPr>
                <w:b/>
                <w:color w:val="15354A"/>
                <w:sz w:val="16"/>
              </w:rPr>
              <w:t>Provenance</w:t>
            </w:r>
          </w:p>
        </w:tc>
        <w:tc>
          <w:tcPr>
            <w:tcW w:type="dxa" w:w="5400"/>
            <w:tcMar>
              <w:top w:w="70" w:type="dxa"/>
              <w:start w:w="90" w:type="dxa"/>
              <w:bottom w:w="70" w:type="dxa"/>
              <w:end w:w="90" w:type="dxa"/>
            </w:tcMar>
            <w:vAlign w:val="top"/>
          </w:tcPr>
          <w:p>
            <w:pPr>
              <w:spacing w:after="0" w:line="240" w:lineRule="auto"/>
            </w:pPr>
            <w:r>
              <w:rPr>
                <w:sz w:val="16"/>
              </w:rPr>
              <w:t>field model/version, driver sample, mesh/snapshot IDs, mover, tolerances, git revision</w:t>
            </w:r>
          </w:p>
        </w:tc>
        <w:tc>
          <w:tcPr>
            <w:tcW w:type="dxa" w:w="2592"/>
            <w:tcMar>
              <w:top w:w="70" w:type="dxa"/>
              <w:start w:w="90" w:type="dxa"/>
              <w:bottom w:w="70" w:type="dxa"/>
              <w:end w:w="90" w:type="dxa"/>
            </w:tcMar>
            <w:vAlign w:val="top"/>
          </w:tcPr>
          <w:p>
            <w:pPr>
              <w:spacing w:after="0" w:line="240" w:lineRule="auto"/>
            </w:pPr>
            <w:r>
              <w:rPr>
                <w:sz w:val="16"/>
              </w:rPr>
              <w:t>Reproducible event validation.</w:t>
            </w:r>
          </w:p>
        </w:tc>
      </w:tr>
    </w:tbl>
    <w:p>
      <w:pPr>
        <w:spacing w:after="0"/>
      </w:pPr>
    </w:p>
    <w:p>
      <w:pPr>
        <w:pStyle w:val="Heading1"/>
      </w:pPr>
      <w:bookmarkStart w:id="110" w:name="toc_section_11"/>
      <w:r>
        <w:t>4. Target architecture</w:t>
      </w:r>
      <w:bookmarkEnd w:id="110"/>
    </w:p>
    <w:p>
      <w:r>
        <w:t>The implementation should preserve a single source of truth for grids, units, spectra, trajectory accounting, and quadrature. Gridless, Mode3D, and forward modes may use different field evaluators and schedulers, but must call the same production kernels for shared physics.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5354A"/>
            <w:tcMar>
              <w:top w:w="70" w:type="dxa"/>
              <w:start w:w="90" w:type="dxa"/>
              <w:bottom w:w="70" w:type="dxa"/>
              <w:end w:w="90" w:type="dxa"/>
            </w:tcMar>
            <w:vAlign w:val="center"/>
          </w:tcPr>
          <w:p>
            <w:pPr>
              <w:spacing w:after="0"/>
              <w:jc w:val="left"/>
            </w:pPr>
            <w:r>
              <w:rPr>
                <w:b/>
                <w:color w:val="FFFFFF"/>
                <w:sz w:val="16"/>
              </w:rPr>
              <w:t>Layer</w:t>
            </w:r>
          </w:p>
        </w:tc>
        <w:tc>
          <w:tcPr>
            <w:tcW w:type="dxa" w:w="5400"/>
            <w:shd w:fill="15354A"/>
            <w:tcMar>
              <w:top w:w="70" w:type="dxa"/>
              <w:start w:w="90" w:type="dxa"/>
              <w:bottom w:w="70" w:type="dxa"/>
              <w:end w:w="90" w:type="dxa"/>
            </w:tcMar>
            <w:vAlign w:val="center"/>
          </w:tcPr>
          <w:p>
            <w:pPr>
              <w:spacing w:after="0"/>
              <w:jc w:val="left"/>
            </w:pPr>
            <w:r>
              <w:rPr>
                <w:b/>
                <w:color w:val="FFFFFF"/>
                <w:sz w:val="16"/>
              </w:rPr>
              <w:t>Responsibility</w:t>
            </w:r>
          </w:p>
        </w:tc>
        <w:tc>
          <w:tcPr>
            <w:tcW w:type="dxa" w:w="2448"/>
            <w:shd w:fill="15354A"/>
            <w:tcMar>
              <w:top w:w="70" w:type="dxa"/>
              <w:start w:w="90" w:type="dxa"/>
              <w:bottom w:w="70" w:type="dxa"/>
              <w:end w:w="90" w:type="dxa"/>
            </w:tcMar>
            <w:vAlign w:val="center"/>
          </w:tcPr>
          <w:p>
            <w:pPr>
              <w:spacing w:after="0"/>
              <w:jc w:val="left"/>
            </w:pPr>
            <w:r>
              <w:rPr>
                <w:b/>
                <w:color w:val="FFFFFF"/>
                <w:sz w:val="16"/>
              </w:rPr>
              <w:t>Release rule</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1. State/units</w:t>
            </w:r>
          </w:p>
        </w:tc>
        <w:tc>
          <w:tcPr>
            <w:tcW w:type="dxa" w:w="5400"/>
            <w:tcMar>
              <w:top w:w="70" w:type="dxa"/>
              <w:start w:w="90" w:type="dxa"/>
              <w:bottom w:w="70" w:type="dxa"/>
              <w:end w:w="90" w:type="dxa"/>
            </w:tcMar>
            <w:vAlign w:val="top"/>
          </w:tcPr>
          <w:p>
            <w:pPr>
              <w:spacing w:after="0" w:line="240" w:lineRule="auto"/>
            </w:pPr>
            <w:r>
              <w:rPr>
                <w:sz w:val="16"/>
              </w:rPr>
              <w:t>Species, energy–momentum–rigidity transforms, per-particle vs per-nucleon convention, frames, epochs.</w:t>
            </w:r>
          </w:p>
        </w:tc>
        <w:tc>
          <w:tcPr>
            <w:tcW w:type="dxa" w:w="2448"/>
            <w:tcMar>
              <w:top w:w="70" w:type="dxa"/>
              <w:start w:w="90" w:type="dxa"/>
              <w:bottom w:w="70" w:type="dxa"/>
              <w:end w:w="90" w:type="dxa"/>
            </w:tcMar>
            <w:vAlign w:val="top"/>
          </w:tcPr>
          <w:p>
            <w:pPr>
              <w:spacing w:after="0" w:line="240" w:lineRule="auto"/>
            </w:pPr>
            <w:r>
              <w:rPr>
                <w:sz w:val="16"/>
              </w:rPr>
              <w:t>Standalone U-tests; no duplicated conversion formulas.</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2. Boundary distribution</w:t>
            </w:r>
          </w:p>
        </w:tc>
        <w:tc>
          <w:tcPr>
            <w:tcW w:type="dxa" w:w="5400"/>
            <w:shd w:fill="F8FAFB"/>
            <w:tcMar>
              <w:top w:w="70" w:type="dxa"/>
              <w:start w:w="90" w:type="dxa"/>
              <w:bottom w:w="70" w:type="dxa"/>
              <w:end w:w="90" w:type="dxa"/>
            </w:tcMar>
            <w:vAlign w:val="top"/>
          </w:tcPr>
          <w:p>
            <w:pPr>
              <w:spacing w:after="0" w:line="240" w:lineRule="auto"/>
            </w:pPr>
            <w:r>
              <w:rPr>
                <w:sz w:val="16"/>
              </w:rPr>
              <w:t>Energy spectrum, composition, PAD/spatial model, temporal interpolation, uncertainty ensemble.</w:t>
            </w:r>
          </w:p>
        </w:tc>
        <w:tc>
          <w:tcPr>
            <w:tcW w:type="dxa" w:w="2448"/>
            <w:shd w:fill="F8FAFB"/>
            <w:tcMar>
              <w:top w:w="70" w:type="dxa"/>
              <w:start w:w="90" w:type="dxa"/>
              <w:bottom w:w="70" w:type="dxa"/>
              <w:end w:w="90" w:type="dxa"/>
            </w:tcMar>
            <w:vAlign w:val="top"/>
          </w:tcPr>
          <w:p>
            <w:pPr>
              <w:spacing w:after="0" w:line="240" w:lineRule="auto"/>
            </w:pPr>
            <w:r>
              <w:rPr>
                <w:sz w:val="16"/>
              </w:rPr>
              <w:t>Normalized convention and gap policy in metadata.</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3. Characteristic solver</w:t>
            </w:r>
          </w:p>
        </w:tc>
        <w:tc>
          <w:tcPr>
            <w:tcW w:type="dxa" w:w="5400"/>
            <w:tcMar>
              <w:top w:w="70" w:type="dxa"/>
              <w:start w:w="90" w:type="dxa"/>
              <w:bottom w:w="70" w:type="dxa"/>
              <w:end w:w="90" w:type="dxa"/>
            </w:tcMar>
            <w:vAlign w:val="top"/>
          </w:tcPr>
          <w:p>
            <w:pPr>
              <w:spacing w:after="0" w:line="240" w:lineRule="auto"/>
            </w:pPr>
            <w:r>
              <w:rPr>
                <w:sz w:val="16"/>
              </w:rPr>
              <w:t>Gridless analytic/empirical fields or Mode3D mesh fields; termination and asymptotic state.</w:t>
            </w:r>
          </w:p>
        </w:tc>
        <w:tc>
          <w:tcPr>
            <w:tcW w:type="dxa" w:w="2448"/>
            <w:tcMar>
              <w:top w:w="70" w:type="dxa"/>
              <w:start w:w="90" w:type="dxa"/>
              <w:bottom w:w="70" w:type="dxa"/>
              <w:end w:w="90" w:type="dxa"/>
            </w:tcMar>
            <w:vAlign w:val="top"/>
          </w:tcPr>
          <w:p>
            <w:pPr>
              <w:spacing w:after="0" w:line="240" w:lineRule="auto"/>
            </w:pPr>
            <w:r>
              <w:rPr>
                <w:sz w:val="16"/>
              </w:rPr>
              <w:t>Same termination schema and bound policy in every backend.</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4. Phase-space mapper</w:t>
            </w:r>
          </w:p>
        </w:tc>
        <w:tc>
          <w:tcPr>
            <w:tcW w:type="dxa" w:w="5400"/>
            <w:shd w:fill="F8FAFB"/>
            <w:tcMar>
              <w:top w:w="70" w:type="dxa"/>
              <w:start w:w="90" w:type="dxa"/>
              <w:bottom w:w="70" w:type="dxa"/>
              <w:end w:w="90" w:type="dxa"/>
            </w:tcMar>
            <w:vAlign w:val="top"/>
          </w:tcPr>
          <w:p>
            <w:pPr>
              <w:spacing w:after="0" w:line="240" w:lineRule="auto"/>
            </w:pPr>
            <w:r>
              <w:rPr>
                <w:sz w:val="16"/>
              </w:rPr>
              <w:t>Access, p² mapping, deterministic/stochastic quadrature weights, lower/upper bounds.</w:t>
            </w:r>
          </w:p>
        </w:tc>
        <w:tc>
          <w:tcPr>
            <w:tcW w:type="dxa" w:w="2448"/>
            <w:shd w:fill="F8FAFB"/>
            <w:tcMar>
              <w:top w:w="70" w:type="dxa"/>
              <w:start w:w="90" w:type="dxa"/>
              <w:bottom w:w="70" w:type="dxa"/>
              <w:end w:w="90" w:type="dxa"/>
            </w:tcMar>
            <w:vAlign w:val="top"/>
          </w:tcPr>
          <w:p>
            <w:pPr>
              <w:spacing w:after="0" w:line="240" w:lineRule="auto"/>
            </w:pPr>
            <w:r>
              <w:rPr>
                <w:sz w:val="16"/>
              </w:rPr>
              <w:t>Backend-independent production library.</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5. Product integrator</w:t>
            </w:r>
          </w:p>
        </w:tc>
        <w:tc>
          <w:tcPr>
            <w:tcW w:type="dxa" w:w="5400"/>
            <w:tcMar>
              <w:top w:w="70" w:type="dxa"/>
              <w:start w:w="90" w:type="dxa"/>
              <w:bottom w:w="70" w:type="dxa"/>
              <w:end w:w="90" w:type="dxa"/>
            </w:tcMar>
            <w:vAlign w:val="top"/>
          </w:tcPr>
          <w:p>
            <w:pPr>
              <w:spacing w:after="0" w:line="240" w:lineRule="auto"/>
            </w:pPr>
            <w:r>
              <w:rPr>
                <w:sz w:val="16"/>
              </w:rPr>
              <w:t>Directional/omnidirectional spectra, density, planar flux, channel integrals.</w:t>
            </w:r>
          </w:p>
        </w:tc>
        <w:tc>
          <w:tcPr>
            <w:tcW w:type="dxa" w:w="2448"/>
            <w:tcMar>
              <w:top w:w="70" w:type="dxa"/>
              <w:start w:w="90" w:type="dxa"/>
              <w:bottom w:w="70" w:type="dxa"/>
              <w:end w:w="90" w:type="dxa"/>
            </w:tcMar>
            <w:vAlign w:val="top"/>
          </w:tcPr>
          <w:p>
            <w:pPr>
              <w:spacing w:after="0" w:line="240" w:lineRule="auto"/>
            </w:pPr>
            <w:r>
              <w:rPr>
                <w:sz w:val="16"/>
              </w:rPr>
              <w:t>Adaptive error estimate reported with every result.</w:t>
            </w:r>
          </w:p>
        </w:tc>
      </w:tr>
      <w:tr>
        <w:trPr>
          <w:cantSplit/>
        </w:trPr>
        <w:tc>
          <w:tcPr>
            <w:tcW w:type="dxa" w:w="1944"/>
            <w:shd w:fill="F8FAFB"/>
            <w:tcMar>
              <w:top w:w="70" w:type="dxa"/>
              <w:start w:w="90" w:type="dxa"/>
              <w:bottom w:w="70" w:type="dxa"/>
              <w:end w:w="90" w:type="dxa"/>
            </w:tcMar>
            <w:vAlign w:val="top"/>
          </w:tcPr>
          <w:p>
            <w:pPr>
              <w:spacing w:after="0" w:line="240" w:lineRule="auto"/>
            </w:pPr>
            <w:r>
              <w:rPr>
                <w:b/>
                <w:color w:val="15354A"/>
                <w:sz w:val="16"/>
              </w:rPr>
              <w:t>6. Instrument adapter</w:t>
            </w:r>
          </w:p>
        </w:tc>
        <w:tc>
          <w:tcPr>
            <w:tcW w:type="dxa" w:w="5400"/>
            <w:shd w:fill="F8FAFB"/>
            <w:tcMar>
              <w:top w:w="70" w:type="dxa"/>
              <w:start w:w="90" w:type="dxa"/>
              <w:bottom w:w="70" w:type="dxa"/>
              <w:end w:w="90" w:type="dxa"/>
            </w:tcMar>
            <w:vAlign w:val="top"/>
          </w:tcPr>
          <w:p>
            <w:pPr>
              <w:spacing w:after="0" w:line="240" w:lineRule="auto"/>
            </w:pPr>
            <w:r>
              <w:rPr>
                <w:sz w:val="16"/>
              </w:rPr>
              <w:t>Ephemeris, attitude, frame conversion, energy/angular response, geometry factor, cadence, dead time/background.</w:t>
            </w:r>
          </w:p>
        </w:tc>
        <w:tc>
          <w:tcPr>
            <w:tcW w:type="dxa" w:w="2448"/>
            <w:shd w:fill="F8FAFB"/>
            <w:tcMar>
              <w:top w:w="70" w:type="dxa"/>
              <w:start w:w="90" w:type="dxa"/>
              <w:bottom w:w="70" w:type="dxa"/>
              <w:end w:w="90" w:type="dxa"/>
            </w:tcMar>
            <w:vAlign w:val="top"/>
          </w:tcPr>
          <w:p>
            <w:pPr>
              <w:spacing w:after="0" w:line="240" w:lineRule="auto"/>
            </w:pPr>
            <w:r>
              <w:rPr>
                <w:sz w:val="16"/>
              </w:rPr>
              <w:t>Observation comparison only through a versioned adapter.</w:t>
            </w:r>
          </w:p>
        </w:tc>
      </w:tr>
      <w:tr>
        <w:trPr>
          <w:cantSplit/>
        </w:trPr>
        <w:tc>
          <w:tcPr>
            <w:tcW w:type="dxa" w:w="1944"/>
            <w:tcMar>
              <w:top w:w="70" w:type="dxa"/>
              <w:start w:w="90" w:type="dxa"/>
              <w:bottom w:w="70" w:type="dxa"/>
              <w:end w:w="90" w:type="dxa"/>
            </w:tcMar>
            <w:vAlign w:val="top"/>
          </w:tcPr>
          <w:p>
            <w:pPr>
              <w:spacing w:after="0" w:line="240" w:lineRule="auto"/>
            </w:pPr>
            <w:r>
              <w:rPr>
                <w:b/>
                <w:color w:val="15354A"/>
                <w:sz w:val="16"/>
              </w:rPr>
              <w:t>7. Validation/provenance</w:t>
            </w:r>
          </w:p>
        </w:tc>
        <w:tc>
          <w:tcPr>
            <w:tcW w:type="dxa" w:w="5400"/>
            <w:tcMar>
              <w:top w:w="70" w:type="dxa"/>
              <w:start w:w="90" w:type="dxa"/>
              <w:bottom w:w="70" w:type="dxa"/>
              <w:end w:w="90" w:type="dxa"/>
            </w:tcMar>
            <w:vAlign w:val="top"/>
          </w:tcPr>
          <w:p>
            <w:pPr>
              <w:spacing w:after="0" w:line="240" w:lineRule="auto"/>
            </w:pPr>
            <w:r>
              <w:rPr>
                <w:sz w:val="16"/>
              </w:rPr>
              <w:t>U/I/F/O runners, manifests, metrics, plots, machine-readable PASS/FAIL.</w:t>
            </w:r>
          </w:p>
        </w:tc>
        <w:tc>
          <w:tcPr>
            <w:tcW w:type="dxa" w:w="2448"/>
            <w:tcMar>
              <w:top w:w="70" w:type="dxa"/>
              <w:start w:w="90" w:type="dxa"/>
              <w:bottom w:w="70" w:type="dxa"/>
              <w:end w:w="90" w:type="dxa"/>
            </w:tcMar>
            <w:vAlign w:val="top"/>
          </w:tcPr>
          <w:p>
            <w:pPr>
              <w:spacing w:after="0" w:line="240" w:lineRule="auto"/>
            </w:pPr>
            <w:r>
              <w:rPr>
                <w:sz w:val="16"/>
              </w:rPr>
              <w:t>No release from manually inspected plots alone.</w:t>
            </w:r>
          </w:p>
        </w:tc>
      </w:tr>
    </w:tbl>
    <w:p>
      <w:pPr>
        <w:spacing w:after="0"/>
      </w:pPr>
    </w:p>
    <w:p>
      <w:pPr>
        <w:pStyle w:val="Heading2"/>
      </w:pPr>
      <w:bookmarkStart w:id="111" w:name="toc_section_12"/>
      <w:r>
        <w:t>4.1 Instrument adapter contract</w:t>
      </w:r>
      <w:bookmarkEnd w:id="111"/>
    </w:p>
    <w:p>
      <w:pPr>
        <w:pStyle w:val="ListBullet"/>
      </w:pPr>
      <w:r>
        <w:t>Interpolate spacecraft position and attitude to model epochs and transform detector look directions into the solver frame.</w:t>
      </w:r>
    </w:p>
    <w:p>
      <w:pPr>
        <w:pStyle w:val="ListBullet"/>
      </w:pPr>
      <w:r>
        <w:t>Use full channel response or response matrix when available; midpoint-energy comparison is allowed only after a bandwidth sensitivity test.</w:t>
      </w:r>
    </w:p>
    <w:p>
      <w:pPr>
        <w:pStyle w:val="ListBullet"/>
      </w:pPr>
      <w:r>
        <w:t>Represent front/back or east/west telescopes separately, including obscuration and time-dependent attitude.</w:t>
      </w:r>
    </w:p>
    <w:p>
      <w:pPr>
        <w:pStyle w:val="ListBullet"/>
      </w:pPr>
      <w:r>
        <w:t>Apply cadence integration, live time/dead time, background subtraction convention, saturation/quality flags, and contamination masks consistently with the released data product.</w:t>
      </w:r>
    </w:p>
    <w:p>
      <w:pPr>
        <w:pStyle w:val="ListBullet"/>
      </w:pPr>
      <w:r>
        <w:t>Write both model count/rate and any inverted flux product; validate primarily in measurement space to avoid comparing two different inversion assumptions.</w:t>
      </w:r>
    </w:p>
    <w:p>
      <w:pPr>
        <w:pStyle w:val="Heading2"/>
      </w:pPr>
      <w:bookmarkStart w:id="112" w:name="toc_section_13"/>
      <w:r>
        <w:t>4.2 Uncertainty products</w:t>
      </w:r>
      <w:bookmarkEnd w:id="112"/>
    </w:p>
    <w:p>
      <w:r>
        <w:t>A scalar best estimate is insufficient near the penumbra. Each product should carry at least four separable contributions: numerical convergence, unresolved trajectories, boundary-spectrum uncertainty, and field/driver uncertainty. Instrument calibration uncertainty is added during response folding. Ensembles should preserve common-mode errors across channels and spacecraft.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5354A"/>
            <w:tcMar>
              <w:top w:w="70" w:type="dxa"/>
              <w:start w:w="90" w:type="dxa"/>
              <w:bottom w:w="70" w:type="dxa"/>
              <w:end w:w="90" w:type="dxa"/>
            </w:tcMar>
            <w:vAlign w:val="center"/>
          </w:tcPr>
          <w:p>
            <w:pPr>
              <w:spacing w:after="0"/>
              <w:jc w:val="left"/>
            </w:pPr>
            <w:r>
              <w:rPr>
                <w:b/>
                <w:color w:val="FFFFFF"/>
                <w:sz w:val="16"/>
              </w:rPr>
              <w:t>Uncertainty</w:t>
            </w:r>
          </w:p>
        </w:tc>
        <w:tc>
          <w:tcPr>
            <w:tcW w:type="dxa" w:w="5112"/>
            <w:shd w:fill="15354A"/>
            <w:tcMar>
              <w:top w:w="70" w:type="dxa"/>
              <w:start w:w="90" w:type="dxa"/>
              <w:bottom w:w="70" w:type="dxa"/>
              <w:end w:w="90" w:type="dxa"/>
            </w:tcMar>
            <w:vAlign w:val="center"/>
          </w:tcPr>
          <w:p>
            <w:pPr>
              <w:spacing w:after="0"/>
              <w:jc w:val="left"/>
            </w:pPr>
            <w:r>
              <w:rPr>
                <w:b/>
                <w:color w:val="FFFFFF"/>
                <w:sz w:val="16"/>
              </w:rPr>
              <w:t>Minimum implementation</w:t>
            </w:r>
          </w:p>
        </w:tc>
        <w:tc>
          <w:tcPr>
            <w:tcW w:type="dxa" w:w="2520"/>
            <w:shd w:fill="15354A"/>
            <w:tcMar>
              <w:top w:w="70" w:type="dxa"/>
              <w:start w:w="90" w:type="dxa"/>
              <w:bottom w:w="70" w:type="dxa"/>
              <w:end w:w="90" w:type="dxa"/>
            </w:tcMar>
            <w:vAlign w:val="center"/>
          </w:tcPr>
          <w:p>
            <w:pPr>
              <w:spacing w:after="0"/>
              <w:jc w:val="left"/>
            </w:pPr>
            <w:r>
              <w:rPr>
                <w:b/>
                <w:color w:val="FFFFFF"/>
                <w:sz w:val="16"/>
              </w:rPr>
              <w:t>Reported diagnostic</w:t>
            </w:r>
          </w:p>
        </w:tc>
      </w:tr>
      <w:tr>
        <w:trPr>
          <w:cantSplit/>
        </w:trPr>
        <w:tc>
          <w:tcPr>
            <w:tcW w:type="dxa" w:w="2160"/>
            <w:tcMar>
              <w:top w:w="70" w:type="dxa"/>
              <w:start w:w="90" w:type="dxa"/>
              <w:bottom w:w="70" w:type="dxa"/>
              <w:end w:w="90" w:type="dxa"/>
            </w:tcMar>
            <w:vAlign w:val="top"/>
          </w:tcPr>
          <w:p>
            <w:pPr>
              <w:spacing w:after="0" w:line="240" w:lineRule="auto"/>
            </w:pPr>
            <w:r>
              <w:rPr>
                <w:b/>
                <w:color w:val="15354A"/>
                <w:sz w:val="16"/>
              </w:rPr>
              <w:t>Unresolved trajectories</w:t>
            </w:r>
          </w:p>
        </w:tc>
        <w:tc>
          <w:tcPr>
            <w:tcW w:type="dxa" w:w="5112"/>
            <w:tcMar>
              <w:top w:w="70" w:type="dxa"/>
              <w:start w:w="90" w:type="dxa"/>
              <w:bottom w:w="70" w:type="dxa"/>
              <w:end w:w="90" w:type="dxa"/>
            </w:tcMar>
            <w:vAlign w:val="top"/>
          </w:tcPr>
          <w:p>
            <w:pPr>
              <w:spacing w:after="0" w:line="240" w:lineRule="auto"/>
            </w:pPr>
            <w:r>
              <w:rPr>
                <w:sz w:val="16"/>
              </w:rPr>
              <w:t>Lower/upper products plus response-weighted unresolved fraction.</w:t>
            </w:r>
          </w:p>
        </w:tc>
        <w:tc>
          <w:tcPr>
            <w:tcW w:type="dxa" w:w="2520"/>
            <w:tcMar>
              <w:top w:w="70" w:type="dxa"/>
              <w:start w:w="90" w:type="dxa"/>
              <w:bottom w:w="70" w:type="dxa"/>
              <w:end w:w="90" w:type="dxa"/>
            </w:tcMar>
            <w:vAlign w:val="top"/>
          </w:tcPr>
          <w:p>
            <w:pPr>
              <w:spacing w:after="0" w:line="240" w:lineRule="auto"/>
            </w:pPr>
            <w:r>
              <w:rPr>
                <w:sz w:val="16"/>
              </w:rPr>
              <w:t>Bound width and maximum support by channel.</w:t>
            </w:r>
          </w:p>
        </w:tc>
      </w:tr>
      <w:tr>
        <w:trPr>
          <w:cantSplit/>
        </w:trPr>
        <w:tc>
          <w:tcPr>
            <w:tcW w:type="dxa" w:w="2160"/>
            <w:shd w:fill="F8FAFB"/>
            <w:tcMar>
              <w:top w:w="70" w:type="dxa"/>
              <w:start w:w="90" w:type="dxa"/>
              <w:bottom w:w="70" w:type="dxa"/>
              <w:end w:w="90" w:type="dxa"/>
            </w:tcMar>
            <w:vAlign w:val="top"/>
          </w:tcPr>
          <w:p>
            <w:pPr>
              <w:spacing w:after="0" w:line="240" w:lineRule="auto"/>
            </w:pPr>
            <w:r>
              <w:rPr>
                <w:b/>
                <w:color w:val="15354A"/>
                <w:sz w:val="16"/>
              </w:rPr>
              <w:t>Energy/angular quadrature</w:t>
            </w:r>
          </w:p>
        </w:tc>
        <w:tc>
          <w:tcPr>
            <w:tcW w:type="dxa" w:w="5112"/>
            <w:shd w:fill="F8FAFB"/>
            <w:tcMar>
              <w:top w:w="70" w:type="dxa"/>
              <w:start w:w="90" w:type="dxa"/>
              <w:bottom w:w="70" w:type="dxa"/>
              <w:end w:w="90" w:type="dxa"/>
            </w:tcMar>
            <w:vAlign w:val="top"/>
          </w:tcPr>
          <w:p>
            <w:pPr>
              <w:spacing w:after="0" w:line="240" w:lineRule="auto"/>
            </w:pPr>
            <w:r>
              <w:rPr>
                <w:sz w:val="16"/>
              </w:rPr>
              <w:t>Nested grids or embedded rule; refine where contribution/error is largest.</w:t>
            </w:r>
          </w:p>
        </w:tc>
        <w:tc>
          <w:tcPr>
            <w:tcW w:type="dxa" w:w="2520"/>
            <w:shd w:fill="F8FAFB"/>
            <w:tcMar>
              <w:top w:w="70" w:type="dxa"/>
              <w:start w:w="90" w:type="dxa"/>
              <w:bottom w:w="70" w:type="dxa"/>
              <w:end w:w="90" w:type="dxa"/>
            </w:tcMar>
            <w:vAlign w:val="top"/>
          </w:tcPr>
          <w:p>
            <w:pPr>
              <w:spacing w:after="0" w:line="240" w:lineRule="auto"/>
            </w:pPr>
            <w:r>
              <w:rPr>
                <w:sz w:val="16"/>
              </w:rPr>
              <w:t>Estimated relative integration error and refinement count.</w:t>
            </w:r>
          </w:p>
        </w:tc>
      </w:tr>
      <w:tr>
        <w:trPr>
          <w:cantSplit/>
        </w:trPr>
        <w:tc>
          <w:tcPr>
            <w:tcW w:type="dxa" w:w="2160"/>
            <w:tcMar>
              <w:top w:w="70" w:type="dxa"/>
              <w:start w:w="90" w:type="dxa"/>
              <w:bottom w:w="70" w:type="dxa"/>
              <w:end w:w="90" w:type="dxa"/>
            </w:tcMar>
            <w:vAlign w:val="top"/>
          </w:tcPr>
          <w:p>
            <w:pPr>
              <w:spacing w:after="0" w:line="240" w:lineRule="auto"/>
            </w:pPr>
            <w:r>
              <w:rPr>
                <w:b/>
                <w:color w:val="15354A"/>
                <w:sz w:val="16"/>
              </w:rPr>
              <w:t>Field/driver</w:t>
            </w:r>
          </w:p>
        </w:tc>
        <w:tc>
          <w:tcPr>
            <w:tcW w:type="dxa" w:w="5112"/>
            <w:tcMar>
              <w:top w:w="70" w:type="dxa"/>
              <w:start w:w="90" w:type="dxa"/>
              <w:bottom w:w="70" w:type="dxa"/>
              <w:end w:w="90" w:type="dxa"/>
            </w:tcMar>
            <w:vAlign w:val="top"/>
          </w:tcPr>
          <w:p>
            <w:pPr>
              <w:spacing w:after="0" w:line="240" w:lineRule="auto"/>
            </w:pPr>
            <w:r>
              <w:rPr>
                <w:sz w:val="16"/>
              </w:rPr>
              <w:t>Small ensemble across accepted field model/driver uncertainty or adjacent snapshots.</w:t>
            </w:r>
          </w:p>
        </w:tc>
        <w:tc>
          <w:tcPr>
            <w:tcW w:type="dxa" w:w="2520"/>
            <w:tcMar>
              <w:top w:w="70" w:type="dxa"/>
              <w:start w:w="90" w:type="dxa"/>
              <w:bottom w:w="70" w:type="dxa"/>
              <w:end w:w="90" w:type="dxa"/>
            </w:tcMar>
            <w:vAlign w:val="top"/>
          </w:tcPr>
          <w:p>
            <w:pPr>
              <w:spacing w:after="0" w:line="240" w:lineRule="auto"/>
            </w:pPr>
            <w:r>
              <w:rPr>
                <w:sz w:val="16"/>
              </w:rPr>
              <w:t>Median, 5–95% interval, member provenance.</w:t>
            </w:r>
          </w:p>
        </w:tc>
      </w:tr>
      <w:tr>
        <w:trPr>
          <w:cantSplit/>
        </w:trPr>
        <w:tc>
          <w:tcPr>
            <w:tcW w:type="dxa" w:w="2160"/>
            <w:shd w:fill="F8FAFB"/>
            <w:tcMar>
              <w:top w:w="70" w:type="dxa"/>
              <w:start w:w="90" w:type="dxa"/>
              <w:bottom w:w="70" w:type="dxa"/>
              <w:end w:w="90" w:type="dxa"/>
            </w:tcMar>
            <w:vAlign w:val="top"/>
          </w:tcPr>
          <w:p>
            <w:pPr>
              <w:spacing w:after="0" w:line="240" w:lineRule="auto"/>
            </w:pPr>
            <w:r>
              <w:rPr>
                <w:b/>
                <w:color w:val="15354A"/>
                <w:sz w:val="16"/>
              </w:rPr>
              <w:t>Boundary spectrum</w:t>
            </w:r>
          </w:p>
        </w:tc>
        <w:tc>
          <w:tcPr>
            <w:tcW w:type="dxa" w:w="5112"/>
            <w:shd w:fill="F8FAFB"/>
            <w:tcMar>
              <w:top w:w="70" w:type="dxa"/>
              <w:start w:w="90" w:type="dxa"/>
              <w:bottom w:w="70" w:type="dxa"/>
              <w:end w:w="90" w:type="dxa"/>
            </w:tcMar>
            <w:vAlign w:val="top"/>
          </w:tcPr>
          <w:p>
            <w:pPr>
              <w:spacing w:after="0" w:line="240" w:lineRule="auto"/>
            </w:pPr>
            <w:r>
              <w:rPr>
                <w:sz w:val="16"/>
              </w:rPr>
              <w:t>Covariance-aware parameter or table ensemble; log-space temporal interpolation.</w:t>
            </w:r>
          </w:p>
        </w:tc>
        <w:tc>
          <w:tcPr>
            <w:tcW w:type="dxa" w:w="2520"/>
            <w:shd w:fill="F8FAFB"/>
            <w:tcMar>
              <w:top w:w="70" w:type="dxa"/>
              <w:start w:w="90" w:type="dxa"/>
              <w:bottom w:w="70" w:type="dxa"/>
              <w:end w:w="90" w:type="dxa"/>
            </w:tcMar>
            <w:vAlign w:val="top"/>
          </w:tcPr>
          <w:p>
            <w:pPr>
              <w:spacing w:after="0" w:line="240" w:lineRule="auto"/>
            </w:pPr>
            <w:r>
              <w:rPr>
                <w:sz w:val="16"/>
              </w:rPr>
              <w:t>Boundary realization ID and propagated interval.</w:t>
            </w:r>
          </w:p>
        </w:tc>
      </w:tr>
      <w:tr>
        <w:trPr>
          <w:cantSplit/>
        </w:trPr>
        <w:tc>
          <w:tcPr>
            <w:tcW w:type="dxa" w:w="2160"/>
            <w:tcMar>
              <w:top w:w="70" w:type="dxa"/>
              <w:start w:w="90" w:type="dxa"/>
              <w:bottom w:w="70" w:type="dxa"/>
              <w:end w:w="90" w:type="dxa"/>
            </w:tcMar>
            <w:vAlign w:val="top"/>
          </w:tcPr>
          <w:p>
            <w:pPr>
              <w:spacing w:after="0" w:line="240" w:lineRule="auto"/>
            </w:pPr>
            <w:r>
              <w:rPr>
                <w:b/>
                <w:color w:val="15354A"/>
                <w:sz w:val="16"/>
              </w:rPr>
              <w:t>Instrument response</w:t>
            </w:r>
          </w:p>
        </w:tc>
        <w:tc>
          <w:tcPr>
            <w:tcW w:type="dxa" w:w="5112"/>
            <w:tcMar>
              <w:top w:w="70" w:type="dxa"/>
              <w:start w:w="90" w:type="dxa"/>
              <w:bottom w:w="70" w:type="dxa"/>
              <w:end w:w="90" w:type="dxa"/>
            </w:tcMar>
            <w:vAlign w:val="top"/>
          </w:tcPr>
          <w:p>
            <w:pPr>
              <w:spacing w:after="0" w:line="240" w:lineRule="auto"/>
            </w:pPr>
            <w:r>
              <w:rPr>
                <w:sz w:val="16"/>
              </w:rPr>
              <w:t>Response/calibration variants supplied by instrument team/public calibration.</w:t>
            </w:r>
          </w:p>
        </w:tc>
        <w:tc>
          <w:tcPr>
            <w:tcW w:type="dxa" w:w="2520"/>
            <w:tcMar>
              <w:top w:w="70" w:type="dxa"/>
              <w:start w:w="90" w:type="dxa"/>
              <w:bottom w:w="70" w:type="dxa"/>
              <w:end w:w="90" w:type="dxa"/>
            </w:tcMar>
            <w:vAlign w:val="top"/>
          </w:tcPr>
          <w:p>
            <w:pPr>
              <w:spacing w:after="0" w:line="240" w:lineRule="auto"/>
            </w:pPr>
            <w:r>
              <w:rPr>
                <w:sz w:val="16"/>
              </w:rPr>
              <w:t>Measurement-space prediction interval.</w:t>
            </w:r>
          </w:p>
        </w:tc>
      </w:tr>
    </w:tbl>
    <w:p>
      <w:pPr>
        <w:spacing w:after="0"/>
      </w:pPr>
    </w:p>
    <w:p>
      <w:pPr>
        <w:pStyle w:val="Heading1"/>
      </w:pPr>
      <w:bookmarkStart w:id="113" w:name="toc_section_14"/>
      <w:r>
        <w:t>5. Development work packages and gates</w:t>
      </w:r>
      <w:bookmarkEnd w:id="113"/>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5354A"/>
            <w:tcMar>
              <w:top w:w="70" w:type="dxa"/>
              <w:start w:w="90" w:type="dxa"/>
              <w:bottom w:w="70" w:type="dxa"/>
              <w:end w:w="90" w:type="dxa"/>
            </w:tcMar>
            <w:vAlign w:val="center"/>
          </w:tcPr>
          <w:p>
            <w:pPr>
              <w:spacing w:after="0"/>
              <w:jc w:val="left"/>
            </w:pPr>
            <w:r>
              <w:rPr>
                <w:b/>
                <w:color w:val="FFFFFF"/>
                <w:sz w:val="15"/>
              </w:rPr>
              <w:t>WP</w:t>
            </w:r>
          </w:p>
        </w:tc>
        <w:tc>
          <w:tcPr>
            <w:tcW w:type="dxa" w:w="2088"/>
            <w:shd w:fill="15354A"/>
            <w:tcMar>
              <w:top w:w="70" w:type="dxa"/>
              <w:start w:w="90" w:type="dxa"/>
              <w:bottom w:w="70" w:type="dxa"/>
              <w:end w:w="90" w:type="dxa"/>
            </w:tcMar>
            <w:vAlign w:val="center"/>
          </w:tcPr>
          <w:p>
            <w:pPr>
              <w:spacing w:after="0"/>
              <w:jc w:val="left"/>
            </w:pPr>
            <w:r>
              <w:rPr>
                <w:b/>
                <w:color w:val="FFFFFF"/>
                <w:sz w:val="15"/>
              </w:rPr>
              <w:t>Objective</w:t>
            </w:r>
          </w:p>
        </w:tc>
        <w:tc>
          <w:tcPr>
            <w:tcW w:type="dxa" w:w="4680"/>
            <w:shd w:fill="15354A"/>
            <w:tcMar>
              <w:top w:w="70" w:type="dxa"/>
              <w:start w:w="90" w:type="dxa"/>
              <w:bottom w:w="70" w:type="dxa"/>
              <w:end w:w="90" w:type="dxa"/>
            </w:tcMar>
            <w:vAlign w:val="center"/>
          </w:tcPr>
          <w:p>
            <w:pPr>
              <w:spacing w:after="0"/>
              <w:jc w:val="left"/>
            </w:pPr>
            <w:r>
              <w:rPr>
                <w:b/>
                <w:color w:val="FFFFFF"/>
                <w:sz w:val="15"/>
              </w:rPr>
              <w:t>Implementation</w:t>
            </w:r>
          </w:p>
        </w:tc>
        <w:tc>
          <w:tcPr>
            <w:tcW w:type="dxa" w:w="2232"/>
            <w:shd w:fill="15354A"/>
            <w:tcMar>
              <w:top w:w="70" w:type="dxa"/>
              <w:start w:w="90" w:type="dxa"/>
              <w:bottom w:w="70" w:type="dxa"/>
              <w:end w:w="90" w:type="dxa"/>
            </w:tcMar>
            <w:vAlign w:val="center"/>
          </w:tcPr>
          <w:p>
            <w:pPr>
              <w:spacing w:after="0"/>
              <w:jc w:val="left"/>
            </w:pPr>
            <w:r>
              <w:rPr>
                <w:b/>
                <w:color w:val="FFFFFF"/>
                <w:sz w:val="15"/>
              </w:rPr>
              <w:t>Exit gate</w:t>
            </w:r>
          </w:p>
        </w:tc>
      </w:tr>
      <w:tr>
        <w:trPr>
          <w:cantSplit/>
        </w:trPr>
        <w:tc>
          <w:tcPr>
            <w:tcW w:type="dxa" w:w="792"/>
            <w:tcMar>
              <w:top w:w="70" w:type="dxa"/>
              <w:start w:w="90" w:type="dxa"/>
              <w:bottom w:w="70" w:type="dxa"/>
              <w:end w:w="90" w:type="dxa"/>
            </w:tcMar>
            <w:vAlign w:val="top"/>
          </w:tcPr>
          <w:p>
            <w:pPr>
              <w:spacing w:after="0" w:line="240" w:lineRule="auto"/>
            </w:pPr>
            <w:r>
              <w:rPr>
                <w:b/>
                <w:color w:val="15354A"/>
                <w:sz w:val="15"/>
              </w:rPr>
              <w:t>WP0</w:t>
            </w:r>
          </w:p>
        </w:tc>
        <w:tc>
          <w:tcPr>
            <w:tcW w:type="dxa" w:w="2088"/>
            <w:tcMar>
              <w:top w:w="70" w:type="dxa"/>
              <w:start w:w="90" w:type="dxa"/>
              <w:bottom w:w="70" w:type="dxa"/>
              <w:end w:w="90" w:type="dxa"/>
            </w:tcMar>
            <w:vAlign w:val="top"/>
          </w:tcPr>
          <w:p>
            <w:pPr>
              <w:spacing w:after="0" w:line="240" w:lineRule="auto"/>
            </w:pPr>
            <w:r>
              <w:rPr>
                <w:sz w:val="15"/>
              </w:rPr>
              <w:t>Baseline and contracts</w:t>
            </w:r>
          </w:p>
        </w:tc>
        <w:tc>
          <w:tcPr>
            <w:tcW w:type="dxa" w:w="4680"/>
            <w:tcMar>
              <w:top w:w="70" w:type="dxa"/>
              <w:start w:w="90" w:type="dxa"/>
              <w:bottom w:w="70" w:type="dxa"/>
              <w:end w:w="90" w:type="dxa"/>
            </w:tcMar>
            <w:vAlign w:val="top"/>
          </w:tcPr>
          <w:p>
            <w:pPr>
              <w:spacing w:after="0" w:line="240" w:lineRule="auto"/>
            </w:pPr>
            <w:r>
              <w:rPr>
                <w:sz w:val="15"/>
              </w:rPr>
              <w:t>Freeze quantities, units, frames, termination taxonomy, output schema, supported species/modes, and reference configurations. Archive current F outputs in a configured build.</w:t>
            </w:r>
          </w:p>
        </w:tc>
        <w:tc>
          <w:tcPr>
            <w:tcW w:type="dxa" w:w="2232"/>
            <w:tcMar>
              <w:top w:w="70" w:type="dxa"/>
              <w:start w:w="90" w:type="dxa"/>
              <w:bottom w:w="70" w:type="dxa"/>
              <w:end w:w="90" w:type="dxa"/>
            </w:tcMar>
            <w:vAlign w:val="top"/>
          </w:tcPr>
          <w:p>
            <w:pPr>
              <w:spacing w:after="0" w:line="240" w:lineRule="auto"/>
            </w:pPr>
            <w:r>
              <w:rPr>
                <w:sz w:val="15"/>
              </w:rPr>
              <w:t>Schema review complete; legacy gridless results reproducible; machine-readable manifest emitted.</w:t>
            </w:r>
          </w:p>
        </w:tc>
      </w:tr>
      <w:tr>
        <w:trPr>
          <w:cantSplit/>
        </w:trPr>
        <w:tc>
          <w:tcPr>
            <w:tcW w:type="dxa" w:w="792"/>
            <w:shd w:fill="F8FAFB"/>
            <w:tcMar>
              <w:top w:w="70" w:type="dxa"/>
              <w:start w:w="90" w:type="dxa"/>
              <w:bottom w:w="70" w:type="dxa"/>
              <w:end w:w="90" w:type="dxa"/>
            </w:tcMar>
            <w:vAlign w:val="top"/>
          </w:tcPr>
          <w:p>
            <w:pPr>
              <w:spacing w:after="0" w:line="240" w:lineRule="auto"/>
            </w:pPr>
            <w:r>
              <w:rPr>
                <w:b/>
                <w:color w:val="15354A"/>
                <w:sz w:val="15"/>
              </w:rPr>
              <w:t>WP1</w:t>
            </w:r>
          </w:p>
        </w:tc>
        <w:tc>
          <w:tcPr>
            <w:tcW w:type="dxa" w:w="2088"/>
            <w:shd w:fill="F8FAFB"/>
            <w:tcMar>
              <w:top w:w="70" w:type="dxa"/>
              <w:start w:w="90" w:type="dxa"/>
              <w:bottom w:w="70" w:type="dxa"/>
              <w:end w:w="90" w:type="dxa"/>
            </w:tcMar>
            <w:vAlign w:val="top"/>
          </w:tcPr>
          <w:p>
            <w:pPr>
              <w:spacing w:after="0" w:line="240" w:lineRule="auto"/>
            </w:pPr>
            <w:r>
              <w:rPr>
                <w:sz w:val="15"/>
              </w:rPr>
              <w:t>Shared numerical kernels</w:t>
            </w:r>
          </w:p>
        </w:tc>
        <w:tc>
          <w:tcPr>
            <w:tcW w:type="dxa" w:w="4680"/>
            <w:shd w:fill="F8FAFB"/>
            <w:tcMar>
              <w:top w:w="70" w:type="dxa"/>
              <w:start w:w="90" w:type="dxa"/>
              <w:bottom w:w="70" w:type="dxa"/>
              <w:end w:w="90" w:type="dxa"/>
            </w:tcMar>
            <w:vAlign w:val="top"/>
          </w:tcPr>
          <w:p>
            <w:pPr>
              <w:spacing w:after="0" w:line="240" w:lineRule="auto"/>
            </w:pPr>
            <w:r>
              <w:rPr>
                <w:sz w:val="15"/>
              </w:rPr>
              <w:t>Extract energy/rigidity transforms, grids, speed, quadrature, spectrum evaluation, channel clipping, and termination accumulation into backend-neutral production code. Fix Mode3D LINEAR spacing.</w:t>
            </w:r>
          </w:p>
        </w:tc>
        <w:tc>
          <w:tcPr>
            <w:tcW w:type="dxa" w:w="2232"/>
            <w:shd w:fill="F8FAFB"/>
            <w:tcMar>
              <w:top w:w="70" w:type="dxa"/>
              <w:start w:w="90" w:type="dxa"/>
              <w:bottom w:w="70" w:type="dxa"/>
              <w:end w:w="90" w:type="dxa"/>
            </w:tcMar>
            <w:vAlign w:val="top"/>
          </w:tcPr>
          <w:p>
            <w:r>
              <w:t>All implemented U-F01 and U-F03–U-F09 tests pass; U-F02 remains reserved; gridless regressions are unchanged within frozen tolerances.</w:t>
            </w:r>
          </w:p>
        </w:tc>
      </w:tr>
      <w:tr>
        <w:trPr>
          <w:cantSplit/>
        </w:trPr>
        <w:tc>
          <w:tcPr>
            <w:tcW w:type="dxa" w:w="792"/>
            <w:tcMar>
              <w:top w:w="70" w:type="dxa"/>
              <w:start w:w="90" w:type="dxa"/>
              <w:bottom w:w="70" w:type="dxa"/>
              <w:end w:w="90" w:type="dxa"/>
            </w:tcMar>
            <w:vAlign w:val="top"/>
          </w:tcPr>
          <w:p>
            <w:pPr>
              <w:spacing w:after="0" w:line="240" w:lineRule="auto"/>
            </w:pPr>
            <w:r>
              <w:rPr>
                <w:b/>
                <w:color w:val="15354A"/>
                <w:sz w:val="15"/>
              </w:rPr>
              <w:t>WP2</w:t>
            </w:r>
          </w:p>
        </w:tc>
        <w:tc>
          <w:tcPr>
            <w:tcW w:type="dxa" w:w="2088"/>
            <w:tcMar>
              <w:top w:w="70" w:type="dxa"/>
              <w:start w:w="90" w:type="dxa"/>
              <w:bottom w:w="70" w:type="dxa"/>
              <w:end w:w="90" w:type="dxa"/>
            </w:tcMar>
            <w:vAlign w:val="top"/>
          </w:tcPr>
          <w:p>
            <w:pPr>
              <w:spacing w:after="0" w:line="240" w:lineRule="auto"/>
            </w:pPr>
            <w:r>
              <w:rPr>
                <w:sz w:val="15"/>
              </w:rPr>
              <w:t>Directional phase-space mapping</w:t>
            </w:r>
          </w:p>
        </w:tc>
        <w:tc>
          <w:tcPr>
            <w:tcW w:type="dxa" w:w="4680"/>
            <w:tcMar>
              <w:top w:w="70" w:type="dxa"/>
              <w:start w:w="90" w:type="dxa"/>
              <w:bottom w:w="70" w:type="dxa"/>
              <w:end w:w="90" w:type="dxa"/>
            </w:tcMar>
            <w:vAlign w:val="top"/>
          </w:tcPr>
          <w:p>
            <w:pPr>
              <w:spacing w:after="0" w:line="240" w:lineRule="auto"/>
            </w:pPr>
            <w:r>
              <w:rPr>
                <w:sz w:val="15"/>
              </w:rPr>
              <w:t>Return per-direction access and asymptotic state; add p² mapping, normalized PAD/spatial models, angular weights, and unresolved lower/upper products.</w:t>
            </w:r>
          </w:p>
        </w:tc>
        <w:tc>
          <w:tcPr>
            <w:tcW w:type="dxa" w:w="2232"/>
            <w:tcMar>
              <w:top w:w="70" w:type="dxa"/>
              <w:start w:w="90" w:type="dxa"/>
              <w:bottom w:w="70" w:type="dxa"/>
              <w:end w:w="90" w:type="dxa"/>
            </w:tcMar>
            <w:vAlign w:val="top"/>
          </w:tcPr>
          <w:p>
            <w:pPr>
              <w:spacing w:after="0" w:line="240" w:lineRule="auto"/>
            </w:pPr>
            <w:r>
              <w:rPr>
                <w:sz w:val="15"/>
              </w:rPr>
              <w:t>Static-B Liouville and analytic angular-moment tests pass; unresolved is never silently mapped to blocked.</w:t>
            </w:r>
          </w:p>
        </w:tc>
      </w:tr>
      <w:tr>
        <w:trPr>
          <w:cantSplit/>
        </w:trPr>
        <w:tc>
          <w:tcPr>
            <w:tcW w:type="dxa" w:w="792"/>
            <w:shd w:fill="F8FAFB"/>
            <w:tcMar>
              <w:top w:w="70" w:type="dxa"/>
              <w:start w:w="90" w:type="dxa"/>
              <w:bottom w:w="70" w:type="dxa"/>
              <w:end w:w="90" w:type="dxa"/>
            </w:tcMar>
            <w:vAlign w:val="top"/>
          </w:tcPr>
          <w:p>
            <w:pPr>
              <w:spacing w:after="0" w:line="240" w:lineRule="auto"/>
            </w:pPr>
            <w:r>
              <w:rPr>
                <w:b/>
                <w:color w:val="15354A"/>
                <w:sz w:val="15"/>
              </w:rPr>
              <w:t>WP3</w:t>
            </w:r>
          </w:p>
        </w:tc>
        <w:tc>
          <w:tcPr>
            <w:tcW w:type="dxa" w:w="2088"/>
            <w:shd w:fill="F8FAFB"/>
            <w:tcMar>
              <w:top w:w="70" w:type="dxa"/>
              <w:start w:w="90" w:type="dxa"/>
              <w:bottom w:w="70" w:type="dxa"/>
              <w:end w:w="90" w:type="dxa"/>
            </w:tcMar>
            <w:vAlign w:val="top"/>
          </w:tcPr>
          <w:p>
            <w:pPr>
              <w:spacing w:after="0" w:line="240" w:lineRule="auto"/>
            </w:pPr>
            <w:r>
              <w:rPr>
                <w:sz w:val="15"/>
              </w:rPr>
              <w:t>Adaptive integration and Mode3D parity</w:t>
            </w:r>
          </w:p>
        </w:tc>
        <w:tc>
          <w:tcPr>
            <w:tcW w:type="dxa" w:w="4680"/>
            <w:shd w:fill="F8FAFB"/>
            <w:tcMar>
              <w:top w:w="70" w:type="dxa"/>
              <w:start w:w="90" w:type="dxa"/>
              <w:bottom w:w="70" w:type="dxa"/>
              <w:end w:w="90" w:type="dxa"/>
            </w:tcMar>
            <w:vAlign w:val="top"/>
          </w:tcPr>
          <w:p>
            <w:pPr>
              <w:spacing w:after="0" w:line="240" w:lineRule="auto"/>
            </w:pPr>
            <w:r>
              <w:rPr>
                <w:sz w:val="15"/>
              </w:rPr>
              <w:t>Implement real error-driven energy/rigidity refinement and nested angular convergence. Make Mode3D return the same accounting/products as gridless.</w:t>
            </w:r>
          </w:p>
        </w:tc>
        <w:tc>
          <w:tcPr>
            <w:tcW w:type="dxa" w:w="2232"/>
            <w:shd w:fill="F8FAFB"/>
            <w:tcMar>
              <w:top w:w="70" w:type="dxa"/>
              <w:start w:w="90" w:type="dxa"/>
              <w:bottom w:w="70" w:type="dxa"/>
              <w:end w:w="90" w:type="dxa"/>
            </w:tcMar>
            <w:vAlign w:val="top"/>
          </w:tcPr>
          <w:p>
            <w:pPr>
              <w:spacing w:after="0" w:line="240" w:lineRule="auto"/>
            </w:pPr>
            <w:r>
              <w:rPr>
                <w:sz w:val="15"/>
              </w:rPr>
              <w:t>I-F01–I-F06 and F6/F7/F13/F14 pass; parity within preregistered tolerances.</w:t>
            </w:r>
          </w:p>
        </w:tc>
      </w:tr>
      <w:tr>
        <w:trPr>
          <w:cantSplit/>
        </w:trPr>
        <w:tc>
          <w:tcPr>
            <w:tcW w:type="dxa" w:w="792"/>
            <w:tcMar>
              <w:top w:w="70" w:type="dxa"/>
              <w:start w:w="90" w:type="dxa"/>
              <w:bottom w:w="70" w:type="dxa"/>
              <w:end w:w="90" w:type="dxa"/>
            </w:tcMar>
            <w:vAlign w:val="top"/>
          </w:tcPr>
          <w:p>
            <w:pPr>
              <w:spacing w:after="0" w:line="240" w:lineRule="auto"/>
            </w:pPr>
            <w:r>
              <w:rPr>
                <w:b/>
                <w:color w:val="15354A"/>
                <w:sz w:val="15"/>
              </w:rPr>
              <w:t>WP4</w:t>
            </w:r>
          </w:p>
        </w:tc>
        <w:tc>
          <w:tcPr>
            <w:tcW w:type="dxa" w:w="2088"/>
            <w:tcMar>
              <w:top w:w="70" w:type="dxa"/>
              <w:start w:w="90" w:type="dxa"/>
              <w:bottom w:w="70" w:type="dxa"/>
              <w:end w:w="90" w:type="dxa"/>
            </w:tcMar>
            <w:vAlign w:val="top"/>
          </w:tcPr>
          <w:p>
            <w:pPr>
              <w:spacing w:after="0" w:line="240" w:lineRule="auto"/>
            </w:pPr>
            <w:r>
              <w:rPr>
                <w:sz w:val="15"/>
              </w:rPr>
              <w:t>Boundary time/composition</w:t>
            </w:r>
          </w:p>
        </w:tc>
        <w:tc>
          <w:tcPr>
            <w:tcW w:type="dxa" w:w="4680"/>
            <w:tcMar>
              <w:top w:w="70" w:type="dxa"/>
              <w:start w:w="90" w:type="dxa"/>
              <w:bottom w:w="70" w:type="dxa"/>
              <w:end w:w="90" w:type="dxa"/>
            </w:tcMar>
            <w:vAlign w:val="top"/>
          </w:tcPr>
          <w:p>
            <w:pPr>
              <w:spacing w:after="0" w:line="240" w:lineRule="auto"/>
            </w:pPr>
            <w:r>
              <w:rPr>
                <w:sz w:val="15"/>
              </w:rPr>
              <w:t>Add log-intensity interpolation, data-gap policy, E/n and charge-state metadata, proton-first then He/ions.</w:t>
            </w:r>
          </w:p>
        </w:tc>
        <w:tc>
          <w:tcPr>
            <w:tcW w:type="dxa" w:w="2232"/>
            <w:tcMar>
              <w:top w:w="70" w:type="dxa"/>
              <w:start w:w="90" w:type="dxa"/>
              <w:bottom w:w="70" w:type="dxa"/>
              <w:end w:w="90" w:type="dxa"/>
            </w:tcMar>
            <w:vAlign w:val="top"/>
          </w:tcPr>
          <w:p>
            <w:pPr>
              <w:spacing w:after="0" w:line="240" w:lineRule="auto"/>
            </w:pPr>
            <w:r>
              <w:rPr>
                <w:sz w:val="15"/>
              </w:rPr>
              <w:t>Time interpolation, species conversion, and conservation tests pass; provenance complete.</w:t>
            </w:r>
          </w:p>
        </w:tc>
      </w:tr>
      <w:tr>
        <w:trPr>
          <w:cantSplit/>
        </w:trPr>
        <w:tc>
          <w:tcPr>
            <w:tcW w:type="dxa" w:w="792"/>
            <w:shd w:fill="F8FAFB"/>
            <w:tcMar>
              <w:top w:w="70" w:type="dxa"/>
              <w:start w:w="90" w:type="dxa"/>
              <w:bottom w:w="70" w:type="dxa"/>
              <w:end w:w="90" w:type="dxa"/>
            </w:tcMar>
            <w:vAlign w:val="top"/>
          </w:tcPr>
          <w:p>
            <w:pPr>
              <w:spacing w:after="0" w:line="240" w:lineRule="auto"/>
            </w:pPr>
            <w:r>
              <w:rPr>
                <w:b/>
                <w:color w:val="15354A"/>
                <w:sz w:val="15"/>
              </w:rPr>
              <w:t>WP5</w:t>
            </w:r>
          </w:p>
        </w:tc>
        <w:tc>
          <w:tcPr>
            <w:tcW w:type="dxa" w:w="2088"/>
            <w:shd w:fill="F8FAFB"/>
            <w:tcMar>
              <w:top w:w="70" w:type="dxa"/>
              <w:start w:w="90" w:type="dxa"/>
              <w:bottom w:w="70" w:type="dxa"/>
              <w:end w:w="90" w:type="dxa"/>
            </w:tcMar>
            <w:vAlign w:val="top"/>
          </w:tcPr>
          <w:p>
            <w:pPr>
              <w:spacing w:after="0" w:line="240" w:lineRule="auto"/>
            </w:pPr>
            <w:r>
              <w:rPr>
                <w:sz w:val="15"/>
              </w:rPr>
              <w:t>Instrument response layer</w:t>
            </w:r>
          </w:p>
        </w:tc>
        <w:tc>
          <w:tcPr>
            <w:tcW w:type="dxa" w:w="4680"/>
            <w:shd w:fill="F8FAFB"/>
            <w:tcMar>
              <w:top w:w="70" w:type="dxa"/>
              <w:start w:w="90" w:type="dxa"/>
              <w:bottom w:w="70" w:type="dxa"/>
              <w:end w:w="90" w:type="dxa"/>
            </w:tcMar>
            <w:vAlign w:val="top"/>
          </w:tcPr>
          <w:p>
            <w:pPr>
              <w:spacing w:after="0" w:line="240" w:lineRule="auto"/>
            </w:pPr>
            <w:r>
              <w:rPr>
                <w:sz w:val="15"/>
              </w:rPr>
              <w:t>Implement ephemeris/attitude/frame adapters and response folding for selected GOES, PAMELA, POES/MetOp, and REPT products.</w:t>
            </w:r>
          </w:p>
        </w:tc>
        <w:tc>
          <w:tcPr>
            <w:tcW w:type="dxa" w:w="2232"/>
            <w:shd w:fill="F8FAFB"/>
            <w:tcMar>
              <w:top w:w="70" w:type="dxa"/>
              <w:start w:w="90" w:type="dxa"/>
              <w:bottom w:w="70" w:type="dxa"/>
              <w:end w:w="90" w:type="dxa"/>
            </w:tcMar>
            <w:vAlign w:val="top"/>
          </w:tcPr>
          <w:p>
            <w:pPr>
              <w:spacing w:after="0" w:line="240" w:lineRule="auto"/>
            </w:pPr>
            <w:r>
              <w:rPr>
                <w:sz w:val="15"/>
              </w:rPr>
              <w:t>Synthetic response tests and independent adapter spot checks pass; model-to-data comparison occurs in measurement space.</w:t>
            </w:r>
          </w:p>
        </w:tc>
      </w:tr>
      <w:tr>
        <w:trPr>
          <w:cantSplit/>
        </w:trPr>
        <w:tc>
          <w:tcPr>
            <w:tcW w:type="dxa" w:w="792"/>
            <w:tcMar>
              <w:top w:w="70" w:type="dxa"/>
              <w:start w:w="90" w:type="dxa"/>
              <w:bottom w:w="70" w:type="dxa"/>
              <w:end w:w="90" w:type="dxa"/>
            </w:tcMar>
            <w:vAlign w:val="top"/>
          </w:tcPr>
          <w:p>
            <w:pPr>
              <w:spacing w:after="0" w:line="240" w:lineRule="auto"/>
            </w:pPr>
            <w:r>
              <w:rPr>
                <w:b/>
                <w:color w:val="15354A"/>
                <w:sz w:val="15"/>
              </w:rPr>
              <w:t>WP6</w:t>
            </w:r>
          </w:p>
        </w:tc>
        <w:tc>
          <w:tcPr>
            <w:tcW w:type="dxa" w:w="2088"/>
            <w:tcMar>
              <w:top w:w="70" w:type="dxa"/>
              <w:start w:w="90" w:type="dxa"/>
              <w:bottom w:w="70" w:type="dxa"/>
              <w:end w:w="90" w:type="dxa"/>
            </w:tcMar>
            <w:vAlign w:val="top"/>
          </w:tcPr>
          <w:p>
            <w:pPr>
              <w:spacing w:after="0" w:line="240" w:lineRule="auto"/>
            </w:pPr>
            <w:r>
              <w:rPr>
                <w:sz w:val="15"/>
              </w:rPr>
              <w:t>Observational validation</w:t>
            </w:r>
          </w:p>
        </w:tc>
        <w:tc>
          <w:tcPr>
            <w:tcW w:type="dxa" w:w="4680"/>
            <w:tcMar>
              <w:top w:w="70" w:type="dxa"/>
              <w:start w:w="90" w:type="dxa"/>
              <w:bottom w:w="70" w:type="dxa"/>
              <w:end w:w="90" w:type="dxa"/>
            </w:tcMar>
            <w:vAlign w:val="top"/>
          </w:tcPr>
          <w:p>
            <w:pPr>
              <w:spacing w:after="0" w:line="240" w:lineRule="auto"/>
            </w:pPr>
            <w:r>
              <w:rPr>
                <w:sz w:val="15"/>
              </w:rPr>
              <w:t>Run calibration/benchmark, multi-platform validation, and frozen holdout events with no platform-specific scale factors.</w:t>
            </w:r>
          </w:p>
        </w:tc>
        <w:tc>
          <w:tcPr>
            <w:tcW w:type="dxa" w:w="2232"/>
            <w:tcMar>
              <w:top w:w="70" w:type="dxa"/>
              <w:start w:w="90" w:type="dxa"/>
              <w:bottom w:w="70" w:type="dxa"/>
              <w:end w:w="90" w:type="dxa"/>
            </w:tcMar>
            <w:vAlign w:val="top"/>
          </w:tcPr>
          <w:p>
            <w:pPr>
              <w:spacing w:after="0" w:line="240" w:lineRule="auto"/>
            </w:pPr>
            <w:r>
              <w:rPr>
                <w:sz w:val="15"/>
              </w:rPr>
              <w:t>O-series metrics meet event and pooled acceptance gates; residuals and exclusions published.</w:t>
            </w:r>
          </w:p>
        </w:tc>
      </w:tr>
      <w:tr>
        <w:trPr>
          <w:cantSplit/>
        </w:trPr>
        <w:tc>
          <w:tcPr>
            <w:tcW w:type="dxa" w:w="792"/>
            <w:shd w:fill="F8FAFB"/>
            <w:tcMar>
              <w:top w:w="70" w:type="dxa"/>
              <w:start w:w="90" w:type="dxa"/>
              <w:bottom w:w="70" w:type="dxa"/>
              <w:end w:w="90" w:type="dxa"/>
            </w:tcMar>
            <w:vAlign w:val="top"/>
          </w:tcPr>
          <w:p>
            <w:pPr>
              <w:spacing w:after="0" w:line="240" w:lineRule="auto"/>
            </w:pPr>
            <w:r>
              <w:rPr>
                <w:b/>
                <w:color w:val="15354A"/>
                <w:sz w:val="15"/>
              </w:rPr>
              <w:t>WP7</w:t>
            </w:r>
          </w:p>
        </w:tc>
        <w:tc>
          <w:tcPr>
            <w:tcW w:type="dxa" w:w="2088"/>
            <w:shd w:fill="F8FAFB"/>
            <w:tcMar>
              <w:top w:w="70" w:type="dxa"/>
              <w:start w:w="90" w:type="dxa"/>
              <w:bottom w:w="70" w:type="dxa"/>
              <w:end w:w="90" w:type="dxa"/>
            </w:tcMar>
            <w:vAlign w:val="top"/>
          </w:tcPr>
          <w:p>
            <w:pPr>
              <w:spacing w:after="0" w:line="240" w:lineRule="auto"/>
            </w:pPr>
            <w:r>
              <w:rPr>
                <w:sz w:val="15"/>
              </w:rPr>
              <w:t>Dynamic and forward transport</w:t>
            </w:r>
          </w:p>
        </w:tc>
        <w:tc>
          <w:tcPr>
            <w:tcW w:type="dxa" w:w="4680"/>
            <w:shd w:fill="F8FAFB"/>
            <w:tcMar>
              <w:top w:w="70" w:type="dxa"/>
              <w:start w:w="90" w:type="dxa"/>
              <w:bottom w:w="70" w:type="dxa"/>
              <w:end w:w="90" w:type="dxa"/>
            </w:tcMar>
            <w:vAlign w:val="top"/>
          </w:tcPr>
          <w:p>
            <w:pPr>
              <w:spacing w:after="0" w:line="240" w:lineRule="auto"/>
            </w:pPr>
            <w:r>
              <w:rPr>
                <w:sz w:val="15"/>
              </w:rPr>
              <w:t>Add time-dependent E/B characteristics; cross-check static steady state with forward mode; then implement validated trapping, drift, losses, and local sources.</w:t>
            </w:r>
          </w:p>
        </w:tc>
        <w:tc>
          <w:tcPr>
            <w:tcW w:type="dxa" w:w="2232"/>
            <w:shd w:fill="F8FAFB"/>
            <w:tcMar>
              <w:top w:w="70" w:type="dxa"/>
              <w:start w:w="90" w:type="dxa"/>
              <w:bottom w:w="70" w:type="dxa"/>
              <w:end w:w="90" w:type="dxa"/>
            </w:tcMar>
            <w:vAlign w:val="top"/>
          </w:tcPr>
          <w:p>
            <w:pPr>
              <w:spacing w:after="0" w:line="240" w:lineRule="auto"/>
            </w:pPr>
            <w:r>
              <w:rPr>
                <w:sz w:val="15"/>
              </w:rPr>
              <w:t>Manufactured dynamic tests and backward/forward closure pass before any trapped-population claim.</w:t>
            </w:r>
          </w:p>
        </w:tc>
      </w:tr>
    </w:tbl>
    <w:p>
      <w:pPr>
        <w:spacing w:after="0"/>
      </w:pPr>
    </w:p>
    <w:p>
      <w:pPr>
        <w:pStyle w:val="Heading2"/>
      </w:pPr>
      <w:bookmarkStart w:id="114" w:name="toc_section_15"/>
      <w:r>
        <w:t>5.1 Milestone order</w:t>
      </w:r>
      <w:bookmarkEnd w:id="114"/>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5354A"/>
            <w:tcMar>
              <w:top w:w="70" w:type="dxa"/>
              <w:start w:w="90" w:type="dxa"/>
              <w:bottom w:w="70" w:type="dxa"/>
              <w:end w:w="90" w:type="dxa"/>
            </w:tcMar>
            <w:vAlign w:val="center"/>
          </w:tcPr>
          <w:p>
            <w:pPr>
              <w:spacing w:after="0"/>
              <w:jc w:val="left"/>
            </w:pPr>
            <w:r>
              <w:rPr>
                <w:b/>
                <w:color w:val="FFFFFF"/>
                <w:sz w:val="16"/>
              </w:rPr>
              <w:t>Milestone</w:t>
            </w:r>
          </w:p>
        </w:tc>
        <w:tc>
          <w:tcPr>
            <w:tcW w:type="dxa" w:w="4680"/>
            <w:shd w:fill="15354A"/>
            <w:tcMar>
              <w:top w:w="70" w:type="dxa"/>
              <w:start w:w="90" w:type="dxa"/>
              <w:bottom w:w="70" w:type="dxa"/>
              <w:end w:w="90" w:type="dxa"/>
            </w:tcMar>
            <w:vAlign w:val="center"/>
          </w:tcPr>
          <w:p>
            <w:pPr>
              <w:spacing w:after="0"/>
              <w:jc w:val="left"/>
            </w:pPr>
            <w:r>
              <w:rPr>
                <w:b/>
                <w:color w:val="FFFFFF"/>
                <w:sz w:val="16"/>
              </w:rPr>
              <w:t>Capability released</w:t>
            </w:r>
          </w:p>
        </w:tc>
        <w:tc>
          <w:tcPr>
            <w:tcW w:type="dxa" w:w="3456"/>
            <w:shd w:fill="15354A"/>
            <w:tcMar>
              <w:top w:w="70" w:type="dxa"/>
              <w:start w:w="90" w:type="dxa"/>
              <w:bottom w:w="70" w:type="dxa"/>
              <w:end w:w="90" w:type="dxa"/>
            </w:tcMar>
            <w:vAlign w:val="center"/>
          </w:tcPr>
          <w:p>
            <w:pPr>
              <w:spacing w:after="0"/>
              <w:jc w:val="left"/>
            </w:pPr>
            <w:r>
              <w:rPr>
                <w:b/>
                <w:color w:val="FFFFFF"/>
                <w:sz w:val="16"/>
              </w:rPr>
              <w:t>Tests required</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M0 — Baseline</w:t>
            </w:r>
          </w:p>
        </w:tc>
        <w:tc>
          <w:tcPr>
            <w:tcW w:type="dxa" w:w="4680"/>
            <w:tcMar>
              <w:top w:w="70" w:type="dxa"/>
              <w:start w:w="90" w:type="dxa"/>
              <w:bottom w:w="70" w:type="dxa"/>
              <w:end w:w="90" w:type="dxa"/>
            </w:tcMar>
            <w:vAlign w:val="top"/>
          </w:tcPr>
          <w:p>
            <w:pPr>
              <w:spacing w:after="0" w:line="240" w:lineRule="auto"/>
            </w:pPr>
            <w:r>
              <w:rPr>
                <w:sz w:val="16"/>
              </w:rPr>
              <w:t>Reproducible current cutoff + gridless flux baseline.</w:t>
            </w:r>
          </w:p>
        </w:tc>
        <w:tc>
          <w:tcPr>
            <w:tcW w:type="dxa" w:w="3456"/>
            <w:tcMar>
              <w:top w:w="70" w:type="dxa"/>
              <w:start w:w="90" w:type="dxa"/>
              <w:bottom w:w="70" w:type="dxa"/>
              <w:end w:w="90" w:type="dxa"/>
            </w:tcMar>
            <w:vAlign w:val="top"/>
          </w:tcPr>
          <w:p>
            <w:pPr>
              <w:spacing w:after="0" w:line="240" w:lineRule="auto"/>
            </w:pPr>
            <w:r>
              <w:rPr>
                <w:sz w:val="16"/>
              </w:rPr>
              <w:t>Existing C/F suite in configured CI; audit manifest.</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M1 — Numerical core</w:t>
            </w:r>
          </w:p>
        </w:tc>
        <w:tc>
          <w:tcPr>
            <w:tcW w:type="dxa" w:w="4680"/>
            <w:shd w:fill="F8FAFB"/>
            <w:tcMar>
              <w:top w:w="70" w:type="dxa"/>
              <w:start w:w="90" w:type="dxa"/>
              <w:bottom w:w="70" w:type="dxa"/>
              <w:end w:w="90" w:type="dxa"/>
            </w:tcMar>
            <w:vAlign w:val="top"/>
          </w:tcPr>
          <w:p>
            <w:pPr>
              <w:spacing w:after="0" w:line="240" w:lineRule="auto"/>
            </w:pPr>
            <w:r>
              <w:rPr>
                <w:sz w:val="16"/>
              </w:rPr>
              <w:t>Shared units/grids/quadrature/spectrum kernels.</w:t>
            </w:r>
          </w:p>
        </w:tc>
        <w:tc>
          <w:tcPr>
            <w:tcW w:type="dxa" w:w="3456"/>
            <w:shd w:fill="F8FAFB"/>
            <w:tcMar>
              <w:top w:w="70" w:type="dxa"/>
              <w:start w:w="90" w:type="dxa"/>
              <w:bottom w:w="70" w:type="dxa"/>
              <w:end w:w="90" w:type="dxa"/>
            </w:tcMar>
            <w:vAlign w:val="top"/>
          </w:tcPr>
          <w:p>
            <w:r>
              <w:t>U-F01 and U-F03–U-F09 (U-F02 reserved).</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M2 — Static directional flux</w:t>
            </w:r>
          </w:p>
        </w:tc>
        <w:tc>
          <w:tcPr>
            <w:tcW w:type="dxa" w:w="4680"/>
            <w:tcMar>
              <w:top w:w="70" w:type="dxa"/>
              <w:start w:w="90" w:type="dxa"/>
              <w:bottom w:w="70" w:type="dxa"/>
              <w:end w:w="90" w:type="dxa"/>
            </w:tcMar>
            <w:vAlign w:val="top"/>
          </w:tcPr>
          <w:p>
            <w:pPr>
              <w:spacing w:after="0" w:line="240" w:lineRule="auto"/>
            </w:pPr>
            <w:r>
              <w:rPr>
                <w:sz w:val="16"/>
              </w:rPr>
              <w:t>A(E,Ω), spectra, density, planar and detector products, unresolved bounds.</w:t>
            </w:r>
          </w:p>
        </w:tc>
        <w:tc>
          <w:tcPr>
            <w:tcW w:type="dxa" w:w="3456"/>
            <w:tcMar>
              <w:top w:w="70" w:type="dxa"/>
              <w:start w:w="90" w:type="dxa"/>
              <w:bottom w:w="70" w:type="dxa"/>
              <w:end w:w="90" w:type="dxa"/>
            </w:tcMar>
            <w:vAlign w:val="top"/>
          </w:tcPr>
          <w:p>
            <w:pPr>
              <w:spacing w:after="0" w:line="240" w:lineRule="auto"/>
            </w:pPr>
            <w:r>
              <w:rPr>
                <w:sz w:val="16"/>
              </w:rPr>
              <w:t>U-F10/U-F12/U-F13; I-F01–I-F05; F1–F6, F11, F12, F15, F16.</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M3 — Mesh parity</w:t>
            </w:r>
          </w:p>
        </w:tc>
        <w:tc>
          <w:tcPr>
            <w:tcW w:type="dxa" w:w="4680"/>
            <w:shd w:fill="F8FAFB"/>
            <w:tcMar>
              <w:top w:w="70" w:type="dxa"/>
              <w:start w:w="90" w:type="dxa"/>
              <w:bottom w:w="70" w:type="dxa"/>
              <w:end w:w="90" w:type="dxa"/>
            </w:tcMar>
            <w:vAlign w:val="top"/>
          </w:tcPr>
          <w:p>
            <w:pPr>
              <w:spacing w:after="0" w:line="240" w:lineRule="auto"/>
            </w:pPr>
            <w:r>
              <w:rPr>
                <w:sz w:val="16"/>
              </w:rPr>
              <w:t>Gridless and Mode3D product parity on common fields.</w:t>
            </w:r>
          </w:p>
        </w:tc>
        <w:tc>
          <w:tcPr>
            <w:tcW w:type="dxa" w:w="3456"/>
            <w:shd w:fill="F8FAFB"/>
            <w:tcMar>
              <w:top w:w="70" w:type="dxa"/>
              <w:start w:w="90" w:type="dxa"/>
              <w:bottom w:w="70" w:type="dxa"/>
              <w:end w:w="90" w:type="dxa"/>
            </w:tcMar>
            <w:vAlign w:val="top"/>
          </w:tcPr>
          <w:p>
            <w:pPr>
              <w:spacing w:after="0" w:line="240" w:lineRule="auto"/>
            </w:pPr>
            <w:r>
              <w:rPr>
                <w:sz w:val="16"/>
              </w:rPr>
              <w:t>I-F03–I-F07; F7, F13, F14.</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M4 — Observational release</w:t>
            </w:r>
          </w:p>
        </w:tc>
        <w:tc>
          <w:tcPr>
            <w:tcW w:type="dxa" w:w="4680"/>
            <w:tcMar>
              <w:top w:w="70" w:type="dxa"/>
              <w:start w:w="90" w:type="dxa"/>
              <w:bottom w:w="70" w:type="dxa"/>
              <w:end w:w="90" w:type="dxa"/>
            </w:tcMar>
            <w:vAlign w:val="top"/>
          </w:tcPr>
          <w:p>
            <w:pPr>
              <w:spacing w:after="0" w:line="240" w:lineRule="auto"/>
            </w:pPr>
            <w:r>
              <w:rPr>
                <w:sz w:val="16"/>
              </w:rPr>
              <w:t>Response-folded GEO/LEO/inner-magnetosphere spectra.</w:t>
            </w:r>
          </w:p>
        </w:tc>
        <w:tc>
          <w:tcPr>
            <w:tcW w:type="dxa" w:w="3456"/>
            <w:tcMar>
              <w:top w:w="70" w:type="dxa"/>
              <w:start w:w="90" w:type="dxa"/>
              <w:bottom w:w="70" w:type="dxa"/>
              <w:end w:w="90" w:type="dxa"/>
            </w:tcMar>
            <w:vAlign w:val="top"/>
          </w:tcPr>
          <w:p>
            <w:pPr>
              <w:spacing w:after="0" w:line="240" w:lineRule="auto"/>
            </w:pPr>
            <w:r>
              <w:rPr>
                <w:sz w:val="16"/>
              </w:rPr>
              <w:t>Instrument adapter tests; O1–O4; F8–F10/F17 compatibility cases.</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M5 — Dynamic/forward</w:t>
            </w:r>
          </w:p>
        </w:tc>
        <w:tc>
          <w:tcPr>
            <w:tcW w:type="dxa" w:w="4680"/>
            <w:shd w:fill="F8FAFB"/>
            <w:tcMar>
              <w:top w:w="70" w:type="dxa"/>
              <w:start w:w="90" w:type="dxa"/>
              <w:bottom w:w="70" w:type="dxa"/>
              <w:end w:w="90" w:type="dxa"/>
            </w:tcMar>
            <w:vAlign w:val="top"/>
          </w:tcPr>
          <w:p>
            <w:pPr>
              <w:spacing w:after="0" w:line="240" w:lineRule="auto"/>
            </w:pPr>
            <w:r>
              <w:rPr>
                <w:sz w:val="16"/>
              </w:rPr>
              <w:t>Time-dependent E/B mapping and validated forward transport.</w:t>
            </w:r>
          </w:p>
        </w:tc>
        <w:tc>
          <w:tcPr>
            <w:tcW w:type="dxa" w:w="3456"/>
            <w:shd w:fill="F8FAFB"/>
            <w:tcMar>
              <w:top w:w="70" w:type="dxa"/>
              <w:start w:w="90" w:type="dxa"/>
              <w:bottom w:w="70" w:type="dxa"/>
              <w:end w:w="90" w:type="dxa"/>
            </w:tcMar>
            <w:vAlign w:val="top"/>
          </w:tcPr>
          <w:p>
            <w:r>
              <w:t>U-F11/U-F19/U-F20/U-F21; I-F08/I-F09; dynamic and loss-physics F-tests.</w:t>
            </w:r>
          </w:p>
        </w:tc>
      </w:tr>
    </w:tbl>
    <w:p>
      <w:pPr>
        <w:spacing w:after="0"/>
      </w:pPr>
    </w:p>
    <w:p>
      <w:pPr>
        <w:pStyle w:val="Heading2"/>
      </w:pPr>
      <w:bookmarkStart w:id="115" w:name="toc_section_16"/>
      <w:r>
        <w:t>5.2 Code implementation roadmap</w:t>
      </w:r>
      <w:bookmarkEnd w:id="115"/>
    </w:p>
    <w:p>
      <w:r>
        <w:t>The roadmap below is the implementation sequence required to leave the project with two working production paths: a standalone application driven by phenomenological or empirical magnetospheric fields, and an AMPS component coupled to SWMF. Both paths must calculate cutoff, directional access, differential energy spectra, integrated fluxes, and density through the same tested physics kernels. Steps 0-6 are common foundation work. Steps 7-8 complete the standalone path. Steps 9-11 complete the SWMF path. Step 12 closes the common release gate.</w:t>
      </w:r>
    </w:p>
    <w:p>
      <w:r>
        <w:t>Phase-1 SWMF products are instantaneous or quasi-static snapshot products: the field is held fixed during each backward trajectory batch. This is sufficient for cutoff and externally connected SEP/GCR access. Fully time-dependent characteristics, long-duration trapping, local acceleration, and loss physics remain a later release and must not be implied by the Phase-1 output.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15354A"/>
            <w:tcMar>
              <w:top w:w="70" w:type="dxa"/>
              <w:start w:w="90" w:type="dxa"/>
              <w:bottom w:w="70" w:type="dxa"/>
              <w:end w:w="90" w:type="dxa"/>
            </w:tcMar>
            <w:vAlign w:val="center"/>
          </w:tcPr>
          <w:p>
            <w:pPr>
              <w:spacing w:after="0"/>
              <w:jc w:val="left"/>
            </w:pPr>
            <w:r>
              <w:rPr>
                <w:b/>
                <w:color w:val="FFFFFF"/>
                <w:sz w:val="14"/>
              </w:rPr>
              <w:t>Step</w:t>
            </w:r>
          </w:p>
        </w:tc>
        <w:tc>
          <w:tcPr>
            <w:tcW w:type="dxa" w:w="3528"/>
            <w:shd w:fill="15354A"/>
            <w:tcMar>
              <w:top w:w="70" w:type="dxa"/>
              <w:start w:w="90" w:type="dxa"/>
              <w:bottom w:w="70" w:type="dxa"/>
              <w:end w:w="90" w:type="dxa"/>
            </w:tcMar>
            <w:vAlign w:val="center"/>
          </w:tcPr>
          <w:p>
            <w:pPr>
              <w:spacing w:after="0"/>
              <w:jc w:val="left"/>
            </w:pPr>
            <w:r>
              <w:rPr>
                <w:b/>
                <w:color w:val="FFFFFF"/>
                <w:sz w:val="14"/>
              </w:rPr>
              <w:t>Primary code result</w:t>
            </w:r>
          </w:p>
        </w:tc>
        <w:tc>
          <w:tcPr>
            <w:tcW w:type="dxa" w:w="2951"/>
            <w:shd w:fill="15354A"/>
            <w:tcMar>
              <w:top w:w="70" w:type="dxa"/>
              <w:start w:w="90" w:type="dxa"/>
              <w:bottom w:w="70" w:type="dxa"/>
              <w:end w:w="90" w:type="dxa"/>
            </w:tcMar>
            <w:vAlign w:val="center"/>
          </w:tcPr>
          <w:p>
            <w:pPr>
              <w:spacing w:after="0"/>
              <w:jc w:val="left"/>
            </w:pPr>
            <w:r>
              <w:rPr>
                <w:b/>
                <w:color w:val="FFFFFF"/>
                <w:sz w:val="14"/>
              </w:rPr>
              <w:t>Standalone gate</w:t>
            </w:r>
          </w:p>
        </w:tc>
        <w:tc>
          <w:tcPr>
            <w:tcW w:type="dxa" w:w="2951"/>
            <w:shd w:fill="15354A"/>
            <w:tcMar>
              <w:top w:w="70" w:type="dxa"/>
              <w:start w:w="90" w:type="dxa"/>
              <w:bottom w:w="70" w:type="dxa"/>
              <w:end w:w="90" w:type="dxa"/>
            </w:tcMar>
            <w:vAlign w:val="center"/>
          </w:tcPr>
          <w:p>
            <w:pPr>
              <w:spacing w:after="0"/>
              <w:jc w:val="left"/>
            </w:pPr>
            <w:r>
              <w:rPr>
                <w:b/>
                <w:color w:val="FFFFFF"/>
                <w:sz w:val="14"/>
              </w:rPr>
              <w:t>SWMF gate</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0</w:t>
            </w:r>
          </w:p>
        </w:tc>
        <w:tc>
          <w:tcPr>
            <w:tcW w:type="dxa" w:w="3528"/>
            <w:tcMar>
              <w:top w:w="70" w:type="dxa"/>
              <w:start w:w="90" w:type="dxa"/>
              <w:bottom w:w="70" w:type="dxa"/>
              <w:end w:w="90" w:type="dxa"/>
            </w:tcMar>
            <w:vAlign w:val="top"/>
          </w:tcPr>
          <w:p>
            <w:pPr>
              <w:spacing w:after="0" w:line="240" w:lineRule="auto"/>
            </w:pPr>
            <w:r>
              <w:rPr>
                <w:sz w:val="14"/>
              </w:rPr>
              <w:t>Frozen scope, two-build baseline, reference outputs</w:t>
            </w:r>
          </w:p>
        </w:tc>
        <w:tc>
          <w:tcPr>
            <w:tcW w:type="dxa" w:w="2951"/>
            <w:tcMar>
              <w:top w:w="70" w:type="dxa"/>
              <w:start w:w="90" w:type="dxa"/>
              <w:bottom w:w="70" w:type="dxa"/>
              <w:end w:w="90" w:type="dxa"/>
            </w:tcMar>
            <w:vAlign w:val="top"/>
          </w:tcPr>
          <w:p>
            <w:pPr>
              <w:spacing w:after="0" w:line="240" w:lineRule="auto"/>
            </w:pPr>
            <w:r>
              <w:rPr>
                <w:sz w:val="14"/>
              </w:rPr>
              <w:t>Standalone executable builds and runs a cutoff smoke case.</w:t>
            </w:r>
          </w:p>
        </w:tc>
        <w:tc>
          <w:tcPr>
            <w:tcW w:type="dxa" w:w="2951"/>
            <w:tcMar>
              <w:top w:w="70" w:type="dxa"/>
              <w:start w:w="90" w:type="dxa"/>
              <w:bottom w:w="70" w:type="dxa"/>
              <w:end w:w="90" w:type="dxa"/>
            </w:tcMar>
            <w:vAlign w:val="top"/>
          </w:tcPr>
          <w:p>
            <w:pPr>
              <w:spacing w:after="0" w:line="240" w:lineRule="auto"/>
            </w:pPr>
            <w:r>
              <w:rPr>
                <w:sz w:val="14"/>
              </w:rPr>
              <w:t>Coupled component builds and receives one valid field state.</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1</w:t>
            </w:r>
          </w:p>
        </w:tc>
        <w:tc>
          <w:tcPr>
            <w:tcW w:type="dxa" w:w="3528"/>
            <w:shd w:fill="F8FAFB"/>
            <w:tcMar>
              <w:top w:w="70" w:type="dxa"/>
              <w:start w:w="90" w:type="dxa"/>
              <w:bottom w:w="70" w:type="dxa"/>
              <w:end w:w="90" w:type="dxa"/>
            </w:tcMar>
            <w:vAlign w:val="top"/>
          </w:tcPr>
          <w:p>
            <w:pPr>
              <w:spacing w:after="0" w:line="240" w:lineRule="auto"/>
            </w:pPr>
            <w:r>
              <w:rPr>
                <w:sz w:val="14"/>
              </w:rPr>
              <w:t>Common data contracts</w:t>
            </w:r>
          </w:p>
        </w:tc>
        <w:tc>
          <w:tcPr>
            <w:tcW w:type="dxa" w:w="2951"/>
            <w:shd w:fill="F8FAFB"/>
            <w:tcMar>
              <w:top w:w="70" w:type="dxa"/>
              <w:start w:w="90" w:type="dxa"/>
              <w:bottom w:w="70" w:type="dxa"/>
              <w:end w:w="90" w:type="dxa"/>
            </w:tcMar>
            <w:vAlign w:val="top"/>
          </w:tcPr>
          <w:p>
            <w:pPr>
              <w:spacing w:after="0" w:line="240" w:lineRule="auto"/>
            </w:pPr>
            <w:r>
              <w:rPr>
                <w:sz w:val="14"/>
              </w:rPr>
              <w:t>Uses shared species, grid, trajectory, and product records.</w:t>
            </w:r>
          </w:p>
        </w:tc>
        <w:tc>
          <w:tcPr>
            <w:tcW w:type="dxa" w:w="2951"/>
            <w:shd w:fill="F8FAFB"/>
            <w:tcMar>
              <w:top w:w="70" w:type="dxa"/>
              <w:start w:w="90" w:type="dxa"/>
              <w:bottom w:w="70" w:type="dxa"/>
              <w:end w:w="90" w:type="dxa"/>
            </w:tcMar>
            <w:vAlign w:val="top"/>
          </w:tcPr>
          <w:p>
            <w:pPr>
              <w:spacing w:after="0" w:line="240" w:lineRule="auto"/>
            </w:pPr>
            <w:r>
              <w:rPr>
                <w:sz w:val="14"/>
              </w:rPr>
              <w:t>Uses the identical records without coupler-specific physics copies.</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2</w:t>
            </w:r>
          </w:p>
        </w:tc>
        <w:tc>
          <w:tcPr>
            <w:tcW w:type="dxa" w:w="3528"/>
            <w:tcMar>
              <w:top w:w="70" w:type="dxa"/>
              <w:start w:w="90" w:type="dxa"/>
              <w:bottom w:w="70" w:type="dxa"/>
              <w:end w:w="90" w:type="dxa"/>
            </w:tcMar>
            <w:vAlign w:val="top"/>
          </w:tcPr>
          <w:p>
            <w:pPr>
              <w:spacing w:after="0" w:line="240" w:lineRule="auto"/>
            </w:pPr>
            <w:r>
              <w:rPr>
                <w:sz w:val="14"/>
              </w:rPr>
              <w:t>Shared numerical production library and P0 fixes</w:t>
            </w:r>
          </w:p>
        </w:tc>
        <w:tc>
          <w:tcPr>
            <w:tcW w:type="dxa" w:w="2951"/>
            <w:tcMar>
              <w:top w:w="70" w:type="dxa"/>
              <w:start w:w="90" w:type="dxa"/>
              <w:bottom w:w="70" w:type="dxa"/>
              <w:end w:w="90" w:type="dxa"/>
            </w:tcMar>
            <w:vAlign w:val="top"/>
          </w:tcPr>
          <w:p>
            <w:pPr>
              <w:spacing w:after="0" w:line="240" w:lineRule="auto"/>
            </w:pPr>
            <w:r>
              <w:rPr>
                <w:sz w:val="14"/>
              </w:rPr>
              <w:t>Gridless and Mode3D call the same kernels.</w:t>
            </w:r>
          </w:p>
        </w:tc>
        <w:tc>
          <w:tcPr>
            <w:tcW w:type="dxa" w:w="2951"/>
            <w:tcMar>
              <w:top w:w="70" w:type="dxa"/>
              <w:start w:w="90" w:type="dxa"/>
              <w:bottom w:w="70" w:type="dxa"/>
              <w:end w:w="90" w:type="dxa"/>
            </w:tcMar>
            <w:vAlign w:val="top"/>
          </w:tcPr>
          <w:p>
            <w:pPr>
              <w:spacing w:after="0" w:line="240" w:lineRule="auto"/>
            </w:pPr>
            <w:r>
              <w:rPr>
                <w:sz w:val="14"/>
              </w:rPr>
              <w:t>Coupled Mode3D calls the same kernels.</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3</w:t>
            </w:r>
          </w:p>
        </w:tc>
        <w:tc>
          <w:tcPr>
            <w:tcW w:type="dxa" w:w="3528"/>
            <w:shd w:fill="F8FAFB"/>
            <w:tcMar>
              <w:top w:w="70" w:type="dxa"/>
              <w:start w:w="90" w:type="dxa"/>
              <w:bottom w:w="70" w:type="dxa"/>
              <w:end w:w="90" w:type="dxa"/>
            </w:tcMar>
            <w:vAlign w:val="top"/>
          </w:tcPr>
          <w:p>
            <w:pPr>
              <w:spacing w:after="0" w:line="240" w:lineRule="auto"/>
            </w:pPr>
            <w:r>
              <w:rPr>
                <w:sz w:val="14"/>
              </w:rPr>
              <w:t>Field-provider and snapshot API</w:t>
            </w:r>
          </w:p>
        </w:tc>
        <w:tc>
          <w:tcPr>
            <w:tcW w:type="dxa" w:w="2951"/>
            <w:shd w:fill="F8FAFB"/>
            <w:tcMar>
              <w:top w:w="70" w:type="dxa"/>
              <w:start w:w="90" w:type="dxa"/>
              <w:bottom w:w="70" w:type="dxa"/>
              <w:end w:w="90" w:type="dxa"/>
            </w:tcMar>
            <w:vAlign w:val="top"/>
          </w:tcPr>
          <w:p>
            <w:pPr>
              <w:spacing w:after="0" w:line="240" w:lineRule="auto"/>
            </w:pPr>
            <w:r>
              <w:rPr>
                <w:sz w:val="14"/>
              </w:rPr>
              <w:t>DIPOLE/IGRF/Tsyganenko providers expose epoch, units, frame, and validity.</w:t>
            </w:r>
          </w:p>
        </w:tc>
        <w:tc>
          <w:tcPr>
            <w:tcW w:type="dxa" w:w="2951"/>
            <w:shd w:fill="F8FAFB"/>
            <w:tcMar>
              <w:top w:w="70" w:type="dxa"/>
              <w:start w:w="90" w:type="dxa"/>
              <w:bottom w:w="70" w:type="dxa"/>
              <w:end w:w="90" w:type="dxa"/>
            </w:tcMar>
            <w:vAlign w:val="top"/>
          </w:tcPr>
          <w:p>
            <w:pPr>
              <w:spacing w:after="0" w:line="240" w:lineRule="auto"/>
            </w:pPr>
            <w:r>
              <w:rPr>
                <w:sz w:val="14"/>
              </w:rPr>
              <w:t>PIC::CPLR field provider exposes the same contract.</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4</w:t>
            </w:r>
          </w:p>
        </w:tc>
        <w:tc>
          <w:tcPr>
            <w:tcW w:type="dxa" w:w="3528"/>
            <w:tcMar>
              <w:top w:w="70" w:type="dxa"/>
              <w:start w:w="90" w:type="dxa"/>
              <w:bottom w:w="70" w:type="dxa"/>
              <w:end w:w="90" w:type="dxa"/>
            </w:tcMar>
            <w:vAlign w:val="top"/>
          </w:tcPr>
          <w:p>
            <w:pPr>
              <w:spacing w:after="0" w:line="240" w:lineRule="auto"/>
            </w:pPr>
            <w:r>
              <w:rPr>
                <w:sz w:val="14"/>
              </w:rPr>
              <w:t>Unified mover and termination result</w:t>
            </w:r>
          </w:p>
        </w:tc>
        <w:tc>
          <w:tcPr>
            <w:tcW w:type="dxa" w:w="2951"/>
            <w:tcMar>
              <w:top w:w="70" w:type="dxa"/>
              <w:start w:w="90" w:type="dxa"/>
              <w:bottom w:w="70" w:type="dxa"/>
              <w:end w:w="90" w:type="dxa"/>
            </w:tcMar>
            <w:vAlign w:val="top"/>
          </w:tcPr>
          <w:p>
            <w:pPr>
              <w:spacing w:after="0" w:line="240" w:lineRule="auto"/>
            </w:pPr>
            <w:r>
              <w:rPr>
                <w:sz w:val="14"/>
              </w:rPr>
              <w:t>All empirical-field traces close their termination accounting.</w:t>
            </w:r>
          </w:p>
        </w:tc>
        <w:tc>
          <w:tcPr>
            <w:tcW w:type="dxa" w:w="2951"/>
            <w:tcMar>
              <w:top w:w="70" w:type="dxa"/>
              <w:start w:w="90" w:type="dxa"/>
              <w:bottom w:w="70" w:type="dxa"/>
              <w:end w:w="90" w:type="dxa"/>
            </w:tcMar>
            <w:vAlign w:val="top"/>
          </w:tcPr>
          <w:p>
            <w:pPr>
              <w:spacing w:after="0" w:line="240" w:lineRule="auto"/>
            </w:pPr>
            <w:r>
              <w:rPr>
                <w:sz w:val="14"/>
              </w:rPr>
              <w:t>All mesh-field traces use the same categories and bounds.</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5</w:t>
            </w:r>
          </w:p>
        </w:tc>
        <w:tc>
          <w:tcPr>
            <w:tcW w:type="dxa" w:w="3528"/>
            <w:shd w:fill="F8FAFB"/>
            <w:tcMar>
              <w:top w:w="70" w:type="dxa"/>
              <w:start w:w="90" w:type="dxa"/>
              <w:bottom w:w="70" w:type="dxa"/>
              <w:end w:w="90" w:type="dxa"/>
            </w:tcMar>
            <w:vAlign w:val="top"/>
          </w:tcPr>
          <w:p>
            <w:pPr>
              <w:spacing w:after="0" w:line="240" w:lineRule="auto"/>
            </w:pPr>
            <w:r>
              <w:rPr>
                <w:sz w:val="14"/>
              </w:rPr>
              <w:t>Cutoff and directional access engine</w:t>
            </w:r>
          </w:p>
        </w:tc>
        <w:tc>
          <w:tcPr>
            <w:tcW w:type="dxa" w:w="2951"/>
            <w:shd w:fill="F8FAFB"/>
            <w:tcMar>
              <w:top w:w="70" w:type="dxa"/>
              <w:start w:w="90" w:type="dxa"/>
              <w:bottom w:w="70" w:type="dxa"/>
              <w:end w:w="90" w:type="dxa"/>
            </w:tcMar>
            <w:vAlign w:val="top"/>
          </w:tcPr>
          <w:p>
            <w:pPr>
              <w:spacing w:after="0" w:line="240" w:lineRule="auto"/>
            </w:pPr>
            <w:r>
              <w:rPr>
                <w:sz w:val="14"/>
              </w:rPr>
              <w:t>Cutoff and A(E,Ω) work for POINTS, TRAJECTORY, and SHELLS.</w:t>
            </w:r>
          </w:p>
        </w:tc>
        <w:tc>
          <w:tcPr>
            <w:tcW w:type="dxa" w:w="2951"/>
            <w:shd w:fill="F8FAFB"/>
            <w:tcMar>
              <w:top w:w="70" w:type="dxa"/>
              <w:start w:w="90" w:type="dxa"/>
              <w:bottom w:w="70" w:type="dxa"/>
              <w:end w:w="90" w:type="dxa"/>
            </w:tcMar>
            <w:vAlign w:val="top"/>
          </w:tcPr>
          <w:p>
            <w:pPr>
              <w:spacing w:after="0" w:line="240" w:lineRule="auto"/>
            </w:pPr>
            <w:r>
              <w:rPr>
                <w:sz w:val="14"/>
              </w:rPr>
              <w:t>The same engine runs on an immutable SWMF snapshot.</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6</w:t>
            </w:r>
          </w:p>
        </w:tc>
        <w:tc>
          <w:tcPr>
            <w:tcW w:type="dxa" w:w="3528"/>
            <w:tcMar>
              <w:top w:w="70" w:type="dxa"/>
              <w:start w:w="90" w:type="dxa"/>
              <w:bottom w:w="70" w:type="dxa"/>
              <w:end w:w="90" w:type="dxa"/>
            </w:tcMar>
            <w:vAlign w:val="top"/>
          </w:tcPr>
          <w:p>
            <w:pPr>
              <w:spacing w:after="0" w:line="240" w:lineRule="auto"/>
            </w:pPr>
            <w:r>
              <w:rPr>
                <w:sz w:val="14"/>
              </w:rPr>
              <w:t>Boundary spectrum and flux/spectrum integrator</w:t>
            </w:r>
          </w:p>
        </w:tc>
        <w:tc>
          <w:tcPr>
            <w:tcW w:type="dxa" w:w="2951"/>
            <w:tcMar>
              <w:top w:w="70" w:type="dxa"/>
              <w:start w:w="90" w:type="dxa"/>
              <w:bottom w:w="70" w:type="dxa"/>
              <w:end w:w="90" w:type="dxa"/>
            </w:tcMar>
            <w:vAlign w:val="top"/>
          </w:tcPr>
          <w:p>
            <w:pPr>
              <w:spacing w:after="0" w:line="240" w:lineRule="auto"/>
            </w:pPr>
            <w:r>
              <w:rPr>
                <w:sz w:val="14"/>
              </w:rPr>
              <w:t>Produces spectra, density, planar/omnidirectional flux, and response-folded channels.</w:t>
            </w:r>
          </w:p>
        </w:tc>
        <w:tc>
          <w:tcPr>
            <w:tcW w:type="dxa" w:w="2951"/>
            <w:tcMar>
              <w:top w:w="70" w:type="dxa"/>
              <w:start w:w="90" w:type="dxa"/>
              <w:bottom w:w="70" w:type="dxa"/>
              <w:end w:w="90" w:type="dxa"/>
            </w:tcMar>
            <w:vAlign w:val="top"/>
          </w:tcPr>
          <w:p>
            <w:pPr>
              <w:spacing w:after="0" w:line="240" w:lineRule="auto"/>
            </w:pPr>
            <w:r>
              <w:rPr>
                <w:sz w:val="14"/>
              </w:rPr>
              <w:t>Identical products and metadata are available to the coupled path.</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7</w:t>
            </w:r>
          </w:p>
        </w:tc>
        <w:tc>
          <w:tcPr>
            <w:tcW w:type="dxa" w:w="3528"/>
            <w:shd w:fill="F8FAFB"/>
            <w:tcMar>
              <w:top w:w="70" w:type="dxa"/>
              <w:start w:w="90" w:type="dxa"/>
              <w:bottom w:w="70" w:type="dxa"/>
              <w:end w:w="90" w:type="dxa"/>
            </w:tcMar>
            <w:vAlign w:val="top"/>
          </w:tcPr>
          <w:p>
            <w:pPr>
              <w:spacing w:after="0" w:line="240" w:lineRule="auto"/>
            </w:pPr>
            <w:r>
              <w:rPr>
                <w:sz w:val="14"/>
              </w:rPr>
              <w:t>Complete phenomenological-field integration</w:t>
            </w:r>
          </w:p>
        </w:tc>
        <w:tc>
          <w:tcPr>
            <w:tcW w:type="dxa" w:w="2951"/>
            <w:shd w:fill="F8FAFB"/>
            <w:tcMar>
              <w:top w:w="70" w:type="dxa"/>
              <w:start w:w="90" w:type="dxa"/>
              <w:bottom w:w="70" w:type="dxa"/>
              <w:end w:w="90" w:type="dxa"/>
            </w:tcMar>
            <w:vAlign w:val="top"/>
          </w:tcPr>
          <w:p>
            <w:pPr>
              <w:spacing w:after="0" w:line="240" w:lineRule="auto"/>
            </w:pPr>
            <w:r>
              <w:rPr>
                <w:sz w:val="14"/>
              </w:rPr>
              <w:t>All released field models and driver files work in one executable.</w:t>
            </w:r>
          </w:p>
        </w:tc>
        <w:tc>
          <w:tcPr>
            <w:tcW w:type="dxa" w:w="2951"/>
            <w:shd w:fill="F8FAFB"/>
            <w:tcMar>
              <w:top w:w="70" w:type="dxa"/>
              <w:start w:w="90" w:type="dxa"/>
              <w:bottom w:w="70" w:type="dxa"/>
              <w:end w:w="90" w:type="dxa"/>
            </w:tcMar>
            <w:vAlign w:val="top"/>
          </w:tcPr>
          <w:p>
            <w:pPr>
              <w:spacing w:after="0" w:line="240" w:lineRule="auto"/>
            </w:pPr>
            <w:r>
              <w:rPr>
                <w:sz w:val="14"/>
              </w:rPr>
              <w:t>Not applicable; empirical-field calls are excluded from coupled builds.</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8</w:t>
            </w:r>
          </w:p>
        </w:tc>
        <w:tc>
          <w:tcPr>
            <w:tcW w:type="dxa" w:w="3528"/>
            <w:tcMar>
              <w:top w:w="70" w:type="dxa"/>
              <w:start w:w="90" w:type="dxa"/>
              <w:bottom w:w="70" w:type="dxa"/>
              <w:end w:w="90" w:type="dxa"/>
            </w:tcMar>
            <w:vAlign w:val="top"/>
          </w:tcPr>
          <w:p>
            <w:pPr>
              <w:spacing w:after="0" w:line="240" w:lineRule="auto"/>
            </w:pPr>
            <w:r>
              <w:rPr>
                <w:sz w:val="14"/>
              </w:rPr>
              <w:t>Standalone event and observation workflow</w:t>
            </w:r>
          </w:p>
        </w:tc>
        <w:tc>
          <w:tcPr>
            <w:tcW w:type="dxa" w:w="2951"/>
            <w:tcMar>
              <w:top w:w="70" w:type="dxa"/>
              <w:start w:w="90" w:type="dxa"/>
              <w:bottom w:w="70" w:type="dxa"/>
              <w:end w:w="90" w:type="dxa"/>
            </w:tcMar>
            <w:vAlign w:val="top"/>
          </w:tcPr>
          <w:p>
            <w:pPr>
              <w:spacing w:after="0" w:line="240" w:lineRule="auto"/>
            </w:pPr>
            <w:r>
              <w:rPr>
                <w:sz w:val="14"/>
              </w:rPr>
              <w:t>Reproducible event runner passes numerical and observational gates.</w:t>
            </w:r>
          </w:p>
        </w:tc>
        <w:tc>
          <w:tcPr>
            <w:tcW w:type="dxa" w:w="2951"/>
            <w:tcMar>
              <w:top w:w="70" w:type="dxa"/>
              <w:start w:w="90" w:type="dxa"/>
              <w:bottom w:w="70" w:type="dxa"/>
              <w:end w:w="90" w:type="dxa"/>
            </w:tcMar>
            <w:vAlign w:val="top"/>
          </w:tcPr>
          <w:p>
            <w:pPr>
              <w:spacing w:after="0" w:line="240" w:lineRule="auto"/>
            </w:pPr>
            <w:r>
              <w:rPr>
                <w:sz w:val="14"/>
              </w:rPr>
              <w:t>Inputs and adapters are reusable by the coupled campaign.</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9</w:t>
            </w:r>
          </w:p>
        </w:tc>
        <w:tc>
          <w:tcPr>
            <w:tcW w:type="dxa" w:w="3528"/>
            <w:shd w:fill="F8FAFB"/>
            <w:tcMar>
              <w:top w:w="70" w:type="dxa"/>
              <w:start w:w="90" w:type="dxa"/>
              <w:bottom w:w="70" w:type="dxa"/>
              <w:end w:w="90" w:type="dxa"/>
            </w:tcMar>
            <w:vAlign w:val="top"/>
          </w:tcPr>
          <w:p>
            <w:pPr>
              <w:spacing w:after="0" w:line="240" w:lineRule="auto"/>
            </w:pPr>
            <w:r>
              <w:rPr>
                <w:sz w:val="14"/>
              </w:rPr>
              <w:t>SWMF field ingestion and synchronization</w:t>
            </w:r>
          </w:p>
        </w:tc>
        <w:tc>
          <w:tcPr>
            <w:tcW w:type="dxa" w:w="2951"/>
            <w:shd w:fill="F8FAFB"/>
            <w:tcMar>
              <w:top w:w="70" w:type="dxa"/>
              <w:start w:w="90" w:type="dxa"/>
              <w:bottom w:w="70" w:type="dxa"/>
              <w:end w:w="90" w:type="dxa"/>
            </w:tcMar>
            <w:vAlign w:val="top"/>
          </w:tcPr>
          <w:p>
            <w:pPr>
              <w:spacing w:after="0" w:line="240" w:lineRule="auto"/>
            </w:pPr>
            <w:r>
              <w:rPr>
                <w:sz w:val="14"/>
              </w:rPr>
              <w:t>Can ingest an exported SWMF snapshot for cross-path comparison.</w:t>
            </w:r>
          </w:p>
        </w:tc>
        <w:tc>
          <w:tcPr>
            <w:tcW w:type="dxa" w:w="2951"/>
            <w:shd w:fill="F8FAFB"/>
            <w:tcMar>
              <w:top w:w="70" w:type="dxa"/>
              <w:start w:w="90" w:type="dxa"/>
              <w:bottom w:w="70" w:type="dxa"/>
              <w:end w:w="90" w:type="dxa"/>
            </w:tcMar>
            <w:vAlign w:val="top"/>
          </w:tcPr>
          <w:p>
            <w:pPr>
              <w:spacing w:after="0" w:line="240" w:lineRule="auto"/>
            </w:pPr>
            <w:r>
              <w:rPr>
                <w:sz w:val="14"/>
              </w:rPr>
              <w:t>Live B/u state is validated and frozen consistently for each calculation.</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10</w:t>
            </w:r>
          </w:p>
        </w:tc>
        <w:tc>
          <w:tcPr>
            <w:tcW w:type="dxa" w:w="3528"/>
            <w:tcMar>
              <w:top w:w="70" w:type="dxa"/>
              <w:start w:w="90" w:type="dxa"/>
              <w:bottom w:w="70" w:type="dxa"/>
              <w:end w:w="90" w:type="dxa"/>
            </w:tcMar>
            <w:vAlign w:val="top"/>
          </w:tcPr>
          <w:p>
            <w:pPr>
              <w:spacing w:after="0" w:line="240" w:lineRule="auto"/>
            </w:pPr>
            <w:r>
              <w:rPr>
                <w:sz w:val="14"/>
              </w:rPr>
              <w:t>Coupled cutoff/access production path</w:t>
            </w:r>
          </w:p>
        </w:tc>
        <w:tc>
          <w:tcPr>
            <w:tcW w:type="dxa" w:w="2951"/>
            <w:tcMar>
              <w:top w:w="70" w:type="dxa"/>
              <w:start w:w="90" w:type="dxa"/>
              <w:bottom w:w="70" w:type="dxa"/>
              <w:end w:w="90" w:type="dxa"/>
            </w:tcMar>
            <w:vAlign w:val="top"/>
          </w:tcPr>
          <w:p>
            <w:pPr>
              <w:spacing w:after="0" w:line="240" w:lineRule="auto"/>
            </w:pPr>
            <w:r>
              <w:rPr>
                <w:sz w:val="14"/>
              </w:rPr>
              <w:t>Matches the same exported snapshot within parity tolerances.</w:t>
            </w:r>
          </w:p>
        </w:tc>
        <w:tc>
          <w:tcPr>
            <w:tcW w:type="dxa" w:w="2951"/>
            <w:tcMar>
              <w:top w:w="70" w:type="dxa"/>
              <w:start w:w="90" w:type="dxa"/>
              <w:bottom w:w="70" w:type="dxa"/>
              <w:end w:w="90" w:type="dxa"/>
            </w:tcMar>
            <w:vAlign w:val="top"/>
          </w:tcPr>
          <w:p>
            <w:pPr>
              <w:spacing w:after="0" w:line="240" w:lineRule="auto"/>
            </w:pPr>
            <w:r>
              <w:rPr>
                <w:sz w:val="14"/>
              </w:rPr>
              <w:t>Produces time-tagged cutoff/access products during SWMF execution.</w:t>
            </w:r>
          </w:p>
        </w:tc>
      </w:tr>
      <w:tr>
        <w:trPr>
          <w:cantSplit/>
        </w:trPr>
        <w:tc>
          <w:tcPr>
            <w:tcW w:type="dxa" w:w="648"/>
            <w:shd w:fill="F8FAFB"/>
            <w:tcMar>
              <w:top w:w="70" w:type="dxa"/>
              <w:start w:w="90" w:type="dxa"/>
              <w:bottom w:w="70" w:type="dxa"/>
              <w:end w:w="90" w:type="dxa"/>
            </w:tcMar>
            <w:vAlign w:val="top"/>
          </w:tcPr>
          <w:p>
            <w:pPr>
              <w:spacing w:after="0" w:line="240" w:lineRule="auto"/>
            </w:pPr>
            <w:r>
              <w:rPr>
                <w:b/>
                <w:color w:val="15354A"/>
                <w:sz w:val="14"/>
              </w:rPr>
              <w:t>11</w:t>
            </w:r>
          </w:p>
        </w:tc>
        <w:tc>
          <w:tcPr>
            <w:tcW w:type="dxa" w:w="3528"/>
            <w:shd w:fill="F8FAFB"/>
            <w:tcMar>
              <w:top w:w="70" w:type="dxa"/>
              <w:start w:w="90" w:type="dxa"/>
              <w:bottom w:w="70" w:type="dxa"/>
              <w:end w:w="90" w:type="dxa"/>
            </w:tcMar>
            <w:vAlign w:val="top"/>
          </w:tcPr>
          <w:p>
            <w:pPr>
              <w:spacing w:after="0" w:line="240" w:lineRule="auto"/>
            </w:pPr>
            <w:r>
              <w:rPr>
                <w:sz w:val="14"/>
              </w:rPr>
              <w:t>Coupled flux and energy-spectrum production path</w:t>
            </w:r>
          </w:p>
        </w:tc>
        <w:tc>
          <w:tcPr>
            <w:tcW w:type="dxa" w:w="2951"/>
            <w:shd w:fill="F8FAFB"/>
            <w:tcMar>
              <w:top w:w="70" w:type="dxa"/>
              <w:start w:w="90" w:type="dxa"/>
              <w:bottom w:w="70" w:type="dxa"/>
              <w:end w:w="90" w:type="dxa"/>
            </w:tcMar>
            <w:vAlign w:val="top"/>
          </w:tcPr>
          <w:p>
            <w:pPr>
              <w:spacing w:after="0" w:line="240" w:lineRule="auto"/>
            </w:pPr>
            <w:r>
              <w:rPr>
                <w:sz w:val="14"/>
              </w:rPr>
              <w:t>Provides the independent comparison result.</w:t>
            </w:r>
          </w:p>
        </w:tc>
        <w:tc>
          <w:tcPr>
            <w:tcW w:type="dxa" w:w="2951"/>
            <w:shd w:fill="F8FAFB"/>
            <w:tcMar>
              <w:top w:w="70" w:type="dxa"/>
              <w:start w:w="90" w:type="dxa"/>
              <w:bottom w:w="70" w:type="dxa"/>
              <w:end w:w="90" w:type="dxa"/>
            </w:tcMar>
            <w:vAlign w:val="top"/>
          </w:tcPr>
          <w:p>
            <w:pPr>
              <w:spacing w:after="0" w:line="240" w:lineRule="auto"/>
            </w:pPr>
            <w:r>
              <w:rPr>
                <w:sz w:val="14"/>
              </w:rPr>
              <w:t>Produces the same spectra/flux schema using the same boundary distribution.</w:t>
            </w:r>
          </w:p>
        </w:tc>
      </w:tr>
      <w:tr>
        <w:trPr>
          <w:cantSplit/>
        </w:trPr>
        <w:tc>
          <w:tcPr>
            <w:tcW w:type="dxa" w:w="648"/>
            <w:tcMar>
              <w:top w:w="70" w:type="dxa"/>
              <w:start w:w="90" w:type="dxa"/>
              <w:bottom w:w="70" w:type="dxa"/>
              <w:end w:w="90" w:type="dxa"/>
            </w:tcMar>
            <w:vAlign w:val="top"/>
          </w:tcPr>
          <w:p>
            <w:pPr>
              <w:spacing w:after="0" w:line="240" w:lineRule="auto"/>
            </w:pPr>
            <w:r>
              <w:rPr>
                <w:b/>
                <w:color w:val="15354A"/>
                <w:sz w:val="14"/>
              </w:rPr>
              <w:t>12</w:t>
            </w:r>
          </w:p>
        </w:tc>
        <w:tc>
          <w:tcPr>
            <w:tcW w:type="dxa" w:w="3528"/>
            <w:tcMar>
              <w:top w:w="70" w:type="dxa"/>
              <w:start w:w="90" w:type="dxa"/>
              <w:bottom w:w="70" w:type="dxa"/>
              <w:end w:w="90" w:type="dxa"/>
            </w:tcMar>
            <w:vAlign w:val="top"/>
          </w:tcPr>
          <w:p>
            <w:pPr>
              <w:spacing w:after="0" w:line="240" w:lineRule="auto"/>
            </w:pPr>
            <w:r>
              <w:rPr>
                <w:sz w:val="14"/>
              </w:rPr>
              <w:t>Release packaging and acceptance</w:t>
            </w:r>
          </w:p>
        </w:tc>
        <w:tc>
          <w:tcPr>
            <w:tcW w:type="dxa" w:w="2951"/>
            <w:tcMar>
              <w:top w:w="70" w:type="dxa"/>
              <w:start w:w="90" w:type="dxa"/>
              <w:bottom w:w="70" w:type="dxa"/>
              <w:end w:w="90" w:type="dxa"/>
            </w:tcMar>
            <w:vAlign w:val="top"/>
          </w:tcPr>
          <w:p>
            <w:pPr>
              <w:spacing w:after="0" w:line="240" w:lineRule="auto"/>
            </w:pPr>
            <w:r>
              <w:rPr>
                <w:sz w:val="14"/>
              </w:rPr>
              <w:t>Standalone release checklist passes.</w:t>
            </w:r>
          </w:p>
        </w:tc>
        <w:tc>
          <w:tcPr>
            <w:tcW w:type="dxa" w:w="2951"/>
            <w:tcMar>
              <w:top w:w="70" w:type="dxa"/>
              <w:start w:w="90" w:type="dxa"/>
              <w:bottom w:w="70" w:type="dxa"/>
              <w:end w:w="90" w:type="dxa"/>
            </w:tcMar>
            <w:vAlign w:val="top"/>
          </w:tcPr>
          <w:p>
            <w:pPr>
              <w:spacing w:after="0" w:line="240" w:lineRule="auto"/>
            </w:pPr>
            <w:r>
              <w:rPr>
                <w:sz w:val="14"/>
              </w:rPr>
              <w:t>SWMF release checklist and cross-path closure pass.</w:t>
            </w:r>
          </w:p>
        </w:tc>
      </w:tr>
    </w:tbl>
    <w:p>
      <w:pPr>
        <w:spacing w:after="0"/>
      </w:pPr>
    </w:p>
    <w:p>
      <w:pPr>
        <w:pStyle w:val="Heading3"/>
      </w:pPr>
      <w:r>
        <w:t>Step 0 Freeze the Phase 1 scope and establish the two build baseline</w:t>
      </w:r>
    </w:p>
    <w:p>
      <w:pPr>
        <w:pStyle w:val="ListBullet"/>
      </w:pPr>
      <w:r>
        <w:t>Objective: define exactly what the first working release calculates before refactoring begins. The required products are cutoff diagnostics, A(E,Ω), local differential spectrum, density, omnidirectional and planar integrals, configured energy-channel fluxes, and optional detector-response-folded rates.</w:t>
      </w:r>
    </w:p>
    <w:p>
      <w:pPr>
        <w:pStyle w:val="ListBullet"/>
      </w:pPr>
      <w:r>
        <w:t>Implementation: freeze the supported species and energy convention, target modes (POINTS, TRAJECTORY, SHELLS), mover set, boundary surface, termination taxonomy, frames, units, filenames, and JSON/CSV/Tecplot metadata. Declare the standalone and SWMF compile configurations and prohibit silent fallback between them.</w:t>
      </w:r>
    </w:p>
    <w:p>
      <w:pPr>
        <w:pStyle w:val="ListBullet"/>
      </w:pPr>
      <w:r>
        <w:t>Verification: in a configured AMPS tree, archive the current C- and F-test results, executable hashes, representative inputs, and one small run from each build. Record current failures separately from changes introduced by the roadmap.</w:t>
      </w:r>
    </w:p>
    <w:p>
      <w:pPr>
        <w:pStyle w:val="ListBullet"/>
      </w:pPr>
      <w:r>
        <w:t>Exit: the standalone executable and SWMF component both compile; each performs a documented smoke calculation; the baseline manifest can reproduce the result; and all subsequent changes can be compared against a fixed reference.</w:t>
      </w:r>
    </w:p>
    <w:p>
      <w:pPr>
        <w:pStyle w:val="Heading3"/>
      </w:pPr>
      <w:r>
        <w:t>Step 1 Define shared state, request, result, and product contracts</w:t>
      </w:r>
    </w:p>
    <w:p>
      <w:pPr>
        <w:pStyle w:val="ListBullet"/>
      </w:pPr>
      <w:r>
        <w:t>Objective: remove semantic differences among gridless, Mode3D, and SWMF calculations before sharing algorithms.</w:t>
      </w:r>
    </w:p>
    <w:p>
      <w:pPr>
        <w:pStyle w:val="ListBullet"/>
      </w:pPr>
      <w:r>
        <w:t>Implementation: introduce backend-neutral structures such as ParticleSpecies, EnergyGrid, FieldSnapshot, BoundarySpectrumState, TrajectoryRequest, TrajectoryResult, AccessAccumulator, SpectrumProduct, and ProductProvenance. Each structure must carry its frame, epoch, unit convention, species mass/charge, and validity state.</w:t>
      </w:r>
    </w:p>
    <w:p>
      <w:pPr>
        <w:pStyle w:val="ListBullet"/>
      </w:pPr>
      <w:r>
        <w:t>Code touchpoints: place the contracts in srcEarth/util or a small srcEarth/physics library; adapt gridless/CutoffRigidityGridless.*, gridless/DensityGridless.cpp, 3d/CutoffRigidityMode3D.cpp, 3d/DensityMode3D.cpp, and 3d_forward_swmf/Mode3DForwardSWMF.cpp without changing numerical behavior.</w:t>
      </w:r>
    </w:p>
    <w:p>
      <w:pPr>
        <w:pStyle w:val="ListBullet"/>
      </w:pPr>
      <w:r>
        <w:t>Verification and exit: U-F01, U-F03, U-F04, and U-F12 pass. A serialized request/result pair has the same meaning in both builds, and no output quantity depends on a backend-specific implicit unit or coordinate convention.</w:t>
      </w:r>
    </w:p>
    <w:p>
      <w:pPr>
        <w:pStyle w:val="Heading3"/>
      </w:pPr>
      <w:r>
        <w:t>Step 2 Extract shared numerical kernels and remove publication blocking defects</w:t>
      </w:r>
    </w:p>
    <w:p>
      <w:pPr>
        <w:pStyle w:val="ListBullet"/>
      </w:pPr>
      <w:r>
        <w:t>Objective: make every backend call one tested implementation of energy-rigidity conversion, relativistic speed, grid generation, channel clipping, angular weights, quadrature, spectrum evaluation, and termination accumulation.</w:t>
      </w:r>
    </w:p>
    <w:p>
      <w:pPr>
        <w:pStyle w:val="ListBullet"/>
      </w:pPr>
      <w:r>
        <w:t>Implementation: create a FluxNumerics production module and replace copied formulas in gridless and Mode3D. Correct the Mode3D LINEAR grid expression, which currently scales as a squared normalized index. Replace scalar transmissivity returns with structured weighted counts and a distinct no-resolved state.</w:t>
      </w:r>
    </w:p>
    <w:p>
      <w:pPr>
        <w:pStyle w:val="ListBullet"/>
      </w:pPr>
      <w:r>
        <w:t>Implementation: make lower and upper unresolved bounds first-class product fields. A validation run must fail when configured unresolved limits are exceeded; it may not convert an unresolved calculation into physical zero access.</w:t>
      </w:r>
    </w:p>
    <w:p>
      <w:pPr>
        <w:pStyle w:val="ListBullet"/>
      </w:pPr>
      <w:r>
        <w:t>Verification and exit: U-F03 through U-F06 and U-F12 pass; F1-F5, F15, and F16 remain within frozen tolerances; gridless and Mode3D write the same quantity names and definitions; and the old code paths are removed rather than retained as alternative implementations.</w:t>
      </w:r>
    </w:p>
    <w:p>
      <w:pPr>
        <w:pStyle w:val="Heading3"/>
      </w:pPr>
      <w:r>
        <w:t>Step 3 Introduce one field provider and immutable snapshot contract</w:t>
      </w:r>
    </w:p>
    <w:p>
      <w:pPr>
        <w:pStyle w:val="ListBullet"/>
      </w:pPr>
      <w:r>
        <w:t>Objective: isolate where the background field comes from while keeping particle tracing and product calculation independent of that source.</w:t>
      </w:r>
    </w:p>
    <w:p>
      <w:pPr>
        <w:pStyle w:val="ListBullet"/>
      </w:pPr>
      <w:r>
        <w:t>Implementation: define a FieldProvider interface that returns B and, when explicitly enabled, E; reports the coordinate frame, epoch, domain/validity mask, source identifier, and interpolation status; and can create an immutable FieldSnapshot used for an entire trajectory batch.</w:t>
      </w:r>
    </w:p>
    <w:p>
      <w:pPr>
        <w:pStyle w:val="ListBullet"/>
      </w:pPr>
      <w:r>
        <w:t>Standalone implementation: wrap DIPOLE, IGRF, T96, T01, T05/TS05, TA15N, TA15B, and TA16 with normalized model names and explicit driver requirements. SWMF implementation: read cell-centered fields through PIC::CPLR and the compact global snapshot assembly. Coupled builds must not link or call the phenomenological interfaces.</w:t>
      </w:r>
    </w:p>
    <w:p>
      <w:pPr>
        <w:pStyle w:val="ListBullet"/>
      </w:pPr>
      <w:r>
        <w:t>Verification and exit: analytic DIPOLE and selected IGRF/Tsyganenko values pass point tests; compact Mode3D values match their source evaluator; SWMF snapshot values match owner-cell coupler buffers; missing/stale/out-of-domain samples fail explicitly; and cutoff plus flux always use the same snapshot identifier.</w:t>
      </w:r>
    </w:p>
    <w:p>
      <w:pPr>
        <w:pStyle w:val="Heading3"/>
      </w:pPr>
      <w:r>
        <w:t>Step 4 Unify particle integration and trajectory termination</w:t>
      </w:r>
    </w:p>
    <w:p>
      <w:pPr>
        <w:pStyle w:val="ListBullet"/>
      </w:pPr>
      <w:r>
        <w:t>Objective: ensure that cutoff and flux use exactly the same trajectory physics and that physical shielding is never confused with a numerical stop.</w:t>
      </w:r>
    </w:p>
    <w:p>
      <w:pPr>
        <w:pStyle w:val="ListBullet"/>
      </w:pPr>
      <w:r>
        <w:t>Implementation: route BORIS and RK4 through a common request/result interface and retain GC/HYBRID only inside declared validity conditions. Record outer allowed, inner forbidden, bounce trapped, drift trapped, time limit, step limit, distance limit, invalid field, invalid time step, and numerical failure, together with steps, trace time, path length, retry state, and asymptotic state.</w:t>
      </w:r>
    </w:p>
    <w:p>
      <w:pPr>
        <w:pStyle w:val="ListBullet"/>
      </w:pPr>
      <w:r>
        <w:t>Implementation: use one retry policy with bounded extensions of time/steps and a deterministic classification rule. Preserve backward-in-time semantics explicitly so later electric-field work cannot reuse an invalid static-field reversal shortcut.</w:t>
      </w:r>
    </w:p>
    <w:p>
      <w:pPr>
        <w:pStyle w:val="ListBullet"/>
      </w:pPr>
      <w:r>
        <w:t>Verification and exit: C12, U-F10-U-F12, and I-F05 pass; Nsampled equals the sum of all terminal categories; resolved equals allowed plus physical forbidden categories; results converge with time step; and unsupported mover/field combinations are rejected before the run starts.</w:t>
      </w:r>
    </w:p>
    <w:p>
      <w:pPr>
        <w:pStyle w:val="Heading3"/>
      </w:pPr>
      <w:r>
        <w:t>Step 5 Complete the cutoff and directional access engine</w:t>
      </w:r>
    </w:p>
    <w:p>
      <w:pPr>
        <w:pStyle w:val="ListBullet"/>
      </w:pPr>
      <w:r>
        <w:t>Objective: retain the validated cutoff capability while promoting its underlying directional information to the primary input for flux calculations.</w:t>
      </w:r>
    </w:p>
    <w:p>
      <w:pPr>
        <w:pStyle w:val="ListBullet"/>
      </w:pPr>
      <w:r>
        <w:t>Implementation: evaluate binary or weighted access for each (E,Ω) sample, retain the boundary exit state, and calculate lower, effective, and upper cutoff plus penumbra width. Implement true error-driven ADAPTIVE refinement around access transitions; SCAN remains a fixed rigidity scan and DIRECT_ACCESS remains an explicitly selected mode.</w:t>
      </w:r>
    </w:p>
    <w:p>
      <w:pPr>
        <w:pStyle w:val="ListBullet"/>
      </w:pPr>
      <w:r>
        <w:t>Implementation: make angular and energy sampling independently refinable. Report direction weights, refined intervals, convergence estimate, and response-weighted unresolved support. Do not average to scalar T(E) until the requested product actually requires angular integration.</w:t>
      </w:r>
    </w:p>
    <w:p>
      <w:pPr>
        <w:pStyle w:val="ListBullet"/>
      </w:pPr>
      <w:r>
        <w:t>Verification and exit: the applicable C-tests, F3, F6, F14, and U-F13 pass. Existing cutoff references remain within their gates, analytic dipole cases show the expected convergence, and every cutoff result is reconstructable from saved directional access data.</w:t>
      </w:r>
    </w:p>
    <w:p>
      <w:pPr>
        <w:pStyle w:val="Heading3"/>
      </w:pPr>
      <w:r>
        <w:t>Step 6 Implement the boundary distribution and complete flux and spectrum products</w:t>
      </w:r>
    </w:p>
    <w:p>
      <w:pPr>
        <w:pStyle w:val="ListBullet"/>
      </w:pPr>
      <w:r>
        <w:t>Objective: convert directional access into physically defined spectra and fluxes without changing solver behavior between the two field sources.</w:t>
      </w:r>
    </w:p>
    <w:p>
      <w:pPr>
        <w:pStyle w:val="ListBullet"/>
      </w:pPr>
      <w:r>
        <w:t>Implementation: complete POWER_LAW, POWER_LAW_CUTOFF, LIS_FORCE_FIELD, BAND, and TABLE spectra with explicit per-MeV or per-MeV-per-nucleon metadata. Add log-intensity time interpolation, deterministic gap/out-of-range handling, normalized and raw PAD/spatial-factor modes, and an uncertainty representation.</w:t>
      </w:r>
    </w:p>
    <w:p>
      <w:pPr>
        <w:pStyle w:val="ListBullet"/>
      </w:pPr>
      <w:r>
        <w:t>Implementation: preserve the static-B relation jlocal=A jboundary and the general phase-space form jlocal=A(plocal²/pboundary²)jboundary for later validated E fields. Produce directional and omnidirectional differential spectra, band-integrated intensity, one-way planar flux, density, configured channels, and detector-response-folded products with lower/upper unresolved bounds.</w:t>
      </w:r>
    </w:p>
    <w:p>
      <w:pPr>
        <w:pStyle w:val="ListBullet"/>
      </w:pPr>
      <w:r>
        <w:t>Verification and exit: U-F01, U-F03, U-F05-U-F09, F1, F2, F4, F5, F11, F12, F15, and F16 pass. Zero-field, all-blocked, analytic PAD, top-hat, and channel-edge cases reproduce their exact or preregistered references, and written spectra reconstruct every reported integral.</w:t>
      </w:r>
    </w:p>
    <w:p>
      <w:pPr>
        <w:pStyle w:val="Heading3"/>
      </w:pPr>
      <w:r>
        <w:t>Step 7 Complete the standalone phenomenological field path</w:t>
      </w:r>
    </w:p>
    <w:p>
      <w:pPr>
        <w:pStyle w:val="ListBullet"/>
      </w:pPr>
      <w:r>
        <w:t>Objective: deliver one standalone executable that calculates cutoff, flux, and energy spectra with analytic, internal-field, and phenomenological external-field backgrounds.</w:t>
      </w:r>
    </w:p>
    <w:p>
      <w:pPr>
        <w:pStyle w:val="ListBullet"/>
      </w:pPr>
      <w:r>
        <w:t>Implementation: finish runtime selection and fail-fast validation for DIPOLE, IGRF, T96, T01, T05/TS05, TA15N, TA15B, and TA16. Validate driver-column mapping, units, epoch interpolation, Geopack RECALC/IGRF initialization, model aliases, and field validity. Keep direct gridless evaluation and mesh-sampled Mode3D as two field representations of the same physics, not two product implementations.</w:t>
      </w:r>
    </w:p>
    <w:p>
      <w:pPr>
        <w:pStyle w:val="ListBullet"/>
      </w:pPr>
      <w:r>
        <w:t>Implementation: support POINTS, TRAJECTORY, and SHELLS in cutoff-only, cutoff-plus-flux/spectrum, and flux/spectrum-only modes. One run must use the same epoch and driver record for field construction, boundary spectrum, spacecraft position, and output time.</w:t>
      </w:r>
    </w:p>
    <w:p>
      <w:pPr>
        <w:pStyle w:val="ListBullet"/>
      </w:pPr>
      <w:r>
        <w:t>Verification and exit: all applicable C1-C19 release profiles pass, including driver interpolation, MPI scheduling, cross-solver parity, and west/east directional access; the relevant I-F01-I-F07 cases, F1-F7, F11-F16, and standalone observation benchmarks also pass. A documented command produces cutoff maps, A(E,Ω), spectra, density, and all configured flux channels without SWMF libraries.</w:t>
      </w:r>
    </w:p>
    <w:p>
      <w:pPr>
        <w:pStyle w:val="Heading3"/>
      </w:pPr>
      <w:r>
        <w:t>Step 8 Make the standalone path event and observation ready</w:t>
      </w:r>
    </w:p>
    <w:p>
      <w:pPr>
        <w:pStyle w:val="ListBullet"/>
      </w:pPr>
      <w:r>
        <w:t>Objective: convert the working standalone solver into a reproducible event workflow rather than a collection of manually assembled runs.</w:t>
      </w:r>
    </w:p>
    <w:p>
      <w:pPr>
        <w:pStyle w:val="ListBullet"/>
      </w:pPr>
      <w:r>
        <w:t>Implementation: add a campaign manifest for driver data, boundary spectra, ephemeris/attitude, instrument responses, field cadence, requested products, and exclusions. Cache and hash every reference file; never download mutable data during scoring. Add detector adapters and cadence averaging for the selected GOES, PAMELA, POES/MetOp, and REPT products.</w:t>
      </w:r>
    </w:p>
    <w:p>
      <w:pPr>
        <w:pStyle w:val="ListBullet"/>
      </w:pPr>
      <w:r>
        <w:t>Implementation: provide a runner that renders inputs, forwards AMPS output, records progress, supports restart, creates one result directory per epoch/model, and writes machine-readable PASS/FAIL plus convergence and termination summaries.</w:t>
      </w:r>
    </w:p>
    <w:p>
      <w:pPr>
        <w:pStyle w:val="ListBullet"/>
      </w:pPr>
      <w:r>
        <w:t>Standalone release gate: O1 and O2 complete without platform-specific normalization, numerical gates are met, and the frozen holdout configuration is ready. At this point the standalone application is a working Phase-1 code for cutoff, flux, and energy spectra in phenomenological backgrounds.</w:t>
      </w:r>
    </w:p>
    <w:p>
      <w:pPr>
        <w:pStyle w:val="Heading3"/>
      </w:pPr>
      <w:r>
        <w:t>Step 9 Complete SWMF field ingestion and snapshot synchronization</w:t>
      </w:r>
    </w:p>
    <w:p>
      <w:pPr>
        <w:pStyle w:val="ListBullet"/>
      </w:pPr>
      <w:r>
        <w:t>Objective: make the coupled calculation consume a physically and temporally coherent SWMF state before any particle product is evaluated.</w:t>
      </w:r>
    </w:p>
    <w:p>
      <w:pPr>
        <w:pStyle w:val="ListBullet"/>
      </w:pPr>
      <w:r>
        <w:t>Implementation: validate receipt and offsets for SWMF magnetic field and plasma bulk velocity, cell ownership/ghost data, SI conversion, coordinate frame, simulation time, and mesh revision. Assemble the compact global field snapshot only after a complete coupling receive and attach a unique snapshot ID.</w:t>
      </w:r>
    </w:p>
    <w:p>
      <w:pPr>
        <w:pStyle w:val="ListBullet"/>
      </w:pPr>
      <w:r>
        <w:t>Implementation: use magnetic-only backtracing as the released Phase-1 default. If E=-u×B is assembled, label it experimental until U-F11 and I-F09 pass; SWMF does not supply an independent electric-field vector. Freeze the selected B/E snapshot throughout each trajectory batch and queue the next field update rather than mixing epochs.</w:t>
      </w:r>
    </w:p>
    <w:p>
      <w:pPr>
        <w:pStyle w:val="ListBullet"/>
      </w:pPr>
      <w:r>
        <w:t>Verification and exit: pointwise compact-snapshot B (and optional derived E) matches direct owner-cell values; all MPI ranks agree on snapshot ID, epoch, and domain; incomplete or stale coupling data blocks calculation; and a saved SWMF snapshot can be replayed offline for parity testing.</w:t>
      </w:r>
    </w:p>
    <w:p>
      <w:pPr>
        <w:pStyle w:val="Heading3"/>
      </w:pPr>
      <w:r>
        <w:t>Step 10 Integrate cutoff and directional access into the SWMF time step</w:t>
      </w:r>
    </w:p>
    <w:p>
      <w:pPr>
        <w:pStyle w:val="ListBullet"/>
      </w:pPr>
      <w:r>
        <w:t>Objective: make the existing coupled cutoff hook a production calculation with the same access result used by the standalone code.</w:t>
      </w:r>
    </w:p>
    <w:p>
      <w:pPr>
        <w:pStyle w:val="ListBullet"/>
      </w:pPr>
      <w:r>
        <w:t>Implementation: invoke the cutoff/access service at a configured coupling cadence after field receive and before the field can change. Define outer escape against the SWMF computational domain/magnetopause policy and distinguish a valid physical escape from unavailable mesh data. Reuse the common movers, adaptive search, directional sampling, termination accounting, and MPI scheduler.</w:t>
      </w:r>
    </w:p>
    <w:p>
      <w:pPr>
        <w:pStyle w:val="ListBullet"/>
      </w:pPr>
      <w:r>
        <w:t>Implementation: support POINTS, TRAJECTORY, and SHELLS as appropriate to coupled operation; add unambiguous simulation-time suffixes and snapshot IDs; preserve root-only progress; and guarantee collective-call ordering so the coupled model cannot deadlock when a product is disabled or an epoch is skipped.</w:t>
      </w:r>
    </w:p>
    <w:p>
      <w:pPr>
        <w:pStyle w:val="ListBullet"/>
      </w:pPr>
      <w:r>
        <w:t>Verification and exit: I-F02 and I-F04-I-F07 plus the applicable cross-solver C-tests pass; results are invariant within tolerance across 1×1, 2×8, and default 8×16 layouts; restart reproduces the same epoch; and every requested SWMF snapshot produces a complete cutoff/access artifact or an explicit failed status.</w:t>
      </w:r>
    </w:p>
    <w:p>
      <w:pPr>
        <w:pStyle w:val="Heading3"/>
      </w:pPr>
      <w:r>
        <w:t>Step 11 Add flux and energy spectra to the SWMF coupled path</w:t>
      </w:r>
    </w:p>
    <w:p>
      <w:pPr>
        <w:pStyle w:val="ListBullet"/>
      </w:pPr>
      <w:r>
        <w:t>Objective: fold the coupled directional access result with the same boundary distribution and product integrator used by the standalone solver.</w:t>
      </w:r>
    </w:p>
    <w:p>
      <w:pPr>
        <w:pStyle w:val="ListBullet"/>
      </w:pPr>
      <w:r>
        <w:t>Implementation: call the Step-6 integrator directly from the coupled snapshot workflow. Synchronize boundary-spectrum time, spacecraft state, response data, and field snapshot; emit the same product variables, units, uncertainty fields, termination summary, and provenance as standalone output.</w:t>
      </w:r>
    </w:p>
    <w:p>
      <w:pPr>
        <w:pStyle w:val="ListBullet"/>
      </w:pPr>
      <w:r>
        <w:t>Implementation: compare a live/saved SWMF snapshot with an offline Mode3D replay of the identical field. Do not use the forward Monte Carlo density/sphere samplers as the reference for this release; they remain a later, separately validated transport capability.</w:t>
      </w:r>
    </w:p>
    <w:p>
      <w:pPr>
        <w:pStyle w:val="ListBullet"/>
      </w:pPr>
      <w:r>
        <w:t>SWMF release gate: F6, F7, F13, F17, I-F03, I-F06, I-F07, I-F10, and the O3 campaign pass; response-weighted unresolved support remains within limits; and the coupled component produces cutoff, local spectra, density, and configured flux channels at each requested field epoch.</w:t>
      </w:r>
    </w:p>
    <w:p>
      <w:pPr>
        <w:pStyle w:val="Heading3"/>
      </w:pPr>
      <w:r>
        <w:t>Step 12 Close cross path validation and package the release</w:t>
      </w:r>
    </w:p>
    <w:p>
      <w:pPr>
        <w:pStyle w:val="ListBullet"/>
      </w:pPr>
      <w:r>
        <w:t>Objective: demonstrate that the standalone and coupled executables differ only because of their field source, not because of hidden changes in particle physics, units, integration, or output semantics.</w:t>
      </w:r>
    </w:p>
    <w:p>
      <w:pPr>
        <w:pStyle w:val="ListBullet"/>
      </w:pPr>
      <w:r>
        <w:t>Implementation: add a parity campaign in which an analytic/phenomenological field is sampled onto a mesh and an SWMF snapshot is exported for offline replay. Compare field samples, individual trajectory outcomes, A(E,Ω), cutoffs, spectra, density, and detector products before comparing event observations.</w:t>
      </w:r>
    </w:p>
    <w:p>
      <w:pPr>
        <w:pStyle w:val="ListBullet"/>
      </w:pPr>
      <w:r>
        <w:t>Implementation: finalize fail-fast configuration checks, -h documentation, examples, restart behavior, resource estimates, provenance manifests, CCMC/SWMF run hooks, and supported/unsupported capability tables. Every runner must return nonzero on failure and write an explicit RESULT line.</w:t>
      </w:r>
    </w:p>
    <w:p>
      <w:pPr>
        <w:pStyle w:val="ListBullet"/>
      </w:pPr>
      <w:r>
        <w:t>Final exit: all required U-, I-, C-, F-, and O-gates pass; one frozen holdout event is reported without retuning; both builds use the same tagged common physics library; and release documentation contains reproducible commands for cutoff-only and cutoff-plus-flux/spectrum calculations.</w:t>
      </w:r>
    </w:p>
    <w:p>
      <w:r>
        <w:br w:type="page"/>
      </w:r>
    </w:p>
    <w:p>
      <w:pPr>
        <w:pStyle w:val="Heading2"/>
      </w:pPr>
      <w:bookmarkStart w:id="116" w:name="toc_section_17"/>
      <w:r>
        <w:t>5.3 Definition of working standalone code</w:t>
      </w:r>
      <w:bookmarkEnd w:id="116"/>
    </w:p>
    <w:p>
      <w:pPr>
        <w:pStyle w:val="ListBullet"/>
      </w:pPr>
      <w:r>
        <w:t>Builds without SWMF coupling and selects a released DIPOLE, IGRF, T96, T01, T05/TS05, TA15, or TA16 background with validated input requirements.</w:t>
      </w:r>
    </w:p>
    <w:p>
      <w:pPr>
        <w:pStyle w:val="ListBullet"/>
      </w:pPr>
      <w:r>
        <w:t>Runs POINTS, TRAJECTORY, and SHELLS workflows and produces cutoff diagnostics, saved directional access, differential energy spectra, density, planar/omnidirectional integrals, configured energy-channel fluxes, and optional response-folded rates.</w:t>
      </w:r>
    </w:p>
    <w:p>
      <w:pPr>
        <w:pStyle w:val="ListBullet"/>
      </w:pPr>
      <w:r>
        <w:t>Uses one field/boundary/ephemeris epoch per snapshot; reports every trajectory termination; publishes lower/upper unresolved bounds; and fails validation when the unresolved or convergence gates are exceeded.</w:t>
      </w:r>
    </w:p>
    <w:p>
      <w:pPr>
        <w:pStyle w:val="ListBullet"/>
      </w:pPr>
      <w:r>
        <w:t>Passes the standalone numerical, linked, C-, F-, and selected observation tests with the documented MPI/OpenMP defaults and produces a complete provenance manifest.</w:t>
      </w:r>
    </w:p>
    <w:p>
      <w:pPr>
        <w:pStyle w:val="Heading2"/>
      </w:pPr>
      <w:bookmarkStart w:id="117" w:name="toc_section_18"/>
      <w:r>
        <w:t>5.4 Definition of working SWMF coupled code</w:t>
      </w:r>
      <w:bookmarkEnd w:id="117"/>
    </w:p>
    <w:p>
      <w:pPr>
        <w:pStyle w:val="ListBullet"/>
      </w:pPr>
      <w:r>
        <w:t>Builds as the SWMF-coupled AMPS component without phenomenological-field dependencies and validates the received field state before calculation.</w:t>
      </w:r>
    </w:p>
    <w:p>
      <w:pPr>
        <w:pStyle w:val="ListBullet"/>
      </w:pPr>
      <w:r>
        <w:t>Freezes one coherent SWMF snapshot per calculation, runs cutoff and flux/spectrum on that same snapshot, and writes time-tagged products with snapshot, mesh, and coupling provenance.</w:t>
      </w:r>
    </w:p>
    <w:p>
      <w:pPr>
        <w:pStyle w:val="ListBullet"/>
      </w:pPr>
      <w:r>
        <w:t>Produces the same physical quantities, names, units, termination categories, unresolved bounds, and instrument products as the standalone application through the shared production library.</w:t>
      </w:r>
    </w:p>
    <w:p>
      <w:pPr>
        <w:pStyle w:val="ListBullet"/>
      </w:pPr>
      <w:r>
        <w:t>Passes compact-field, MPI/scheduler, restart, offline-replay, cross-path parity, and O3 observation gates. Phase-1 documentation explicitly identifies the result as quasi-static access unless dynamic-characteristic tests have separately passed.</w:t>
      </w:r>
    </w:p>
    <w:p>
      <w:pPr>
        <w:pStyle w:val="Heading1"/>
      </w:pPr>
      <w:bookmarkStart w:id="118" w:name="toc_section_19"/>
      <w:r>
        <w:t>6. Validation taxonomy</w:t>
      </w:r>
      <w:bookmarkEnd w:id="118"/>
    </w:p>
    <w:p>
      <w:r>
        <w:t>This program treats ‘F-tests’ as the repository’s functional/physics test family, not as statistical variance-ratio tests. The new numerical layers are deliberately independent of the F-suite: U-tests are small standalone tests of shared production kernels; I-tests link the configured solver and exercise backend integration; F-tests remain end-to-end physics regressions; O-tests compare response-folded predictions with observations.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80"/>
            <w:shd w:fill="15354A"/>
            <w:tcMar>
              <w:top w:w="70" w:type="dxa"/>
              <w:start w:w="90" w:type="dxa"/>
              <w:bottom w:w="70" w:type="dxa"/>
              <w:end w:w="90" w:type="dxa"/>
            </w:tcMar>
            <w:vAlign w:val="center"/>
          </w:tcPr>
          <w:p>
            <w:pPr>
              <w:spacing w:after="0"/>
              <w:jc w:val="left"/>
            </w:pPr>
            <w:r>
              <w:rPr>
                <w:b/>
                <w:color w:val="FFFFFF"/>
                <w:sz w:val="16"/>
              </w:rPr>
              <w:t>Family</w:t>
            </w:r>
          </w:p>
        </w:tc>
        <w:tc>
          <w:tcPr>
            <w:tcW w:type="dxa" w:w="3024"/>
            <w:shd w:fill="15354A"/>
            <w:tcMar>
              <w:top w:w="70" w:type="dxa"/>
              <w:start w:w="90" w:type="dxa"/>
              <w:bottom w:w="70" w:type="dxa"/>
              <w:end w:w="90" w:type="dxa"/>
            </w:tcMar>
            <w:vAlign w:val="center"/>
          </w:tcPr>
          <w:p>
            <w:pPr>
              <w:spacing w:after="0"/>
              <w:jc w:val="left"/>
            </w:pPr>
            <w:r>
              <w:rPr>
                <w:b/>
                <w:color w:val="FFFFFF"/>
                <w:sz w:val="16"/>
              </w:rPr>
              <w:t>Purpose</w:t>
            </w:r>
          </w:p>
        </w:tc>
        <w:tc>
          <w:tcPr>
            <w:tcW w:type="dxa" w:w="3816"/>
            <w:shd w:fill="15354A"/>
            <w:tcMar>
              <w:top w:w="70" w:type="dxa"/>
              <w:start w:w="90" w:type="dxa"/>
              <w:bottom w:w="70" w:type="dxa"/>
              <w:end w:w="90" w:type="dxa"/>
            </w:tcMar>
            <w:vAlign w:val="center"/>
          </w:tcPr>
          <w:p>
            <w:pPr>
              <w:spacing w:after="0"/>
              <w:jc w:val="left"/>
            </w:pPr>
            <w:r>
              <w:rPr>
                <w:b/>
                <w:color w:val="FFFFFF"/>
                <w:sz w:val="16"/>
              </w:rPr>
              <w:t>Execution contract</w:t>
            </w:r>
          </w:p>
        </w:tc>
        <w:tc>
          <w:tcPr>
            <w:tcW w:type="dxa" w:w="1872"/>
            <w:shd w:fill="15354A"/>
            <w:tcMar>
              <w:top w:w="70" w:type="dxa"/>
              <w:start w:w="90" w:type="dxa"/>
              <w:bottom w:w="70" w:type="dxa"/>
              <w:end w:w="90" w:type="dxa"/>
            </w:tcMar>
            <w:vAlign w:val="center"/>
          </w:tcPr>
          <w:p>
            <w:pPr>
              <w:spacing w:after="0"/>
              <w:jc w:val="left"/>
            </w:pPr>
            <w:r>
              <w:rPr>
                <w:b/>
                <w:color w:val="FFFFFF"/>
                <w:sz w:val="16"/>
              </w:rPr>
              <w:t>Failure meaning</w:t>
            </w:r>
          </w:p>
        </w:tc>
      </w:tr>
      <w:tr>
        <w:trPr>
          <w:cantSplit/>
        </w:trPr>
        <w:tc>
          <w:tcPr>
            <w:tcW w:type="dxa" w:w="1080"/>
            <w:tcMar>
              <w:top w:w="70" w:type="dxa"/>
              <w:start w:w="90" w:type="dxa"/>
              <w:bottom w:w="70" w:type="dxa"/>
              <w:end w:w="90" w:type="dxa"/>
            </w:tcMar>
            <w:vAlign w:val="top"/>
          </w:tcPr>
          <w:p>
            <w:pPr>
              <w:spacing w:after="0" w:line="240" w:lineRule="auto"/>
            </w:pPr>
            <w:r>
              <w:rPr>
                <w:b/>
                <w:color w:val="15354A"/>
                <w:sz w:val="16"/>
              </w:rPr>
              <w:t>U-Fxx</w:t>
            </w:r>
          </w:p>
        </w:tc>
        <w:tc>
          <w:tcPr>
            <w:tcW w:type="dxa" w:w="3024"/>
            <w:tcMar>
              <w:top w:w="70" w:type="dxa"/>
              <w:start w:w="90" w:type="dxa"/>
              <w:bottom w:w="70" w:type="dxa"/>
              <w:end w:w="90" w:type="dxa"/>
            </w:tcMar>
            <w:vAlign w:val="top"/>
          </w:tcPr>
          <w:p>
            <w:pPr>
              <w:spacing w:after="0" w:line="240" w:lineRule="auto"/>
            </w:pPr>
            <w:r>
              <w:rPr>
                <w:sz w:val="16"/>
              </w:rPr>
              <w:t>Exact numerical/unit identities and manufactured solutions.</w:t>
            </w:r>
          </w:p>
        </w:tc>
        <w:tc>
          <w:tcPr>
            <w:tcW w:type="dxa" w:w="3816"/>
            <w:tcMar>
              <w:top w:w="70" w:type="dxa"/>
              <w:start w:w="90" w:type="dxa"/>
              <w:bottom w:w="70" w:type="dxa"/>
              <w:end w:w="90" w:type="dxa"/>
            </w:tcMar>
            <w:vAlign w:val="top"/>
          </w:tcPr>
          <w:p>
            <w:pPr>
              <w:spacing w:after="0" w:line="240" w:lineRule="auto"/>
            </w:pPr>
            <w:r>
              <w:rPr>
                <w:sz w:val="16"/>
              </w:rPr>
              <w:t>No full AMPS executable; link the same production kernels used by solvers; seconds to run.</w:t>
            </w:r>
          </w:p>
        </w:tc>
        <w:tc>
          <w:tcPr>
            <w:tcW w:type="dxa" w:w="1872"/>
            <w:tcMar>
              <w:top w:w="70" w:type="dxa"/>
              <w:start w:w="90" w:type="dxa"/>
              <w:bottom w:w="70" w:type="dxa"/>
              <w:end w:w="90" w:type="dxa"/>
            </w:tcMar>
            <w:vAlign w:val="top"/>
          </w:tcPr>
          <w:p>
            <w:pPr>
              <w:spacing w:after="0" w:line="240" w:lineRule="auto"/>
            </w:pPr>
            <w:r>
              <w:rPr>
                <w:sz w:val="16"/>
              </w:rPr>
              <w:t>Local algorithm, convention, or unit defect.</w:t>
            </w:r>
          </w:p>
        </w:tc>
      </w:tr>
      <w:tr>
        <w:trPr>
          <w:cantSplit/>
        </w:trPr>
        <w:tc>
          <w:tcPr>
            <w:tcW w:type="dxa" w:w="1080"/>
            <w:shd w:fill="F8FAFB"/>
            <w:tcMar>
              <w:top w:w="70" w:type="dxa"/>
              <w:start w:w="90" w:type="dxa"/>
              <w:bottom w:w="70" w:type="dxa"/>
              <w:end w:w="90" w:type="dxa"/>
            </w:tcMar>
            <w:vAlign w:val="top"/>
          </w:tcPr>
          <w:p>
            <w:pPr>
              <w:spacing w:after="0" w:line="240" w:lineRule="auto"/>
            </w:pPr>
            <w:r>
              <w:rPr>
                <w:b/>
                <w:color w:val="15354A"/>
                <w:sz w:val="16"/>
              </w:rPr>
              <w:t>I-Fxx</w:t>
            </w:r>
          </w:p>
        </w:tc>
        <w:tc>
          <w:tcPr>
            <w:tcW w:type="dxa" w:w="3024"/>
            <w:shd w:fill="F8FAFB"/>
            <w:tcMar>
              <w:top w:w="70" w:type="dxa"/>
              <w:start w:w="90" w:type="dxa"/>
              <w:bottom w:w="70" w:type="dxa"/>
              <w:end w:w="90" w:type="dxa"/>
            </w:tcMar>
            <w:vAlign w:val="top"/>
          </w:tcPr>
          <w:p>
            <w:pPr>
              <w:spacing w:after="0" w:line="240" w:lineRule="auto"/>
            </w:pPr>
            <w:r>
              <w:rPr>
                <w:sz w:val="16"/>
              </w:rPr>
              <w:t>Linked backend, scheduler, field, mover, and I/O integration.</w:t>
            </w:r>
          </w:p>
        </w:tc>
        <w:tc>
          <w:tcPr>
            <w:tcW w:type="dxa" w:w="3816"/>
            <w:shd w:fill="F8FAFB"/>
            <w:tcMar>
              <w:top w:w="70" w:type="dxa"/>
              <w:start w:w="90" w:type="dxa"/>
              <w:bottom w:w="70" w:type="dxa"/>
              <w:end w:w="90" w:type="dxa"/>
            </w:tcMar>
            <w:vAlign w:val="top"/>
          </w:tcPr>
          <w:p>
            <w:pPr>
              <w:spacing w:after="0" w:line="240" w:lineRule="auto"/>
            </w:pPr>
            <w:r>
              <w:rPr>
                <w:sz w:val="16"/>
              </w:rPr>
              <w:t>Configured AMPS tree; small deterministic cases; MPI/thread matrix where relevant.</w:t>
            </w:r>
          </w:p>
        </w:tc>
        <w:tc>
          <w:tcPr>
            <w:tcW w:type="dxa" w:w="1872"/>
            <w:shd w:fill="F8FAFB"/>
            <w:tcMar>
              <w:top w:w="70" w:type="dxa"/>
              <w:start w:w="90" w:type="dxa"/>
              <w:bottom w:w="70" w:type="dxa"/>
              <w:end w:w="90" w:type="dxa"/>
            </w:tcMar>
            <w:vAlign w:val="top"/>
          </w:tcPr>
          <w:p>
            <w:pPr>
              <w:spacing w:after="0" w:line="240" w:lineRule="auto"/>
            </w:pPr>
            <w:r>
              <w:rPr>
                <w:sz w:val="16"/>
              </w:rPr>
              <w:t>Integration or backend parity defect.</w:t>
            </w:r>
          </w:p>
        </w:tc>
      </w:tr>
      <w:tr>
        <w:trPr>
          <w:cantSplit/>
        </w:trPr>
        <w:tc>
          <w:tcPr>
            <w:tcW w:type="dxa" w:w="1080"/>
            <w:tcMar>
              <w:top w:w="70" w:type="dxa"/>
              <w:start w:w="90" w:type="dxa"/>
              <w:bottom w:w="70" w:type="dxa"/>
              <w:end w:w="90" w:type="dxa"/>
            </w:tcMar>
            <w:vAlign w:val="top"/>
          </w:tcPr>
          <w:p>
            <w:pPr>
              <w:spacing w:after="0" w:line="240" w:lineRule="auto"/>
            </w:pPr>
            <w:r>
              <w:rPr>
                <w:b/>
                <w:color w:val="15354A"/>
                <w:sz w:val="16"/>
              </w:rPr>
              <w:t>Fxx</w:t>
            </w:r>
          </w:p>
        </w:tc>
        <w:tc>
          <w:tcPr>
            <w:tcW w:type="dxa" w:w="3024"/>
            <w:tcMar>
              <w:top w:w="70" w:type="dxa"/>
              <w:start w:w="90" w:type="dxa"/>
              <w:bottom w:w="70" w:type="dxa"/>
              <w:end w:w="90" w:type="dxa"/>
            </w:tcMar>
            <w:vAlign w:val="top"/>
          </w:tcPr>
          <w:p>
            <w:pPr>
              <w:spacing w:after="0" w:line="240" w:lineRule="auto"/>
            </w:pPr>
            <w:r>
              <w:rPr>
                <w:sz w:val="16"/>
              </w:rPr>
              <w:t>End-to-end physical functional regression.</w:t>
            </w:r>
          </w:p>
        </w:tc>
        <w:tc>
          <w:tcPr>
            <w:tcW w:type="dxa" w:w="3816"/>
            <w:tcMar>
              <w:top w:w="70" w:type="dxa"/>
              <w:start w:w="90" w:type="dxa"/>
              <w:bottom w:w="70" w:type="dxa"/>
              <w:end w:w="90" w:type="dxa"/>
            </w:tcMar>
            <w:vAlign w:val="top"/>
          </w:tcPr>
          <w:p>
            <w:pPr>
              <w:spacing w:after="0" w:line="240" w:lineRule="auto"/>
            </w:pPr>
            <w:r>
              <w:rPr>
                <w:sz w:val="16"/>
              </w:rPr>
              <w:t>Production executable and representative workload; preserve existing numbering.</w:t>
            </w:r>
          </w:p>
        </w:tc>
        <w:tc>
          <w:tcPr>
            <w:tcW w:type="dxa" w:w="1872"/>
            <w:tcMar>
              <w:top w:w="70" w:type="dxa"/>
              <w:start w:w="90" w:type="dxa"/>
              <w:bottom w:w="70" w:type="dxa"/>
              <w:end w:w="90" w:type="dxa"/>
            </w:tcMar>
            <w:vAlign w:val="top"/>
          </w:tcPr>
          <w:p>
            <w:pPr>
              <w:spacing w:after="0" w:line="240" w:lineRule="auto"/>
            </w:pPr>
            <w:r>
              <w:rPr>
                <w:sz w:val="16"/>
              </w:rPr>
              <w:t>Physics product or workflow regression.</w:t>
            </w:r>
          </w:p>
        </w:tc>
      </w:tr>
      <w:tr>
        <w:trPr>
          <w:cantSplit/>
        </w:trPr>
        <w:tc>
          <w:tcPr>
            <w:tcW w:type="dxa" w:w="1080"/>
            <w:shd w:fill="F8FAFB"/>
            <w:tcMar>
              <w:top w:w="70" w:type="dxa"/>
              <w:start w:w="90" w:type="dxa"/>
              <w:bottom w:w="70" w:type="dxa"/>
              <w:end w:w="90" w:type="dxa"/>
            </w:tcMar>
            <w:vAlign w:val="top"/>
          </w:tcPr>
          <w:p>
            <w:pPr>
              <w:spacing w:after="0" w:line="240" w:lineRule="auto"/>
            </w:pPr>
            <w:r>
              <w:rPr>
                <w:b/>
                <w:color w:val="15354A"/>
                <w:sz w:val="16"/>
              </w:rPr>
              <w:t>Oxx</w:t>
            </w:r>
          </w:p>
        </w:tc>
        <w:tc>
          <w:tcPr>
            <w:tcW w:type="dxa" w:w="3024"/>
            <w:shd w:fill="F8FAFB"/>
            <w:tcMar>
              <w:top w:w="70" w:type="dxa"/>
              <w:start w:w="90" w:type="dxa"/>
              <w:bottom w:w="70" w:type="dxa"/>
              <w:end w:w="90" w:type="dxa"/>
            </w:tcMar>
            <w:vAlign w:val="top"/>
          </w:tcPr>
          <w:p>
            <w:pPr>
              <w:spacing w:after="0" w:line="240" w:lineRule="auto"/>
            </w:pPr>
            <w:r>
              <w:rPr>
                <w:sz w:val="16"/>
              </w:rPr>
              <w:t>Observation-space validity and uncertainty calibration.</w:t>
            </w:r>
          </w:p>
        </w:tc>
        <w:tc>
          <w:tcPr>
            <w:tcW w:type="dxa" w:w="3816"/>
            <w:shd w:fill="F8FAFB"/>
            <w:tcMar>
              <w:top w:w="70" w:type="dxa"/>
              <w:start w:w="90" w:type="dxa"/>
              <w:bottom w:w="70" w:type="dxa"/>
              <w:end w:w="90" w:type="dxa"/>
            </w:tcMar>
            <w:vAlign w:val="top"/>
          </w:tcPr>
          <w:p>
            <w:pPr>
              <w:spacing w:after="0" w:line="240" w:lineRule="auto"/>
            </w:pPr>
            <w:r>
              <w:rPr>
                <w:sz w:val="16"/>
              </w:rPr>
              <w:t>Versioned data, response adapters, event manifest, frozen metrics.</w:t>
            </w:r>
          </w:p>
        </w:tc>
        <w:tc>
          <w:tcPr>
            <w:tcW w:type="dxa" w:w="1872"/>
            <w:shd w:fill="F8FAFB"/>
            <w:tcMar>
              <w:top w:w="70" w:type="dxa"/>
              <w:start w:w="90" w:type="dxa"/>
              <w:bottom w:w="70" w:type="dxa"/>
              <w:end w:w="90" w:type="dxa"/>
            </w:tcMar>
            <w:vAlign w:val="top"/>
          </w:tcPr>
          <w:p>
            <w:pPr>
              <w:spacing w:after="0" w:line="240" w:lineRule="auto"/>
            </w:pPr>
            <w:r>
              <w:rPr>
                <w:sz w:val="16"/>
              </w:rPr>
              <w:t>Model-form, boundary, field, or instrument mismatch.</w:t>
            </w:r>
          </w:p>
        </w:tc>
      </w:tr>
    </w:tbl>
    <w:p>
      <w:pPr>
        <w:spacing w:after="0"/>
      </w:pPr>
    </w:p>
    <w:p>
      <w:pPr>
        <w:pStyle w:val="Heading2"/>
      </w:pPr>
      <w:bookmarkStart w:id="119" w:name="toc_section_20"/>
      <w:r>
        <w:t>6.1 Standalone numerical tests (U-Fxx)</w:t>
      </w:r>
      <w:bookmarkEnd w:id="119"/>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5354A"/>
            <w:tcMar>
              <w:top w:w="70" w:type="dxa"/>
              <w:start w:w="90" w:type="dxa"/>
              <w:bottom w:w="70" w:type="dxa"/>
              <w:end w:w="90" w:type="dxa"/>
            </w:tcMar>
            <w:vAlign w:val="center"/>
          </w:tcPr>
          <w:p>
            <w:pPr>
              <w:spacing w:after="0"/>
              <w:jc w:val="left"/>
            </w:pPr>
            <w:r>
              <w:rPr>
                <w:b/>
                <w:color w:val="FFFFFF"/>
                <w:sz w:val="15"/>
              </w:rPr>
              <w:t>ID</w:t>
            </w:r>
          </w:p>
        </w:tc>
        <w:tc>
          <w:tcPr>
            <w:tcW w:type="dxa" w:w="2015"/>
            <w:shd w:fill="15354A"/>
            <w:tcMar>
              <w:top w:w="70" w:type="dxa"/>
              <w:start w:w="90" w:type="dxa"/>
              <w:bottom w:w="70" w:type="dxa"/>
              <w:end w:w="90" w:type="dxa"/>
            </w:tcMar>
            <w:vAlign w:val="center"/>
          </w:tcPr>
          <w:p>
            <w:pPr>
              <w:spacing w:after="0"/>
              <w:jc w:val="left"/>
            </w:pPr>
            <w:r>
              <w:rPr>
                <w:b/>
                <w:color w:val="FFFFFF"/>
                <w:sz w:val="15"/>
              </w:rPr>
              <w:t>Kernel</w:t>
            </w:r>
          </w:p>
        </w:tc>
        <w:tc>
          <w:tcPr>
            <w:tcW w:type="dxa" w:w="4464"/>
            <w:shd w:fill="15354A"/>
            <w:tcMar>
              <w:top w:w="70" w:type="dxa"/>
              <w:start w:w="90" w:type="dxa"/>
              <w:bottom w:w="70" w:type="dxa"/>
              <w:end w:w="90" w:type="dxa"/>
            </w:tcMar>
            <w:vAlign w:val="center"/>
          </w:tcPr>
          <w:p>
            <w:pPr>
              <w:spacing w:after="0"/>
              <w:jc w:val="left"/>
            </w:pPr>
            <w:r>
              <w:rPr>
                <w:b/>
                <w:color w:val="FFFFFF"/>
                <w:sz w:val="15"/>
              </w:rPr>
              <w:t>Case</w:t>
            </w:r>
          </w:p>
        </w:tc>
        <w:tc>
          <w:tcPr>
            <w:tcW w:type="dxa" w:w="2376"/>
            <w:shd w:fill="15354A"/>
            <w:tcMar>
              <w:top w:w="70" w:type="dxa"/>
              <w:start w:w="90" w:type="dxa"/>
              <w:bottom w:w="70" w:type="dxa"/>
              <w:end w:w="90" w:type="dxa"/>
            </w:tcMar>
            <w:vAlign w:val="center"/>
          </w:tcPr>
          <w:p>
            <w:pPr>
              <w:spacing w:after="0"/>
              <w:jc w:val="left"/>
            </w:pPr>
            <w:r>
              <w:rPr>
                <w:b/>
                <w:color w:val="FFFFFF"/>
                <w:sz w:val="15"/>
              </w:rPr>
              <w:t>Acceptance</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U-F01</w:t>
            </w:r>
          </w:p>
        </w:tc>
        <w:tc>
          <w:tcPr>
            <w:tcW w:type="dxa" w:w="2015"/>
            <w:tcMar>
              <w:top w:w="70" w:type="dxa"/>
              <w:start w:w="90" w:type="dxa"/>
              <w:bottom w:w="70" w:type="dxa"/>
              <w:end w:w="90" w:type="dxa"/>
            </w:tcMar>
            <w:vAlign w:val="top"/>
          </w:tcPr>
          <w:p>
            <w:r>
              <w:t>Boundary spectra, units and density</w:t>
            </w:r>
          </w:p>
        </w:tc>
        <w:tc>
          <w:tcPr>
            <w:tcW w:type="dxa" w:w="4464"/>
            <w:tcMar>
              <w:top w:w="70" w:type="dxa"/>
              <w:start w:w="90" w:type="dxa"/>
              <w:bottom w:w="70" w:type="dxa"/>
              <w:end w:w="90" w:type="dxa"/>
            </w:tcMar>
            <w:vAlign w:val="top"/>
          </w:tcPr>
          <w:p>
            <w:r>
              <w:t>Closed-form power-law/top-hat spectra and independent unit conversions.</w:t>
            </w:r>
          </w:p>
        </w:tc>
        <w:tc>
          <w:tcPr>
            <w:tcW w:type="dxa" w:w="2376"/>
            <w:tcMar>
              <w:top w:w="70" w:type="dxa"/>
              <w:start w:w="90" w:type="dxa"/>
              <w:bottom w:w="70" w:type="dxa"/>
              <w:end w:w="90" w:type="dxa"/>
            </w:tcMar>
            <w:vAlign w:val="top"/>
          </w:tcPr>
          <w:p>
            <w:r>
              <w:t>≤1×10⁻¹⁰ relative + 1×10⁻¹² absolute; unit round trips to 1×10⁻¹³.</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U-F02</w:t>
            </w:r>
          </w:p>
        </w:tc>
        <w:tc>
          <w:tcPr>
            <w:tcW w:type="dxa" w:w="2015"/>
            <w:shd w:fill="F8FAFB"/>
            <w:tcMar>
              <w:top w:w="70" w:type="dxa"/>
              <w:start w:w="90" w:type="dxa"/>
              <w:bottom w:w="70" w:type="dxa"/>
              <w:end w:w="90" w:type="dxa"/>
            </w:tcMar>
            <w:vAlign w:val="top"/>
          </w:tcPr>
          <w:p>
            <w:r>
              <w:t>Reserved identifier</w:t>
            </w:r>
          </w:p>
        </w:tc>
        <w:tc>
          <w:tcPr>
            <w:tcW w:type="dxa" w:w="4464"/>
            <w:shd w:fill="F8FAFB"/>
            <w:tcMar>
              <w:top w:w="70" w:type="dxa"/>
              <w:start w:w="90" w:type="dxa"/>
              <w:bottom w:w="70" w:type="dxa"/>
              <w:end w:w="90" w:type="dxa"/>
            </w:tcMar>
            <w:vAlign w:val="top"/>
          </w:tcPr>
          <w:p>
            <w:r>
              <w:t>No registered test; transform coverage is implemented as U-F03.</w:t>
            </w:r>
          </w:p>
        </w:tc>
        <w:tc>
          <w:tcPr>
            <w:tcW w:type="dxa" w:w="2376"/>
            <w:shd w:fill="F8FAFB"/>
            <w:tcMar>
              <w:top w:w="70" w:type="dxa"/>
              <w:start w:w="90" w:type="dxa"/>
              <w:bottom w:w="70" w:type="dxa"/>
              <w:end w:w="90" w:type="dxa"/>
            </w:tcMar>
            <w:vAlign w:val="top"/>
          </w:tcPr>
          <w:p>
            <w:r>
              <w:t>Not counted as coverage; the ID remains unused.</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U-F03</w:t>
            </w:r>
          </w:p>
        </w:tc>
        <w:tc>
          <w:tcPr>
            <w:tcW w:type="dxa" w:w="2015"/>
            <w:tcMar>
              <w:top w:w="70" w:type="dxa"/>
              <w:start w:w="90" w:type="dxa"/>
              <w:bottom w:w="70" w:type="dxa"/>
              <w:end w:w="90" w:type="dxa"/>
            </w:tcMar>
            <w:vAlign w:val="top"/>
          </w:tcPr>
          <w:p>
            <w:r>
              <w:t>Relativistic transforms</w:t>
            </w:r>
          </w:p>
        </w:tc>
        <w:tc>
          <w:tcPr>
            <w:tcW w:type="dxa" w:w="4464"/>
            <w:tcMar>
              <w:top w:w="70" w:type="dxa"/>
              <w:start w:w="90" w:type="dxa"/>
              <w:bottom w:w="70" w:type="dxa"/>
              <w:end w:w="90" w:type="dxa"/>
            </w:tcMar>
            <w:vAlign w:val="top"/>
          </w:tcPr>
          <w:p>
            <w:r>
              <w:t>E↔p↔rigidity/speed inverse relations for protons and alpha particles.</w:t>
            </w:r>
          </w:p>
        </w:tc>
        <w:tc>
          <w:tcPr>
            <w:tcW w:type="dxa" w:w="2376"/>
            <w:tcMar>
              <w:top w:w="70" w:type="dxa"/>
              <w:start w:w="90" w:type="dxa"/>
              <w:bottom w:w="70" w:type="dxa"/>
              <w:end w:w="90" w:type="dxa"/>
            </w:tcMar>
            <w:vAlign w:val="top"/>
          </w:tcPr>
          <w:p>
            <w:r>
              <w:t>Relative 2×10⁻¹² plus 1×10⁻¹¹ MeV absolute; speed &lt; c.</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U-F04</w:t>
            </w:r>
          </w:p>
        </w:tc>
        <w:tc>
          <w:tcPr>
            <w:tcW w:type="dxa" w:w="2015"/>
            <w:shd w:fill="F8FAFB"/>
            <w:tcMar>
              <w:top w:w="70" w:type="dxa"/>
              <w:start w:w="90" w:type="dxa"/>
              <w:bottom w:w="70" w:type="dxa"/>
              <w:end w:w="90" w:type="dxa"/>
            </w:tcMar>
            <w:vAlign w:val="top"/>
          </w:tcPr>
          <w:p>
            <w:r>
              <w:t>Energy grids</w:t>
            </w:r>
          </w:p>
        </w:tc>
        <w:tc>
          <w:tcPr>
            <w:tcW w:type="dxa" w:w="4464"/>
            <w:shd w:fill="F8FAFB"/>
            <w:tcMar>
              <w:top w:w="70" w:type="dxa"/>
              <w:start w:w="90" w:type="dxa"/>
              <w:bottom w:w="70" w:type="dxa"/>
              <w:end w:w="90" w:type="dxa"/>
            </w:tcMar>
            <w:vAlign w:val="top"/>
          </w:tcPr>
          <w:p>
            <w:r>
              <w:t>Exact linear/log nodes, endpoints and strict monotonicity.</w:t>
            </w:r>
          </w:p>
        </w:tc>
        <w:tc>
          <w:tcPr>
            <w:tcW w:type="dxa" w:w="2376"/>
            <w:shd w:fill="F8FAFB"/>
            <w:tcMar>
              <w:top w:w="70" w:type="dxa"/>
              <w:start w:w="90" w:type="dxa"/>
              <w:bottom w:w="70" w:type="dxa"/>
              <w:end w:w="90" w:type="dxa"/>
            </w:tcMar>
            <w:vAlign w:val="top"/>
          </w:tcPr>
          <w:p>
            <w:r>
              <w:t>Node error ≤1×10⁻¹² relative + absolute; endpoints exact.</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U-F05</w:t>
            </w:r>
          </w:p>
        </w:tc>
        <w:tc>
          <w:tcPr>
            <w:tcW w:type="dxa" w:w="2015"/>
            <w:tcMar>
              <w:top w:w="70" w:type="dxa"/>
              <w:start w:w="90" w:type="dxa"/>
              <w:bottom w:w="70" w:type="dxa"/>
              <w:end w:w="90" w:type="dxa"/>
            </w:tcMar>
            <w:vAlign w:val="top"/>
          </w:tcPr>
          <w:p>
            <w:r>
              <w:t>Channel clipping and quadrature</w:t>
            </w:r>
          </w:p>
        </w:tc>
        <w:tc>
          <w:tcPr>
            <w:tcW w:type="dxa" w:w="4464"/>
            <w:tcMar>
              <w:top w:w="70" w:type="dxa"/>
              <w:start w:w="90" w:type="dxa"/>
              <w:bottom w:w="70" w:type="dxa"/>
              <w:end w:w="90" w:type="dxa"/>
            </w:tcMar>
            <w:vAlign w:val="top"/>
          </w:tcPr>
          <w:p>
            <w:r>
              <w:t>Constant-integrand and analytic partial-bin references.</w:t>
            </w:r>
          </w:p>
        </w:tc>
        <w:tc>
          <w:tcPr>
            <w:tcW w:type="dxa" w:w="2376"/>
            <w:tcMar>
              <w:top w:w="70" w:type="dxa"/>
              <w:start w:w="90" w:type="dxa"/>
              <w:bottom w:w="70" w:type="dxa"/>
              <w:end w:w="90" w:type="dxa"/>
            </w:tcMar>
            <w:vAlign w:val="top"/>
          </w:tcPr>
          <w:p>
            <w:r>
              <w:t>≤1×10⁻¹² relative + absolute; conservative bounds ordered.</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U-F06</w:t>
            </w:r>
          </w:p>
        </w:tc>
        <w:tc>
          <w:tcPr>
            <w:tcW w:type="dxa" w:w="2015"/>
            <w:shd w:fill="F8FAFB"/>
            <w:tcMar>
              <w:top w:w="70" w:type="dxa"/>
              <w:start w:w="90" w:type="dxa"/>
              <w:bottom w:w="70" w:type="dxa"/>
              <w:end w:w="90" w:type="dxa"/>
            </w:tcMar>
            <w:vAlign w:val="top"/>
          </w:tcPr>
          <w:p>
            <w:r>
              <w:t>Angular weights</w:t>
            </w:r>
          </w:p>
        </w:tc>
        <w:tc>
          <w:tcPr>
            <w:tcW w:type="dxa" w:w="4464"/>
            <w:shd w:fill="F8FAFB"/>
            <w:tcMar>
              <w:top w:w="70" w:type="dxa"/>
              <w:start w:w="90" w:type="dxa"/>
              <w:bottom w:w="70" w:type="dxa"/>
              <w:end w:w="90" w:type="dxa"/>
            </w:tcMar>
            <w:vAlign w:val="top"/>
          </w:tcPr>
          <w:p>
            <w:r>
              <w:t>Σw=4π, unit directions and deterministic subset.</w:t>
            </w:r>
          </w:p>
        </w:tc>
        <w:tc>
          <w:tcPr>
            <w:tcW w:type="dxa" w:w="2376"/>
            <w:shd w:fill="F8FAFB"/>
            <w:tcMar>
              <w:top w:w="70" w:type="dxa"/>
              <w:start w:w="90" w:type="dxa"/>
              <w:bottom w:w="70" w:type="dxa"/>
              <w:end w:w="90" w:type="dxa"/>
            </w:tcMar>
            <w:vAlign w:val="top"/>
          </w:tcPr>
          <w:p>
            <w:r>
              <w:t>4π relative error ≤2×10⁻¹⁴; unit norm ≤1×10⁻¹³.</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U-F07</w:t>
            </w:r>
          </w:p>
        </w:tc>
        <w:tc>
          <w:tcPr>
            <w:tcW w:type="dxa" w:w="2015"/>
            <w:tcMar>
              <w:top w:w="70" w:type="dxa"/>
              <w:start w:w="90" w:type="dxa"/>
              <w:bottom w:w="70" w:type="dxa"/>
              <w:end w:w="90" w:type="dxa"/>
            </w:tcMar>
            <w:vAlign w:val="top"/>
          </w:tcPr>
          <w:p>
            <w:r>
              <w:t>PAD/spatial normalization</w:t>
            </w:r>
          </w:p>
        </w:tc>
        <w:tc>
          <w:tcPr>
            <w:tcW w:type="dxa" w:w="4464"/>
            <w:tcMar>
              <w:top w:w="70" w:type="dxa"/>
              <w:start w:w="90" w:type="dxa"/>
              <w:bottom w:w="70" w:type="dxa"/>
              <w:end w:w="90" w:type="dxa"/>
            </w:tcMar>
            <w:vAlign w:val="top"/>
          </w:tcPr>
          <w:p>
            <w:r>
              <w:t>Beta-function PAD moments and raw/normalized spatial factors.</w:t>
            </w:r>
          </w:p>
        </w:tc>
        <w:tc>
          <w:tcPr>
            <w:tcW w:type="dxa" w:w="2376"/>
            <w:tcMar>
              <w:top w:w="70" w:type="dxa"/>
              <w:start w:w="90" w:type="dxa"/>
              <w:bottom w:w="70" w:type="dxa"/>
              <w:end w:w="90" w:type="dxa"/>
            </w:tcMar>
            <w:vAlign w:val="top"/>
          </w:tcPr>
          <w:p>
            <w:r>
              <w:t>≤1×10⁻¹³ relative + 1×10⁻¹⁴ absolute; normalized mean=1.</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U-F08</w:t>
            </w:r>
          </w:p>
        </w:tc>
        <w:tc>
          <w:tcPr>
            <w:tcW w:type="dxa" w:w="2015"/>
            <w:shd w:fill="F8FAFB"/>
            <w:tcMar>
              <w:top w:w="70" w:type="dxa"/>
              <w:start w:w="90" w:type="dxa"/>
              <w:bottom w:w="70" w:type="dxa"/>
              <w:end w:w="90" w:type="dxa"/>
            </w:tcMar>
            <w:vAlign w:val="top"/>
          </w:tcPr>
          <w:p>
            <w:r>
              <w:t>Temporal spectrum</w:t>
            </w:r>
          </w:p>
        </w:tc>
        <w:tc>
          <w:tcPr>
            <w:tcW w:type="dxa" w:w="4464"/>
            <w:shd w:fill="F8FAFB"/>
            <w:tcMar>
              <w:top w:w="70" w:type="dxa"/>
              <w:start w:w="90" w:type="dxa"/>
              <w:bottom w:w="70" w:type="dxa"/>
              <w:end w:w="90" w:type="dxa"/>
            </w:tcMar>
            <w:vAlign w:val="top"/>
          </w:tcPr>
          <w:p>
            <w:r>
              <w:t>Exact log-time interpolation and HOLD/ZERO/FAIL gap policies.</w:t>
            </w:r>
          </w:p>
        </w:tc>
        <w:tc>
          <w:tcPr>
            <w:tcW w:type="dxa" w:w="2376"/>
            <w:shd w:fill="F8FAFB"/>
            <w:tcMar>
              <w:top w:w="70" w:type="dxa"/>
              <w:start w:w="90" w:type="dxa"/>
              <w:bottom w:w="70" w:type="dxa"/>
              <w:end w:w="90" w:type="dxa"/>
            </w:tcMar>
            <w:vAlign w:val="top"/>
          </w:tcPr>
          <w:p>
            <w:r>
              <w:t>Analytic interpolation at stated spectrum tolerance; invalid gaps fail closed.</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U-F09</w:t>
            </w:r>
          </w:p>
        </w:tc>
        <w:tc>
          <w:tcPr>
            <w:tcW w:type="dxa" w:w="2015"/>
            <w:tcMar>
              <w:top w:w="70" w:type="dxa"/>
              <w:start w:w="90" w:type="dxa"/>
              <w:bottom w:w="70" w:type="dxa"/>
              <w:end w:w="90" w:type="dxa"/>
            </w:tcMar>
            <w:vAlign w:val="top"/>
          </w:tcPr>
          <w:p>
            <w:r>
              <w:t>Detector response folding</w:t>
            </w:r>
          </w:p>
        </w:tc>
        <w:tc>
          <w:tcPr>
            <w:tcW w:type="dxa" w:w="4464"/>
            <w:tcMar>
              <w:top w:w="70" w:type="dxa"/>
              <w:start w:w="90" w:type="dxa"/>
              <w:bottom w:w="70" w:type="dxa"/>
              <w:end w:w="90" w:type="dxa"/>
            </w:tcMar>
            <w:vAlign w:val="top"/>
          </w:tcPr>
          <w:p>
            <w:r>
              <w:t>Delta/top-hat folds and analytic omni-to-planar relation.</w:t>
            </w:r>
          </w:p>
        </w:tc>
        <w:tc>
          <w:tcPr>
            <w:tcW w:type="dxa" w:w="2376"/>
            <w:tcMar>
              <w:top w:w="70" w:type="dxa"/>
              <w:start w:w="90" w:type="dxa"/>
              <w:bottom w:w="70" w:type="dxa"/>
              <w:end w:w="90" w:type="dxa"/>
            </w:tcMar>
            <w:vAlign w:val="top"/>
          </w:tcPr>
          <w:p>
            <w:r>
              <w:t>≤1×10⁻¹⁰ relative + 1×10⁻¹² absolute; units asserted.</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U-F10</w:t>
            </w:r>
          </w:p>
        </w:tc>
        <w:tc>
          <w:tcPr>
            <w:tcW w:type="dxa" w:w="2015"/>
            <w:shd w:fill="F8FAFB"/>
            <w:tcMar>
              <w:top w:w="70" w:type="dxa"/>
              <w:start w:w="90" w:type="dxa"/>
              <w:bottom w:w="70" w:type="dxa"/>
              <w:end w:w="90" w:type="dxa"/>
            </w:tcMar>
            <w:vAlign w:val="top"/>
          </w:tcPr>
          <w:p>
            <w:r>
              <w:t>Uniform-B mover reference</w:t>
            </w:r>
          </w:p>
        </w:tc>
        <w:tc>
          <w:tcPr>
            <w:tcW w:type="dxa" w:w="4464"/>
            <w:shd w:fill="F8FAFB"/>
            <w:tcMar>
              <w:top w:w="70" w:type="dxa"/>
              <w:start w:w="90" w:type="dxa"/>
              <w:bottom w:w="70" w:type="dxa"/>
              <w:end w:w="90" w:type="dxa"/>
            </w:tcMar>
            <w:vAlign w:val="top"/>
          </w:tcPr>
          <w:p>
            <w:r>
              <w:t>Analytic relativistic helix and BORIS/RK4 refinement.</w:t>
            </w:r>
          </w:p>
        </w:tc>
        <w:tc>
          <w:tcPr>
            <w:tcW w:type="dxa" w:w="2376"/>
            <w:shd w:fill="F8FAFB"/>
            <w:tcMar>
              <w:top w:w="70" w:type="dxa"/>
              <w:start w:w="90" w:type="dxa"/>
              <w:bottom w:w="70" w:type="dxa"/>
              <w:end w:w="90" w:type="dxa"/>
            </w:tcMar>
            <w:vAlign w:val="top"/>
          </w:tcPr>
          <w:p>
            <w:r>
              <w:t>BORIS ratios &gt;1.8, error &lt;5×10⁻⁴, |Δp/p|&lt;5×10⁻¹⁴; RK4 ratios &gt;8, error &lt;1×10⁻⁶.</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U-F11</w:t>
            </w:r>
          </w:p>
        </w:tc>
        <w:tc>
          <w:tcPr>
            <w:tcW w:type="dxa" w:w="2015"/>
            <w:tcMar>
              <w:top w:w="70" w:type="dxa"/>
              <w:start w:w="90" w:type="dxa"/>
              <w:bottom w:w="70" w:type="dxa"/>
              <w:end w:w="90" w:type="dxa"/>
            </w:tcMar>
            <w:vAlign w:val="top"/>
          </w:tcPr>
          <w:p>
            <w:r>
              <w:t>Backward/E-field mapping</w:t>
            </w:r>
          </w:p>
        </w:tc>
        <w:tc>
          <w:tcPr>
            <w:tcW w:type="dxa" w:w="4464"/>
            <w:tcMar>
              <w:top w:w="70" w:type="dxa"/>
              <w:start w:w="90" w:type="dxa"/>
              <w:bottom w:w="70" w:type="dxa"/>
              <w:end w:w="90" w:type="dxa"/>
            </w:tcMar>
            <w:vAlign w:val="top"/>
          </w:tcPr>
          <w:p>
            <w:r>
              <w:t>Uniform-E forward/backward cancellation and p² intensity identity.</w:t>
            </w:r>
          </w:p>
        </w:tc>
        <w:tc>
          <w:tcPr>
            <w:tcW w:type="dxa" w:w="2376"/>
            <w:tcMar>
              <w:top w:w="70" w:type="dxa"/>
              <w:start w:w="90" w:type="dxa"/>
              <w:bottom w:w="70" w:type="dxa"/>
              <w:end w:w="90" w:type="dxa"/>
            </w:tcMar>
            <w:vAlign w:val="top"/>
          </w:tcPr>
          <w:p>
            <w:r>
              <w:t>Momentum absolute error ≤2×10⁻¹⁵; invalid EM combinations fail closed.</w:t>
            </w:r>
          </w:p>
        </w:tc>
      </w:tr>
      <w:tr>
        <w:trPr>
          <w:cantSplit/>
        </w:trPr>
        <w:tc>
          <w:tcPr>
            <w:tcW w:type="dxa" w:w="936"/>
            <w:shd w:fill="F8FAFB"/>
            <w:tcMar>
              <w:top w:w="70" w:type="dxa"/>
              <w:start w:w="90" w:type="dxa"/>
              <w:bottom w:w="70" w:type="dxa"/>
              <w:end w:w="90" w:type="dxa"/>
            </w:tcMar>
            <w:vAlign w:val="top"/>
          </w:tcPr>
          <w:p>
            <w:pPr>
              <w:spacing w:after="0" w:line="240" w:lineRule="auto"/>
            </w:pPr>
            <w:r>
              <w:rPr>
                <w:b/>
                <w:color w:val="15354A"/>
                <w:sz w:val="15"/>
              </w:rPr>
              <w:t>U-F12</w:t>
            </w:r>
          </w:p>
        </w:tc>
        <w:tc>
          <w:tcPr>
            <w:tcW w:type="dxa" w:w="2015"/>
            <w:shd w:fill="F8FAFB"/>
            <w:tcMar>
              <w:top w:w="70" w:type="dxa"/>
              <w:start w:w="90" w:type="dxa"/>
              <w:bottom w:w="70" w:type="dxa"/>
              <w:end w:w="90" w:type="dxa"/>
            </w:tcMar>
            <w:vAlign w:val="top"/>
          </w:tcPr>
          <w:p>
            <w:r>
              <w:t>Termination/bounds</w:t>
            </w:r>
          </w:p>
        </w:tc>
        <w:tc>
          <w:tcPr>
            <w:tcW w:type="dxa" w:w="4464"/>
            <w:shd w:fill="F8FAFB"/>
            <w:tcMar>
              <w:top w:w="70" w:type="dxa"/>
              <w:start w:w="90" w:type="dxa"/>
              <w:bottom w:w="70" w:type="dxa"/>
              <w:end w:w="90" w:type="dxa"/>
            </w:tcMar>
            <w:vAlign w:val="top"/>
          </w:tcPr>
          <w:p>
            <w:r>
              <w:t>Exact event state, count closure and unresolved synthetic cases.</w:t>
            </w:r>
          </w:p>
        </w:tc>
        <w:tc>
          <w:tcPr>
            <w:tcW w:type="dxa" w:w="2376"/>
            <w:shd w:fill="F8FAFB"/>
            <w:tcMar>
              <w:top w:w="70" w:type="dxa"/>
              <w:start w:w="90" w:type="dxa"/>
              <w:bottom w:w="70" w:type="dxa"/>
              <w:end w:w="90" w:type="dxa"/>
            </w:tcMar>
            <w:vAlign w:val="top"/>
          </w:tcPr>
          <w:p>
            <w:r>
              <w:t>Exact integer closure; all-unresolved nominal NaN with [0,1] bounds.</w:t>
            </w:r>
          </w:p>
        </w:tc>
      </w:tr>
      <w:tr>
        <w:trPr>
          <w:cantSplit/>
        </w:trPr>
        <w:tc>
          <w:tcPr>
            <w:tcW w:type="dxa" w:w="936"/>
            <w:tcMar>
              <w:top w:w="70" w:type="dxa"/>
              <w:start w:w="90" w:type="dxa"/>
              <w:bottom w:w="70" w:type="dxa"/>
              <w:end w:w="90" w:type="dxa"/>
            </w:tcMar>
            <w:vAlign w:val="top"/>
          </w:tcPr>
          <w:p>
            <w:pPr>
              <w:spacing w:after="0" w:line="240" w:lineRule="auto"/>
            </w:pPr>
            <w:r>
              <w:rPr>
                <w:b/>
                <w:color w:val="15354A"/>
                <w:sz w:val="15"/>
              </w:rPr>
              <w:t>U-F13</w:t>
            </w:r>
          </w:p>
        </w:tc>
        <w:tc>
          <w:tcPr>
            <w:tcW w:type="dxa" w:w="2015"/>
            <w:tcMar>
              <w:top w:w="70" w:type="dxa"/>
              <w:start w:w="90" w:type="dxa"/>
              <w:bottom w:w="70" w:type="dxa"/>
              <w:end w:w="90" w:type="dxa"/>
            </w:tcMar>
            <w:vAlign w:val="top"/>
          </w:tcPr>
          <w:p>
            <w:r>
              <w:t>Retry/extension policy</w:t>
            </w:r>
          </w:p>
        </w:tc>
        <w:tc>
          <w:tcPr>
            <w:tcW w:type="dxa" w:w="4464"/>
            <w:tcMar>
              <w:top w:w="70" w:type="dxa"/>
              <w:start w:w="90" w:type="dxa"/>
              <w:bottom w:w="70" w:type="dxa"/>
              <w:end w:w="90" w:type="dxa"/>
            </w:tcMar>
            <w:vAlign w:val="top"/>
          </w:tcPr>
          <w:p>
            <w:r>
              <w:t>Known retry count, extension passes, budgets and terminal closure.</w:t>
            </w:r>
          </w:p>
        </w:tc>
        <w:tc>
          <w:tcPr>
            <w:tcW w:type="dxa" w:w="2376"/>
            <w:tcMar>
              <w:top w:w="70" w:type="dxa"/>
              <w:start w:w="90" w:type="dxa"/>
              <w:bottom w:w="70" w:type="dxa"/>
              <w:end w:w="90" w:type="dxa"/>
            </w:tcMar>
            <w:vAlign w:val="top"/>
          </w:tcPr>
          <w:p>
            <w:r>
              <w:t>Counts and budgets exact; invalid policy and distance relaxation rejected.</w:t>
            </w:r>
          </w:p>
        </w:tc>
      </w:tr>
      <w:tr>
        <w:trPr>
          <w:cantSplit/>
        </w:trPr>
        <w:tc>
          <w:tcPr>
            <w:tcW w:type="dxa" w:w="936"/>
            <w:shd w:fill="F8FAFB"/>
            <w:tcMar>
              <w:top w:w="70" w:type="dxa"/>
              <w:start w:w="90" w:type="dxa"/>
              <w:bottom w:w="70" w:type="dxa"/>
              <w:end w:w="90" w:type="dxa"/>
            </w:tcMar>
            <w:vAlign w:val="top"/>
          </w:tcPr>
          <w:p>
            <w:r>
              <w:t>U-F19</w:t>
            </w:r>
          </w:p>
        </w:tc>
        <w:tc>
          <w:tcPr>
            <w:tcW w:type="dxa" w:w="2015"/>
            <w:shd w:fill="F8FAFB"/>
            <w:tcMar>
              <w:top w:w="70" w:type="dxa"/>
              <w:start w:w="90" w:type="dxa"/>
              <w:bottom w:w="70" w:type="dxa"/>
              <w:end w:w="90" w:type="dxa"/>
            </w:tcMar>
            <w:vAlign w:val="top"/>
          </w:tcPr>
          <w:p>
            <w:pPr>
              <w:spacing w:after="0" w:line="240" w:lineRule="auto"/>
            </w:pPr>
            <w:r>
              <w:rPr>
                <w:sz w:val="15"/>
              </w:rPr>
              <w:t>Forward sampling weights</w:t>
            </w:r>
          </w:p>
        </w:tc>
        <w:tc>
          <w:tcPr>
            <w:tcW w:type="dxa" w:w="4464"/>
            <w:shd w:fill="F8FAFB"/>
            <w:tcMar>
              <w:top w:w="70" w:type="dxa"/>
              <w:start w:w="90" w:type="dxa"/>
              <w:bottom w:w="70" w:type="dxa"/>
              <w:end w:w="90" w:type="dxa"/>
            </w:tcMar>
            <w:vAlign w:val="top"/>
          </w:tcPr>
          <w:p>
            <w:pPr>
              <w:spacing w:after="0" w:line="240" w:lineRule="auto"/>
            </w:pPr>
            <w:r>
              <w:rPr>
                <w:sz w:val="15"/>
              </w:rPr>
              <w:t>Injection PDF, importance weights, isotropic cosine law, energy sampler moments.</w:t>
            </w:r>
          </w:p>
        </w:tc>
        <w:tc>
          <w:tcPr>
            <w:tcW w:type="dxa" w:w="2376"/>
            <w:shd w:fill="F8FAFB"/>
            <w:tcMar>
              <w:top w:w="70" w:type="dxa"/>
              <w:start w:w="90" w:type="dxa"/>
              <w:bottom w:w="70" w:type="dxa"/>
              <w:end w:w="90" w:type="dxa"/>
            </w:tcMar>
            <w:vAlign w:val="top"/>
          </w:tcPr>
          <w:p>
            <w:pPr>
              <w:spacing w:after="0" w:line="240" w:lineRule="auto"/>
            </w:pPr>
            <w:r>
              <w:rPr>
                <w:sz w:val="15"/>
              </w:rPr>
              <w:t>Moment tests within 4σ and bias gate; fixed-seed reproducibility.</w:t>
            </w:r>
          </w:p>
        </w:tc>
      </w:tr>
      <w:tr>
        <w:trPr>
          <w:cantSplit/>
        </w:trPr>
        <w:tc>
          <w:tcPr>
            <w:tcW w:type="dxa" w:w="936"/>
            <w:tcMar>
              <w:top w:w="70" w:type="dxa"/>
              <w:start w:w="90" w:type="dxa"/>
              <w:bottom w:w="70" w:type="dxa"/>
              <w:end w:w="90" w:type="dxa"/>
            </w:tcMar>
            <w:vAlign w:val="top"/>
          </w:tcPr>
          <w:p>
            <w:r>
              <w:t>U-F20</w:t>
            </w:r>
          </w:p>
        </w:tc>
        <w:tc>
          <w:tcPr>
            <w:tcW w:type="dxa" w:w="2015"/>
            <w:tcMar>
              <w:top w:w="70" w:type="dxa"/>
              <w:start w:w="90" w:type="dxa"/>
              <w:bottom w:w="70" w:type="dxa"/>
              <w:end w:w="90" w:type="dxa"/>
            </w:tcMar>
            <w:vAlign w:val="top"/>
          </w:tcPr>
          <w:p>
            <w:pPr>
              <w:spacing w:after="0" w:line="240" w:lineRule="auto"/>
            </w:pPr>
            <w:r>
              <w:rPr>
                <w:sz w:val="15"/>
              </w:rPr>
              <w:t>Forward estimators</w:t>
            </w:r>
          </w:p>
        </w:tc>
        <w:tc>
          <w:tcPr>
            <w:tcW w:type="dxa" w:w="4464"/>
            <w:tcMar>
              <w:top w:w="70" w:type="dxa"/>
              <w:start w:w="90" w:type="dxa"/>
              <w:bottom w:w="70" w:type="dxa"/>
              <w:end w:w="90" w:type="dxa"/>
            </w:tcMar>
            <w:vAlign w:val="top"/>
          </w:tcPr>
          <w:p>
            <w:pPr>
              <w:spacing w:after="0" w:line="240" w:lineRule="auto"/>
            </w:pPr>
            <w:r>
              <w:rPr>
                <w:sz w:val="15"/>
              </w:rPr>
              <w:t>Uniform-box residence-time density and planar/spherical crossing flux.</w:t>
            </w:r>
          </w:p>
        </w:tc>
        <w:tc>
          <w:tcPr>
            <w:tcW w:type="dxa" w:w="2376"/>
            <w:tcMar>
              <w:top w:w="70" w:type="dxa"/>
              <w:start w:w="90" w:type="dxa"/>
              <w:bottom w:w="70" w:type="dxa"/>
              <w:end w:w="90" w:type="dxa"/>
            </w:tcMar>
            <w:vAlign w:val="top"/>
          </w:tcPr>
          <w:p>
            <w:pPr>
              <w:spacing w:after="0" w:line="240" w:lineRule="auto"/>
            </w:pPr>
            <w:r>
              <w:rPr>
                <w:sz w:val="15"/>
              </w:rPr>
              <w:t>Analytic mean within 2%; uncertainty scales N⁻¹ᐟ².</w:t>
            </w:r>
          </w:p>
        </w:tc>
      </w:tr>
    </w:tbl>
    <w:p>
      <w:pPr>
        <w:spacing w:after="0"/>
      </w:pPr>
    </w:p>
    <w:p>
      <w:pPr>
        <w:pStyle w:val="Heading2"/>
      </w:pPr>
      <w:bookmarkStart w:id="120" w:name="toc_section_21"/>
      <w:r>
        <w:t>6.2 Linked integration tests (I-Fxx)</w:t>
      </w:r>
      <w:bookmarkEnd w:id="120"/>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7"/>
            <w:shd w:fill="15354A"/>
            <w:tcMar>
              <w:top w:w="70" w:type="dxa"/>
              <w:start w:w="90" w:type="dxa"/>
              <w:bottom w:w="70" w:type="dxa"/>
              <w:end w:w="90" w:type="dxa"/>
            </w:tcMar>
            <w:vAlign w:val="center"/>
          </w:tcPr>
          <w:p>
            <w:pPr>
              <w:spacing w:after="0"/>
              <w:jc w:val="left"/>
            </w:pPr>
            <w:r>
              <w:rPr>
                <w:b/>
                <w:color w:val="FFFFFF"/>
                <w:sz w:val="16"/>
              </w:rPr>
              <w:t>ID</w:t>
            </w:r>
          </w:p>
        </w:tc>
        <w:tc>
          <w:tcPr>
            <w:tcW w:type="dxa" w:w="2520"/>
            <w:shd w:fill="15354A"/>
            <w:tcMar>
              <w:top w:w="70" w:type="dxa"/>
              <w:start w:w="90" w:type="dxa"/>
              <w:bottom w:w="70" w:type="dxa"/>
              <w:end w:w="90" w:type="dxa"/>
            </w:tcMar>
            <w:vAlign w:val="center"/>
          </w:tcPr>
          <w:p>
            <w:pPr>
              <w:spacing w:after="0"/>
              <w:jc w:val="left"/>
            </w:pPr>
            <w:r>
              <w:rPr>
                <w:b/>
                <w:color w:val="FFFFFF"/>
                <w:sz w:val="16"/>
              </w:rPr>
              <w:t>Test</w:t>
            </w:r>
          </w:p>
        </w:tc>
        <w:tc>
          <w:tcPr>
            <w:tcW w:type="dxa" w:w="6263"/>
            <w:shd w:fill="15354A"/>
            <w:tcMar>
              <w:top w:w="70" w:type="dxa"/>
              <w:start w:w="90" w:type="dxa"/>
              <w:bottom w:w="70" w:type="dxa"/>
              <w:end w:w="90" w:type="dxa"/>
            </w:tcMar>
            <w:vAlign w:val="center"/>
          </w:tcPr>
          <w:p>
            <w:pPr>
              <w:spacing w:after="0"/>
              <w:jc w:val="left"/>
            </w:pPr>
            <w:r>
              <w:rPr>
                <w:b/>
                <w:color w:val="FFFFFF"/>
                <w:sz w:val="16"/>
              </w:rPr>
              <w:t>Required check</w:t>
            </w:r>
          </w:p>
        </w:tc>
      </w:tr>
      <w:tr>
        <w:trPr>
          <w:cantSplit/>
        </w:trPr>
        <w:tc>
          <w:tcPr>
            <w:tcW w:type="dxa" w:w="1007"/>
            <w:tcMar>
              <w:top w:w="70" w:type="dxa"/>
              <w:start w:w="90" w:type="dxa"/>
              <w:bottom w:w="70" w:type="dxa"/>
              <w:end w:w="90" w:type="dxa"/>
            </w:tcMar>
            <w:vAlign w:val="top"/>
          </w:tcPr>
          <w:p>
            <w:pPr>
              <w:spacing w:after="0" w:line="240" w:lineRule="auto"/>
            </w:pPr>
            <w:r>
              <w:rPr>
                <w:b/>
                <w:color w:val="15354A"/>
                <w:sz w:val="16"/>
              </w:rPr>
              <w:t>I-F01</w:t>
            </w:r>
          </w:p>
        </w:tc>
        <w:tc>
          <w:tcPr>
            <w:tcW w:type="dxa" w:w="2520"/>
            <w:tcMar>
              <w:top w:w="70" w:type="dxa"/>
              <w:start w:w="90" w:type="dxa"/>
              <w:bottom w:w="70" w:type="dxa"/>
              <w:end w:w="90" w:type="dxa"/>
            </w:tcMar>
            <w:vAlign w:val="top"/>
          </w:tcPr>
          <w:p>
            <w:pPr>
              <w:spacing w:after="0" w:line="240" w:lineRule="auto"/>
            </w:pPr>
            <w:r>
              <w:rPr>
                <w:sz w:val="16"/>
              </w:rPr>
              <w:t>Gridless zero-field</w:t>
            </w:r>
          </w:p>
        </w:tc>
        <w:tc>
          <w:tcPr>
            <w:tcW w:type="dxa" w:w="6263"/>
            <w:tcMar>
              <w:top w:w="70" w:type="dxa"/>
              <w:start w:w="90" w:type="dxa"/>
              <w:bottom w:w="70" w:type="dxa"/>
              <w:end w:w="90" w:type="dxa"/>
            </w:tcMar>
            <w:vAlign w:val="top"/>
          </w:tcPr>
          <w:p>
            <w:pPr>
              <w:spacing w:after="0" w:line="240" w:lineRule="auto"/>
            </w:pPr>
            <w:r>
              <w:rPr>
                <w:sz w:val="16"/>
              </w:rPr>
              <w:t>All directions allowed; analytic spectra, n, omnidirectional and planar flux.</w:t>
            </w:r>
          </w:p>
        </w:tc>
      </w:tr>
      <w:tr>
        <w:trPr>
          <w:cantSplit/>
        </w:trPr>
        <w:tc>
          <w:tcPr>
            <w:tcW w:type="dxa" w:w="1007"/>
            <w:shd w:fill="F8FAFB"/>
            <w:tcMar>
              <w:top w:w="70" w:type="dxa"/>
              <w:start w:w="90" w:type="dxa"/>
              <w:bottom w:w="70" w:type="dxa"/>
              <w:end w:w="90" w:type="dxa"/>
            </w:tcMar>
            <w:vAlign w:val="top"/>
          </w:tcPr>
          <w:p>
            <w:pPr>
              <w:spacing w:after="0" w:line="240" w:lineRule="auto"/>
            </w:pPr>
            <w:r>
              <w:rPr>
                <w:b/>
                <w:color w:val="15354A"/>
                <w:sz w:val="16"/>
              </w:rPr>
              <w:t>I-F02</w:t>
            </w:r>
          </w:p>
        </w:tc>
        <w:tc>
          <w:tcPr>
            <w:tcW w:type="dxa" w:w="2520"/>
            <w:shd w:fill="F8FAFB"/>
            <w:tcMar>
              <w:top w:w="70" w:type="dxa"/>
              <w:start w:w="90" w:type="dxa"/>
              <w:bottom w:w="70" w:type="dxa"/>
              <w:end w:w="90" w:type="dxa"/>
            </w:tcMar>
            <w:vAlign w:val="top"/>
          </w:tcPr>
          <w:p>
            <w:pPr>
              <w:spacing w:after="0" w:line="240" w:lineRule="auto"/>
            </w:pPr>
            <w:r>
              <w:rPr>
                <w:sz w:val="16"/>
              </w:rPr>
              <w:t>Mode3D uniform/zero field</w:t>
            </w:r>
          </w:p>
        </w:tc>
        <w:tc>
          <w:tcPr>
            <w:tcW w:type="dxa" w:w="6263"/>
            <w:shd w:fill="F8FAFB"/>
            <w:tcMar>
              <w:top w:w="70" w:type="dxa"/>
              <w:start w:w="90" w:type="dxa"/>
              <w:bottom w:w="70" w:type="dxa"/>
              <w:end w:w="90" w:type="dxa"/>
            </w:tcMar>
            <w:vAlign w:val="top"/>
          </w:tcPr>
          <w:p>
            <w:pPr>
              <w:spacing w:after="0" w:line="240" w:lineRule="auto"/>
            </w:pPr>
            <w:r>
              <w:rPr>
                <w:sz w:val="16"/>
              </w:rPr>
              <w:t>Same products on constant mesh field; verifies mesh evaluator and I/O.</w:t>
            </w:r>
          </w:p>
        </w:tc>
      </w:tr>
      <w:tr>
        <w:trPr>
          <w:cantSplit/>
        </w:trPr>
        <w:tc>
          <w:tcPr>
            <w:tcW w:type="dxa" w:w="1007"/>
            <w:tcMar>
              <w:top w:w="70" w:type="dxa"/>
              <w:start w:w="90" w:type="dxa"/>
              <w:bottom w:w="70" w:type="dxa"/>
              <w:end w:w="90" w:type="dxa"/>
            </w:tcMar>
            <w:vAlign w:val="top"/>
          </w:tcPr>
          <w:p>
            <w:pPr>
              <w:spacing w:after="0" w:line="240" w:lineRule="auto"/>
            </w:pPr>
            <w:r>
              <w:rPr>
                <w:b/>
                <w:color w:val="15354A"/>
                <w:sz w:val="16"/>
              </w:rPr>
              <w:t>I-F03</w:t>
            </w:r>
          </w:p>
        </w:tc>
        <w:tc>
          <w:tcPr>
            <w:tcW w:type="dxa" w:w="2520"/>
            <w:tcMar>
              <w:top w:w="70" w:type="dxa"/>
              <w:start w:w="90" w:type="dxa"/>
              <w:bottom w:w="70" w:type="dxa"/>
              <w:end w:w="90" w:type="dxa"/>
            </w:tcMar>
            <w:vAlign w:val="top"/>
          </w:tcPr>
          <w:p>
            <w:pPr>
              <w:spacing w:after="0" w:line="240" w:lineRule="auto"/>
            </w:pPr>
            <w:r>
              <w:rPr>
                <w:sz w:val="16"/>
              </w:rPr>
              <w:t>Backend parity</w:t>
            </w:r>
          </w:p>
        </w:tc>
        <w:tc>
          <w:tcPr>
            <w:tcW w:type="dxa" w:w="6263"/>
            <w:tcMar>
              <w:top w:w="70" w:type="dxa"/>
              <w:start w:w="90" w:type="dxa"/>
              <w:bottom w:w="70" w:type="dxa"/>
              <w:end w:w="90" w:type="dxa"/>
            </w:tcMar>
            <w:vAlign w:val="top"/>
          </w:tcPr>
          <w:p>
            <w:pPr>
              <w:spacing w:after="0" w:line="240" w:lineRule="auto"/>
            </w:pPr>
            <w:r>
              <w:rPr>
                <w:sz w:val="16"/>
              </w:rPr>
              <w:t>Gridless analytic dipole vs Mode3D representation of the same field at identical states/directions.</w:t>
            </w:r>
          </w:p>
        </w:tc>
      </w:tr>
      <w:tr>
        <w:trPr>
          <w:cantSplit/>
        </w:trPr>
        <w:tc>
          <w:tcPr>
            <w:tcW w:type="dxa" w:w="1007"/>
            <w:shd w:fill="F8FAFB"/>
            <w:tcMar>
              <w:top w:w="70" w:type="dxa"/>
              <w:start w:w="90" w:type="dxa"/>
              <w:bottom w:w="70" w:type="dxa"/>
              <w:end w:w="90" w:type="dxa"/>
            </w:tcMar>
            <w:vAlign w:val="top"/>
          </w:tcPr>
          <w:p>
            <w:pPr>
              <w:spacing w:after="0" w:line="240" w:lineRule="auto"/>
            </w:pPr>
            <w:r>
              <w:rPr>
                <w:b/>
                <w:color w:val="15354A"/>
                <w:sz w:val="16"/>
              </w:rPr>
              <w:t>I-F04</w:t>
            </w:r>
          </w:p>
        </w:tc>
        <w:tc>
          <w:tcPr>
            <w:tcW w:type="dxa" w:w="2520"/>
            <w:shd w:fill="F8FAFB"/>
            <w:tcMar>
              <w:top w:w="70" w:type="dxa"/>
              <w:start w:w="90" w:type="dxa"/>
              <w:bottom w:w="70" w:type="dxa"/>
              <w:end w:w="90" w:type="dxa"/>
            </w:tcMar>
            <w:vAlign w:val="top"/>
          </w:tcPr>
          <w:p>
            <w:pPr>
              <w:spacing w:after="0" w:line="240" w:lineRule="auto"/>
            </w:pPr>
            <w:r>
              <w:rPr>
                <w:sz w:val="16"/>
              </w:rPr>
              <w:t>Mesh convergence</w:t>
            </w:r>
          </w:p>
        </w:tc>
        <w:tc>
          <w:tcPr>
            <w:tcW w:type="dxa" w:w="6263"/>
            <w:shd w:fill="F8FAFB"/>
            <w:tcMar>
              <w:top w:w="70" w:type="dxa"/>
              <w:start w:w="90" w:type="dxa"/>
              <w:bottom w:w="70" w:type="dxa"/>
              <w:end w:w="90" w:type="dxa"/>
            </w:tcMar>
            <w:vAlign w:val="top"/>
          </w:tcPr>
          <w:p>
            <w:pPr>
              <w:spacing w:after="0" w:line="240" w:lineRule="auto"/>
            </w:pPr>
            <w:r>
              <w:rPr>
                <w:sz w:val="16"/>
              </w:rPr>
              <w:t>At least three resolutions; extrapolate cutoff, spectra, and response-folded rate.</w:t>
            </w:r>
          </w:p>
        </w:tc>
      </w:tr>
      <w:tr>
        <w:trPr>
          <w:cantSplit/>
        </w:trPr>
        <w:tc>
          <w:tcPr>
            <w:tcW w:type="dxa" w:w="1007"/>
            <w:tcMar>
              <w:top w:w="70" w:type="dxa"/>
              <w:start w:w="90" w:type="dxa"/>
              <w:bottom w:w="70" w:type="dxa"/>
              <w:end w:w="90" w:type="dxa"/>
            </w:tcMar>
            <w:vAlign w:val="top"/>
          </w:tcPr>
          <w:p>
            <w:pPr>
              <w:spacing w:after="0" w:line="240" w:lineRule="auto"/>
            </w:pPr>
            <w:r>
              <w:rPr>
                <w:b/>
                <w:color w:val="15354A"/>
                <w:sz w:val="16"/>
              </w:rPr>
              <w:t>I-F05</w:t>
            </w:r>
          </w:p>
        </w:tc>
        <w:tc>
          <w:tcPr>
            <w:tcW w:type="dxa" w:w="2520"/>
            <w:tcMar>
              <w:top w:w="70" w:type="dxa"/>
              <w:start w:w="90" w:type="dxa"/>
              <w:bottom w:w="70" w:type="dxa"/>
              <w:end w:w="90" w:type="dxa"/>
            </w:tcMar>
            <w:vAlign w:val="top"/>
          </w:tcPr>
          <w:p>
            <w:pPr>
              <w:spacing w:after="0" w:line="240" w:lineRule="auto"/>
            </w:pPr>
            <w:r>
              <w:rPr>
                <w:sz w:val="16"/>
              </w:rPr>
              <w:t>Mover/time-step convergence</w:t>
            </w:r>
          </w:p>
        </w:tc>
        <w:tc>
          <w:tcPr>
            <w:tcW w:type="dxa" w:w="6263"/>
            <w:tcMar>
              <w:top w:w="70" w:type="dxa"/>
              <w:start w:w="90" w:type="dxa"/>
              <w:bottom w:w="70" w:type="dxa"/>
              <w:end w:w="90" w:type="dxa"/>
            </w:tcMar>
            <w:vAlign w:val="top"/>
          </w:tcPr>
          <w:p>
            <w:pPr>
              <w:spacing w:after="0" w:line="240" w:lineRule="auto"/>
            </w:pPr>
            <w:r>
              <w:rPr>
                <w:sz w:val="16"/>
              </w:rPr>
              <w:t>BORIS and RK4 reference cases; GC/HYBRID only inside documented validity domain.</w:t>
            </w:r>
          </w:p>
        </w:tc>
      </w:tr>
      <w:tr>
        <w:trPr>
          <w:cantSplit/>
        </w:trPr>
        <w:tc>
          <w:tcPr>
            <w:tcW w:type="dxa" w:w="1007"/>
            <w:shd w:fill="F8FAFB"/>
            <w:tcMar>
              <w:top w:w="70" w:type="dxa"/>
              <w:start w:w="90" w:type="dxa"/>
              <w:bottom w:w="70" w:type="dxa"/>
              <w:end w:w="90" w:type="dxa"/>
            </w:tcMar>
            <w:vAlign w:val="top"/>
          </w:tcPr>
          <w:p>
            <w:pPr>
              <w:spacing w:after="0" w:line="240" w:lineRule="auto"/>
            </w:pPr>
            <w:r>
              <w:rPr>
                <w:b/>
                <w:color w:val="15354A"/>
                <w:sz w:val="16"/>
              </w:rPr>
              <w:t>I-F06</w:t>
            </w:r>
          </w:p>
        </w:tc>
        <w:tc>
          <w:tcPr>
            <w:tcW w:type="dxa" w:w="2520"/>
            <w:shd w:fill="F8FAFB"/>
            <w:tcMar>
              <w:top w:w="70" w:type="dxa"/>
              <w:start w:w="90" w:type="dxa"/>
              <w:bottom w:w="70" w:type="dxa"/>
              <w:end w:w="90" w:type="dxa"/>
            </w:tcMar>
            <w:vAlign w:val="top"/>
          </w:tcPr>
          <w:p>
            <w:pPr>
              <w:spacing w:after="0" w:line="240" w:lineRule="auto"/>
            </w:pPr>
            <w:r>
              <w:rPr>
                <w:sz w:val="16"/>
              </w:rPr>
              <w:t>Parallel invariance</w:t>
            </w:r>
          </w:p>
        </w:tc>
        <w:tc>
          <w:tcPr>
            <w:tcW w:type="dxa" w:w="6263"/>
            <w:shd w:fill="F8FAFB"/>
            <w:tcMar>
              <w:top w:w="70" w:type="dxa"/>
              <w:start w:w="90" w:type="dxa"/>
              <w:bottom w:w="70" w:type="dxa"/>
              <w:end w:w="90" w:type="dxa"/>
            </w:tcMar>
            <w:vAlign w:val="top"/>
          </w:tcPr>
          <w:p>
            <w:pPr>
              <w:spacing w:after="0" w:line="240" w:lineRule="auto"/>
            </w:pPr>
            <w:r>
              <w:rPr>
                <w:sz w:val="16"/>
              </w:rPr>
              <w:t>1×1, 2×8, default 8×16; static/dynamic/block-cyclic schedulers; same task closure.</w:t>
            </w:r>
          </w:p>
        </w:tc>
      </w:tr>
      <w:tr>
        <w:trPr>
          <w:cantSplit/>
        </w:trPr>
        <w:tc>
          <w:tcPr>
            <w:tcW w:type="dxa" w:w="1007"/>
            <w:tcMar>
              <w:top w:w="70" w:type="dxa"/>
              <w:start w:w="90" w:type="dxa"/>
              <w:bottom w:w="70" w:type="dxa"/>
              <w:end w:w="90" w:type="dxa"/>
            </w:tcMar>
            <w:vAlign w:val="top"/>
          </w:tcPr>
          <w:p>
            <w:pPr>
              <w:spacing w:after="0" w:line="240" w:lineRule="auto"/>
            </w:pPr>
            <w:r>
              <w:rPr>
                <w:b/>
                <w:color w:val="15354A"/>
                <w:sz w:val="16"/>
              </w:rPr>
              <w:t>I-F07</w:t>
            </w:r>
          </w:p>
        </w:tc>
        <w:tc>
          <w:tcPr>
            <w:tcW w:type="dxa" w:w="2520"/>
            <w:tcMar>
              <w:top w:w="70" w:type="dxa"/>
              <w:start w:w="90" w:type="dxa"/>
              <w:bottom w:w="70" w:type="dxa"/>
              <w:end w:w="90" w:type="dxa"/>
            </w:tcMar>
            <w:vAlign w:val="top"/>
          </w:tcPr>
          <w:p>
            <w:pPr>
              <w:spacing w:after="0" w:line="240" w:lineRule="auto"/>
            </w:pPr>
            <w:r>
              <w:rPr>
                <w:sz w:val="16"/>
              </w:rPr>
              <w:t>Snapshot synchronization</w:t>
            </w:r>
          </w:p>
        </w:tc>
        <w:tc>
          <w:tcPr>
            <w:tcW w:type="dxa" w:w="6263"/>
            <w:tcMar>
              <w:top w:w="70" w:type="dxa"/>
              <w:start w:w="90" w:type="dxa"/>
              <w:bottom w:w="70" w:type="dxa"/>
              <w:end w:w="90" w:type="dxa"/>
            </w:tcMar>
            <w:vAlign w:val="top"/>
          </w:tcPr>
          <w:p>
            <w:pPr>
              <w:spacing w:after="0" w:line="240" w:lineRule="auto"/>
            </w:pPr>
            <w:r>
              <w:rPr>
                <w:sz w:val="16"/>
              </w:rPr>
              <w:t>Field epoch, boundary-spectrum epoch, ephemeris, and output timestamp must be identical by construction.</w:t>
            </w:r>
          </w:p>
        </w:tc>
      </w:tr>
      <w:tr>
        <w:trPr>
          <w:cantSplit/>
        </w:trPr>
        <w:tc>
          <w:tcPr>
            <w:tcW w:type="dxa" w:w="1007"/>
            <w:shd w:fill="F8FAFB"/>
            <w:tcMar>
              <w:top w:w="70" w:type="dxa"/>
              <w:start w:w="90" w:type="dxa"/>
              <w:bottom w:w="70" w:type="dxa"/>
              <w:end w:w="90" w:type="dxa"/>
            </w:tcMar>
            <w:vAlign w:val="top"/>
          </w:tcPr>
          <w:p>
            <w:pPr>
              <w:spacing w:after="0" w:line="240" w:lineRule="auto"/>
            </w:pPr>
            <w:r>
              <w:rPr>
                <w:b/>
                <w:color w:val="15354A"/>
                <w:sz w:val="16"/>
              </w:rPr>
              <w:t>I-F08</w:t>
            </w:r>
          </w:p>
        </w:tc>
        <w:tc>
          <w:tcPr>
            <w:tcW w:type="dxa" w:w="2520"/>
            <w:shd w:fill="F8FAFB"/>
            <w:tcMar>
              <w:top w:w="70" w:type="dxa"/>
              <w:start w:w="90" w:type="dxa"/>
              <w:bottom w:w="70" w:type="dxa"/>
              <w:end w:w="90" w:type="dxa"/>
            </w:tcMar>
            <w:vAlign w:val="top"/>
          </w:tcPr>
          <w:p>
            <w:pPr>
              <w:spacing w:after="0" w:line="240" w:lineRule="auto"/>
            </w:pPr>
            <w:r>
              <w:rPr>
                <w:sz w:val="16"/>
              </w:rPr>
              <w:t>Static backward/forward closure</w:t>
            </w:r>
          </w:p>
        </w:tc>
        <w:tc>
          <w:tcPr>
            <w:tcW w:type="dxa" w:w="6263"/>
            <w:shd w:fill="F8FAFB"/>
            <w:tcMar>
              <w:top w:w="70" w:type="dxa"/>
              <w:start w:w="90" w:type="dxa"/>
              <w:bottom w:w="70" w:type="dxa"/>
              <w:end w:w="90" w:type="dxa"/>
            </w:tcMar>
            <w:vAlign w:val="top"/>
          </w:tcPr>
          <w:p>
            <w:pPr>
              <w:spacing w:after="0" w:line="240" w:lineRule="auto"/>
            </w:pPr>
            <w:r>
              <w:rPr>
                <w:sz w:val="16"/>
              </w:rPr>
              <w:t>Uniform external isotropic population in a static field; compare steady density and surface flux.</w:t>
            </w:r>
          </w:p>
        </w:tc>
      </w:tr>
      <w:tr>
        <w:trPr>
          <w:cantSplit/>
        </w:trPr>
        <w:tc>
          <w:tcPr>
            <w:tcW w:type="dxa" w:w="1007"/>
            <w:tcMar>
              <w:top w:w="70" w:type="dxa"/>
              <w:start w:w="90" w:type="dxa"/>
              <w:bottom w:w="70" w:type="dxa"/>
              <w:end w:w="90" w:type="dxa"/>
            </w:tcMar>
            <w:vAlign w:val="top"/>
          </w:tcPr>
          <w:p>
            <w:pPr>
              <w:spacing w:after="0" w:line="240" w:lineRule="auto"/>
            </w:pPr>
            <w:r>
              <w:rPr>
                <w:b/>
                <w:color w:val="15354A"/>
                <w:sz w:val="16"/>
              </w:rPr>
              <w:t>I-F09</w:t>
            </w:r>
          </w:p>
        </w:tc>
        <w:tc>
          <w:tcPr>
            <w:tcW w:type="dxa" w:w="2520"/>
            <w:tcMar>
              <w:top w:w="70" w:type="dxa"/>
              <w:start w:w="90" w:type="dxa"/>
              <w:bottom w:w="70" w:type="dxa"/>
              <w:end w:w="90" w:type="dxa"/>
            </w:tcMar>
            <w:vAlign w:val="top"/>
          </w:tcPr>
          <w:p>
            <w:pPr>
              <w:spacing w:after="0" w:line="240" w:lineRule="auto"/>
            </w:pPr>
            <w:r>
              <w:rPr>
                <w:sz w:val="16"/>
              </w:rPr>
              <w:t>Dynamic reversible characteristic</w:t>
            </w:r>
          </w:p>
        </w:tc>
        <w:tc>
          <w:tcPr>
            <w:tcW w:type="dxa" w:w="6263"/>
            <w:tcMar>
              <w:top w:w="70" w:type="dxa"/>
              <w:start w:w="90" w:type="dxa"/>
              <w:bottom w:w="70" w:type="dxa"/>
              <w:end w:w="90" w:type="dxa"/>
            </w:tcMar>
            <w:vAlign w:val="top"/>
          </w:tcPr>
          <w:p>
            <w:pPr>
              <w:spacing w:after="0" w:line="240" w:lineRule="auto"/>
            </w:pPr>
            <w:r>
              <w:rPr>
                <w:sz w:val="16"/>
              </w:rPr>
              <w:t>Manufactured E(x,t),B(x,t); forward/backward map and intensity Jacobian closure.</w:t>
            </w:r>
          </w:p>
        </w:tc>
      </w:tr>
      <w:tr>
        <w:trPr>
          <w:cantSplit/>
        </w:trPr>
        <w:tc>
          <w:tcPr>
            <w:tcW w:type="dxa" w:w="1007"/>
            <w:shd w:fill="F8FAFB"/>
            <w:tcMar>
              <w:top w:w="70" w:type="dxa"/>
              <w:start w:w="90" w:type="dxa"/>
              <w:bottom w:w="70" w:type="dxa"/>
              <w:end w:w="90" w:type="dxa"/>
            </w:tcMar>
            <w:vAlign w:val="top"/>
          </w:tcPr>
          <w:p>
            <w:pPr>
              <w:spacing w:after="0" w:line="240" w:lineRule="auto"/>
            </w:pPr>
            <w:r>
              <w:rPr>
                <w:b/>
                <w:color w:val="15354A"/>
                <w:sz w:val="16"/>
              </w:rPr>
              <w:t>I-F10</w:t>
            </w:r>
          </w:p>
        </w:tc>
        <w:tc>
          <w:tcPr>
            <w:tcW w:type="dxa" w:w="2520"/>
            <w:shd w:fill="F8FAFB"/>
            <w:tcMar>
              <w:top w:w="70" w:type="dxa"/>
              <w:start w:w="90" w:type="dxa"/>
              <w:bottom w:w="70" w:type="dxa"/>
              <w:end w:w="90" w:type="dxa"/>
            </w:tcMar>
            <w:vAlign w:val="top"/>
          </w:tcPr>
          <w:p>
            <w:pPr>
              <w:spacing w:after="0" w:line="240" w:lineRule="auto"/>
            </w:pPr>
            <w:r>
              <w:rPr>
                <w:sz w:val="16"/>
              </w:rPr>
              <w:t>Instrument adapter integration</w:t>
            </w:r>
          </w:p>
        </w:tc>
        <w:tc>
          <w:tcPr>
            <w:tcW w:type="dxa" w:w="6263"/>
            <w:shd w:fill="F8FAFB"/>
            <w:tcMar>
              <w:top w:w="70" w:type="dxa"/>
              <w:start w:w="90" w:type="dxa"/>
              <w:bottom w:w="70" w:type="dxa"/>
              <w:end w:w="90" w:type="dxa"/>
            </w:tcMar>
            <w:vAlign w:val="top"/>
          </w:tcPr>
          <w:p>
            <w:pPr>
              <w:spacing w:after="0" w:line="240" w:lineRule="auto"/>
            </w:pPr>
            <w:r>
              <w:rPr>
                <w:sz w:val="16"/>
              </w:rPr>
              <w:t>Synthetic orbit/attitude/response file through the complete executable and comparison harness.</w:t>
            </w:r>
          </w:p>
        </w:tc>
      </w:tr>
    </w:tbl>
    <w:p>
      <w:pPr>
        <w:spacing w:after="0"/>
      </w:pPr>
    </w:p>
    <w:p>
      <w:pPr>
        <w:pStyle w:val="Heading1"/>
      </w:pPr>
      <w:bookmarkStart w:id="121" w:name="toc_section_22"/>
      <w:r>
        <w:t>7. F-test evolution plan</w:t>
      </w:r>
      <w:bookmarkEnd w:id="121"/>
    </w:p>
    <w:p>
      <w:r>
        <w:t>Preserve existing F identifiers and reference files so historical regression remains visible. Add missing cases only after the underlying kernel has a U-test; otherwise a failure will be expensive to diagnose. New runners should follow the repository contract: runnable from the AMPS root, support -h, emit explicit RESULT: PASS/FAIL, return nonzero on failure, and default to -np 8 and -nt 16. Existing F runners currently default to 4 MPI ranks and 16 threads; align them deliberately or record the legacy exception.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5354A"/>
            <w:tcMar>
              <w:top w:w="70" w:type="dxa"/>
              <w:start w:w="90" w:type="dxa"/>
              <w:bottom w:w="70" w:type="dxa"/>
              <w:end w:w="90" w:type="dxa"/>
            </w:tcMar>
            <w:vAlign w:val="center"/>
          </w:tcPr>
          <w:p>
            <w:pPr>
              <w:spacing w:after="0"/>
              <w:jc w:val="left"/>
            </w:pPr>
            <w:r>
              <w:rPr>
                <w:b/>
                <w:color w:val="FFFFFF"/>
                <w:sz w:val="16"/>
              </w:rPr>
              <w:t>Test</w:t>
            </w:r>
          </w:p>
        </w:tc>
        <w:tc>
          <w:tcPr>
            <w:tcW w:type="dxa" w:w="2160"/>
            <w:shd w:fill="15354A"/>
            <w:tcMar>
              <w:top w:w="70" w:type="dxa"/>
              <w:start w:w="90" w:type="dxa"/>
              <w:bottom w:w="70" w:type="dxa"/>
              <w:end w:w="90" w:type="dxa"/>
            </w:tcMar>
            <w:vAlign w:val="center"/>
          </w:tcPr>
          <w:p>
            <w:pPr>
              <w:spacing w:after="0"/>
              <w:jc w:val="left"/>
            </w:pPr>
            <w:r>
              <w:rPr>
                <w:b/>
                <w:color w:val="FFFFFF"/>
                <w:sz w:val="16"/>
              </w:rPr>
              <w:t>Disposition</w:t>
            </w:r>
          </w:p>
        </w:tc>
        <w:tc>
          <w:tcPr>
            <w:tcW w:type="dxa" w:w="6480"/>
            <w:shd w:fill="15354A"/>
            <w:tcMar>
              <w:top w:w="70" w:type="dxa"/>
              <w:start w:w="90" w:type="dxa"/>
              <w:bottom w:w="70" w:type="dxa"/>
              <w:end w:w="90" w:type="dxa"/>
            </w:tcMar>
            <w:vAlign w:val="center"/>
          </w:tcPr>
          <w:p>
            <w:pPr>
              <w:spacing w:after="0"/>
              <w:jc w:val="left"/>
            </w:pPr>
            <w:r>
              <w:rPr>
                <w:b/>
                <w:color w:val="FFFFFF"/>
                <w:sz w:val="16"/>
              </w:rPr>
              <w:t>Scope / acceptance intent</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F1–F5</w:t>
            </w:r>
          </w:p>
        </w:tc>
        <w:tc>
          <w:tcPr>
            <w:tcW w:type="dxa" w:w="2160"/>
            <w:tcMar>
              <w:top w:w="70" w:type="dxa"/>
              <w:start w:w="90" w:type="dxa"/>
              <w:bottom w:w="70" w:type="dxa"/>
              <w:end w:w="90" w:type="dxa"/>
            </w:tcMar>
            <w:vAlign w:val="top"/>
          </w:tcPr>
          <w:p>
            <w:pPr>
              <w:spacing w:after="0" w:line="240" w:lineRule="auto"/>
            </w:pPr>
            <w:r>
              <w:rPr>
                <w:sz w:val="16"/>
              </w:rPr>
              <w:t>Retain</w:t>
            </w:r>
          </w:p>
        </w:tc>
        <w:tc>
          <w:tcPr>
            <w:tcW w:type="dxa" w:w="6480"/>
            <w:tcMar>
              <w:top w:w="70" w:type="dxa"/>
              <w:start w:w="90" w:type="dxa"/>
              <w:bottom w:w="70" w:type="dxa"/>
              <w:end w:w="90" w:type="dxa"/>
            </w:tcMar>
            <w:vAlign w:val="top"/>
          </w:tcPr>
          <w:p>
            <w:pPr>
              <w:spacing w:after="0" w:line="240" w:lineRule="auto"/>
            </w:pPr>
            <w:r>
              <w:rPr>
                <w:sz w:val="16"/>
              </w:rPr>
              <w:t>Continue present zero-field, integration, dipole, reconstruction, and PAD cases; add lower/upper-bound columns where applicable.</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F6</w:t>
            </w:r>
          </w:p>
        </w:tc>
        <w:tc>
          <w:tcPr>
            <w:tcW w:type="dxa" w:w="2160"/>
            <w:shd w:fill="F8FAFB"/>
            <w:tcMar>
              <w:top w:w="70" w:type="dxa"/>
              <w:start w:w="90" w:type="dxa"/>
              <w:bottom w:w="70" w:type="dxa"/>
              <w:end w:w="90" w:type="dxa"/>
            </w:tcMar>
            <w:vAlign w:val="top"/>
          </w:tcPr>
          <w:p>
            <w:pPr>
              <w:spacing w:after="0" w:line="240" w:lineRule="auto"/>
            </w:pPr>
            <w:r>
              <w:rPr>
                <w:sz w:val="16"/>
              </w:rPr>
              <w:t>Implement</w:t>
            </w:r>
          </w:p>
        </w:tc>
        <w:tc>
          <w:tcPr>
            <w:tcW w:type="dxa" w:w="6480"/>
            <w:shd w:fill="F8FAFB"/>
            <w:tcMar>
              <w:top w:w="70" w:type="dxa"/>
              <w:start w:w="90" w:type="dxa"/>
              <w:bottom w:w="70" w:type="dxa"/>
              <w:end w:w="90" w:type="dxa"/>
            </w:tcMar>
            <w:vAlign w:val="top"/>
          </w:tcPr>
          <w:p>
            <w:pPr>
              <w:spacing w:after="0" w:line="240" w:lineRule="auto"/>
            </w:pPr>
            <w:r>
              <w:rPr>
                <w:sz w:val="16"/>
              </w:rPr>
              <w:t>Energy × angular quadrature convergence on zero-field and dipole access; demonstrate estimator and observed order.</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F7</w:t>
            </w:r>
          </w:p>
        </w:tc>
        <w:tc>
          <w:tcPr>
            <w:tcW w:type="dxa" w:w="2160"/>
            <w:tcMar>
              <w:top w:w="70" w:type="dxa"/>
              <w:start w:w="90" w:type="dxa"/>
              <w:bottom w:w="70" w:type="dxa"/>
              <w:end w:w="90" w:type="dxa"/>
            </w:tcMar>
            <w:vAlign w:val="top"/>
          </w:tcPr>
          <w:p>
            <w:pPr>
              <w:spacing w:after="0" w:line="240" w:lineRule="auto"/>
            </w:pPr>
            <w:r>
              <w:rPr>
                <w:sz w:val="16"/>
              </w:rPr>
              <w:t>Implement</w:t>
            </w:r>
          </w:p>
        </w:tc>
        <w:tc>
          <w:tcPr>
            <w:tcW w:type="dxa" w:w="6480"/>
            <w:tcMar>
              <w:top w:w="70" w:type="dxa"/>
              <w:start w:w="90" w:type="dxa"/>
              <w:bottom w:w="70" w:type="dxa"/>
              <w:end w:w="90" w:type="dxa"/>
            </w:tcMar>
            <w:vAlign w:val="top"/>
          </w:tcPr>
          <w:p>
            <w:pPr>
              <w:spacing w:after="0" w:line="240" w:lineRule="auto"/>
            </w:pPr>
            <w:r>
              <w:rPr>
                <w:sz w:val="16"/>
              </w:rPr>
              <w:t>Gridless–Mode3D flux/spectrum parity using a common field plus MPI/scheduler invariance.</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F8</w:t>
            </w:r>
          </w:p>
        </w:tc>
        <w:tc>
          <w:tcPr>
            <w:tcW w:type="dxa" w:w="2160"/>
            <w:shd w:fill="F8FAFB"/>
            <w:tcMar>
              <w:top w:w="70" w:type="dxa"/>
              <w:start w:w="90" w:type="dxa"/>
              <w:bottom w:w="70" w:type="dxa"/>
              <w:end w:w="90" w:type="dxa"/>
            </w:tcMar>
            <w:vAlign w:val="top"/>
          </w:tcPr>
          <w:p>
            <w:pPr>
              <w:spacing w:after="0" w:line="240" w:lineRule="auto"/>
            </w:pPr>
            <w:r>
              <w:rPr>
                <w:sz w:val="16"/>
              </w:rPr>
              <w:t>Implement / compatibility</w:t>
            </w:r>
          </w:p>
        </w:tc>
        <w:tc>
          <w:tcPr>
            <w:tcW w:type="dxa" w:w="6480"/>
            <w:shd w:fill="F8FAFB"/>
            <w:tcMar>
              <w:top w:w="70" w:type="dxa"/>
              <w:start w:w="90" w:type="dxa"/>
              <w:bottom w:w="70" w:type="dxa"/>
              <w:end w:w="90" w:type="dxa"/>
            </w:tcMar>
            <w:vAlign w:val="top"/>
          </w:tcPr>
          <w:p>
            <w:pPr>
              <w:spacing w:after="0" w:line="240" w:lineRule="auto"/>
            </w:pPr>
            <w:r>
              <w:rPr>
                <w:sz w:val="16"/>
              </w:rPr>
              <w:t>GOES GEO spectrum/time-series comparison through a versioned response adapter; no direct omnidirectional-to-telescope comparison.</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F9</w:t>
            </w:r>
          </w:p>
        </w:tc>
        <w:tc>
          <w:tcPr>
            <w:tcW w:type="dxa" w:w="2160"/>
            <w:tcMar>
              <w:top w:w="70" w:type="dxa"/>
              <w:start w:w="90" w:type="dxa"/>
              <w:bottom w:w="70" w:type="dxa"/>
              <w:end w:w="90" w:type="dxa"/>
            </w:tcMar>
            <w:vAlign w:val="top"/>
          </w:tcPr>
          <w:p>
            <w:pPr>
              <w:spacing w:after="0" w:line="240" w:lineRule="auto"/>
            </w:pPr>
            <w:r>
              <w:rPr>
                <w:sz w:val="16"/>
              </w:rPr>
              <w:t>Implement / compatibility</w:t>
            </w:r>
          </w:p>
        </w:tc>
        <w:tc>
          <w:tcPr>
            <w:tcW w:type="dxa" w:w="6480"/>
            <w:tcMar>
              <w:top w:w="70" w:type="dxa"/>
              <w:start w:w="90" w:type="dxa"/>
              <w:bottom w:w="70" w:type="dxa"/>
              <w:end w:w="90" w:type="dxa"/>
            </w:tcMar>
            <w:vAlign w:val="top"/>
          </w:tcPr>
          <w:p>
            <w:pPr>
              <w:spacing w:after="0" w:line="240" w:lineRule="auto"/>
            </w:pPr>
            <w:r>
              <w:rPr>
                <w:sz w:val="16"/>
              </w:rPr>
              <w:t>LEO PAMELA/AMS-class cutoff-transition spectra and integral-flux profile; preserve C9 cutoff comparison.</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F10</w:t>
            </w:r>
          </w:p>
        </w:tc>
        <w:tc>
          <w:tcPr>
            <w:tcW w:type="dxa" w:w="2160"/>
            <w:shd w:fill="F8FAFB"/>
            <w:tcMar>
              <w:top w:w="70" w:type="dxa"/>
              <w:start w:w="90" w:type="dxa"/>
              <w:bottom w:w="70" w:type="dxa"/>
              <w:end w:w="90" w:type="dxa"/>
            </w:tcMar>
            <w:vAlign w:val="top"/>
          </w:tcPr>
          <w:p>
            <w:pPr>
              <w:spacing w:after="0" w:line="240" w:lineRule="auto"/>
            </w:pPr>
            <w:r>
              <w:rPr>
                <w:sz w:val="16"/>
              </w:rPr>
              <w:t>Implement / compatibility</w:t>
            </w:r>
          </w:p>
        </w:tc>
        <w:tc>
          <w:tcPr>
            <w:tcW w:type="dxa" w:w="6480"/>
            <w:shd w:fill="F8FAFB"/>
            <w:tcMar>
              <w:top w:w="70" w:type="dxa"/>
              <w:start w:w="90" w:type="dxa"/>
              <w:bottom w:w="70" w:type="dxa"/>
              <w:end w:w="90" w:type="dxa"/>
            </w:tcMar>
            <w:vAlign w:val="top"/>
          </w:tcPr>
          <w:p>
            <w:pPr>
              <w:spacing w:after="0" w:line="240" w:lineRule="auto"/>
            </w:pPr>
            <w:r>
              <w:rPr>
                <w:sz w:val="16"/>
              </w:rPr>
              <w:t>POES/MetOp MEPED high-latitude boundary and channel-response comparison; preserve C10 event inputs.</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F11/F12</w:t>
            </w:r>
          </w:p>
        </w:tc>
        <w:tc>
          <w:tcPr>
            <w:tcW w:type="dxa" w:w="2160"/>
            <w:tcMar>
              <w:top w:w="70" w:type="dxa"/>
              <w:start w:w="90" w:type="dxa"/>
              <w:bottom w:w="70" w:type="dxa"/>
              <w:end w:w="90" w:type="dxa"/>
            </w:tcMar>
            <w:vAlign w:val="top"/>
          </w:tcPr>
          <w:p>
            <w:pPr>
              <w:spacing w:after="0" w:line="240" w:lineRule="auto"/>
            </w:pPr>
            <w:r>
              <w:rPr>
                <w:sz w:val="16"/>
              </w:rPr>
              <w:t>Retain + strengthen</w:t>
            </w:r>
          </w:p>
        </w:tc>
        <w:tc>
          <w:tcPr>
            <w:tcW w:type="dxa" w:w="6480"/>
            <w:tcMar>
              <w:top w:w="70" w:type="dxa"/>
              <w:start w:w="90" w:type="dxa"/>
              <w:bottom w:w="70" w:type="dxa"/>
              <w:end w:w="90" w:type="dxa"/>
            </w:tcMar>
            <w:vAlign w:val="top"/>
          </w:tcPr>
          <w:p>
            <w:pPr>
              <w:spacing w:after="0" w:line="240" w:lineRule="auto"/>
            </w:pPr>
            <w:r>
              <w:rPr>
                <w:sz w:val="16"/>
              </w:rPr>
              <w:t>Add normalized anisotropy conventions and analytic absolute moments, not only complementary identities.</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F13</w:t>
            </w:r>
          </w:p>
        </w:tc>
        <w:tc>
          <w:tcPr>
            <w:tcW w:type="dxa" w:w="2160"/>
            <w:shd w:fill="F8FAFB"/>
            <w:tcMar>
              <w:top w:w="70" w:type="dxa"/>
              <w:start w:w="90" w:type="dxa"/>
              <w:bottom w:w="70" w:type="dxa"/>
              <w:end w:w="90" w:type="dxa"/>
            </w:tcMar>
            <w:vAlign w:val="top"/>
          </w:tcPr>
          <w:p>
            <w:pPr>
              <w:spacing w:after="0" w:line="240" w:lineRule="auto"/>
            </w:pPr>
            <w:r>
              <w:rPr>
                <w:sz w:val="16"/>
              </w:rPr>
              <w:t>Implement</w:t>
            </w:r>
          </w:p>
        </w:tc>
        <w:tc>
          <w:tcPr>
            <w:tcW w:type="dxa" w:w="6480"/>
            <w:shd w:fill="F8FAFB"/>
            <w:tcMar>
              <w:top w:w="70" w:type="dxa"/>
              <w:start w:w="90" w:type="dxa"/>
              <w:bottom w:w="70" w:type="dxa"/>
              <w:end w:w="90" w:type="dxa"/>
            </w:tcMar>
            <w:vAlign w:val="top"/>
          </w:tcPr>
          <w:p>
            <w:pPr>
              <w:spacing w:after="0" w:line="240" w:lineRule="auto"/>
            </w:pPr>
            <w:r>
              <w:rPr>
                <w:sz w:val="16"/>
              </w:rPr>
              <w:t>MPI × OpenMP × scheduler reproducibility with exact trajectory/task closure and deterministic/reduction tolerances.</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F14</w:t>
            </w:r>
          </w:p>
        </w:tc>
        <w:tc>
          <w:tcPr>
            <w:tcW w:type="dxa" w:w="2160"/>
            <w:tcMar>
              <w:top w:w="70" w:type="dxa"/>
              <w:start w:w="90" w:type="dxa"/>
              <w:bottom w:w="70" w:type="dxa"/>
              <w:end w:w="90" w:type="dxa"/>
            </w:tcMar>
            <w:vAlign w:val="top"/>
          </w:tcPr>
          <w:p>
            <w:pPr>
              <w:spacing w:after="0" w:line="240" w:lineRule="auto"/>
            </w:pPr>
            <w:r>
              <w:rPr>
                <w:sz w:val="16"/>
              </w:rPr>
              <w:t>Implement</w:t>
            </w:r>
          </w:p>
        </w:tc>
        <w:tc>
          <w:tcPr>
            <w:tcW w:type="dxa" w:w="6480"/>
            <w:tcMar>
              <w:top w:w="70" w:type="dxa"/>
              <w:start w:w="90" w:type="dxa"/>
              <w:bottom w:w="70" w:type="dxa"/>
              <w:end w:w="90" w:type="dxa"/>
            </w:tcMar>
            <w:vAlign w:val="top"/>
          </w:tcPr>
          <w:p>
            <w:pPr>
              <w:spacing w:after="0" w:line="240" w:lineRule="auto"/>
            </w:pPr>
            <w:r>
              <w:rPr>
                <w:sz w:val="16"/>
              </w:rPr>
              <w:t>DIRECT vs SCAN vs true ADAPTIVE consistency and work/error tradeoff around a penumbra.</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F15/F16</w:t>
            </w:r>
          </w:p>
        </w:tc>
        <w:tc>
          <w:tcPr>
            <w:tcW w:type="dxa" w:w="2160"/>
            <w:shd w:fill="F8FAFB"/>
            <w:tcMar>
              <w:top w:w="70" w:type="dxa"/>
              <w:start w:w="90" w:type="dxa"/>
              <w:bottom w:w="70" w:type="dxa"/>
              <w:end w:w="90" w:type="dxa"/>
            </w:tcMar>
            <w:vAlign w:val="top"/>
          </w:tcPr>
          <w:p>
            <w:pPr>
              <w:spacing w:after="0" w:line="240" w:lineRule="auto"/>
            </w:pPr>
            <w:r>
              <w:rPr>
                <w:sz w:val="16"/>
              </w:rPr>
              <w:t>Retain</w:t>
            </w:r>
          </w:p>
        </w:tc>
        <w:tc>
          <w:tcPr>
            <w:tcW w:type="dxa" w:w="6480"/>
            <w:shd w:fill="F8FAFB"/>
            <w:tcMar>
              <w:top w:w="70" w:type="dxa"/>
              <w:start w:w="90" w:type="dxa"/>
              <w:bottom w:w="70" w:type="dxa"/>
              <w:end w:w="90" w:type="dxa"/>
            </w:tcMar>
            <w:vAlign w:val="top"/>
          </w:tcPr>
          <w:p>
            <w:pPr>
              <w:spacing w:after="0" w:line="240" w:lineRule="auto"/>
            </w:pPr>
            <w:r>
              <w:rPr>
                <w:sz w:val="16"/>
              </w:rPr>
              <w:t>Relativistic density normalization and all-blocked limit; add all-unresolved contrast case to U-F12/I-F03.</w:t>
            </w:r>
          </w:p>
        </w:tc>
      </w:tr>
      <w:tr>
        <w:trPr>
          <w:cantSplit/>
        </w:trPr>
        <w:tc>
          <w:tcPr>
            <w:tcW w:type="dxa" w:w="1152"/>
            <w:tcMar>
              <w:top w:w="70" w:type="dxa"/>
              <w:start w:w="90" w:type="dxa"/>
              <w:bottom w:w="70" w:type="dxa"/>
              <w:end w:w="90" w:type="dxa"/>
            </w:tcMar>
            <w:vAlign w:val="top"/>
          </w:tcPr>
          <w:p>
            <w:pPr>
              <w:spacing w:after="0" w:line="240" w:lineRule="auto"/>
            </w:pPr>
            <w:r>
              <w:rPr>
                <w:b/>
                <w:color w:val="15354A"/>
                <w:sz w:val="16"/>
              </w:rPr>
              <w:t>F17</w:t>
            </w:r>
          </w:p>
        </w:tc>
        <w:tc>
          <w:tcPr>
            <w:tcW w:type="dxa" w:w="2160"/>
            <w:tcMar>
              <w:top w:w="70" w:type="dxa"/>
              <w:start w:w="90" w:type="dxa"/>
              <w:bottom w:w="70" w:type="dxa"/>
              <w:end w:w="90" w:type="dxa"/>
            </w:tcMar>
            <w:vAlign w:val="top"/>
          </w:tcPr>
          <w:p>
            <w:pPr>
              <w:spacing w:after="0" w:line="240" w:lineRule="auto"/>
            </w:pPr>
            <w:r>
              <w:rPr>
                <w:sz w:val="16"/>
              </w:rPr>
              <w:t>Implement</w:t>
            </w:r>
          </w:p>
        </w:tc>
        <w:tc>
          <w:tcPr>
            <w:tcW w:type="dxa" w:w="6480"/>
            <w:tcMar>
              <w:top w:w="70" w:type="dxa"/>
              <w:start w:w="90" w:type="dxa"/>
              <w:bottom w:w="70" w:type="dxa"/>
              <w:end w:w="90" w:type="dxa"/>
            </w:tcMar>
            <w:vAlign w:val="top"/>
          </w:tcPr>
          <w:p>
            <w:pPr>
              <w:spacing w:after="0" w:line="240" w:lineRule="auto"/>
            </w:pPr>
            <w:r>
              <w:rPr>
                <w:sz w:val="16"/>
              </w:rPr>
              <w:t>Multi-instrument event closure: one boundary realization predicts GEO, LEO, and inner-magnetosphere measurements without platform scale factors.</w:t>
            </w:r>
          </w:p>
        </w:tc>
      </w:tr>
      <w:tr>
        <w:trPr>
          <w:cantSplit/>
        </w:trPr>
        <w:tc>
          <w:tcPr>
            <w:tcW w:type="dxa" w:w="1152"/>
            <w:shd w:fill="F8FAFB"/>
            <w:tcMar>
              <w:top w:w="70" w:type="dxa"/>
              <w:start w:w="90" w:type="dxa"/>
              <w:bottom w:w="70" w:type="dxa"/>
              <w:end w:w="90" w:type="dxa"/>
            </w:tcMar>
            <w:vAlign w:val="top"/>
          </w:tcPr>
          <w:p>
            <w:pPr>
              <w:spacing w:after="0" w:line="240" w:lineRule="auto"/>
            </w:pPr>
            <w:r>
              <w:rPr>
                <w:b/>
                <w:color w:val="15354A"/>
                <w:sz w:val="16"/>
              </w:rPr>
              <w:t>F18+</w:t>
            </w:r>
          </w:p>
        </w:tc>
        <w:tc>
          <w:tcPr>
            <w:tcW w:type="dxa" w:w="2160"/>
            <w:shd w:fill="F8FAFB"/>
            <w:tcMar>
              <w:top w:w="70" w:type="dxa"/>
              <w:start w:w="90" w:type="dxa"/>
              <w:bottom w:w="70" w:type="dxa"/>
              <w:end w:w="90" w:type="dxa"/>
            </w:tcMar>
            <w:vAlign w:val="top"/>
          </w:tcPr>
          <w:p>
            <w:pPr>
              <w:spacing w:after="0" w:line="240" w:lineRule="auto"/>
            </w:pPr>
            <w:r>
              <w:rPr>
                <w:sz w:val="16"/>
              </w:rPr>
              <w:t>After M5</w:t>
            </w:r>
          </w:p>
        </w:tc>
        <w:tc>
          <w:tcPr>
            <w:tcW w:type="dxa" w:w="6480"/>
            <w:shd w:fill="F8FAFB"/>
            <w:tcMar>
              <w:top w:w="70" w:type="dxa"/>
              <w:start w:w="90" w:type="dxa"/>
              <w:bottom w:w="70" w:type="dxa"/>
              <w:end w:w="90" w:type="dxa"/>
            </w:tcMar>
            <w:vAlign w:val="top"/>
          </w:tcPr>
          <w:p>
            <w:pPr>
              <w:spacing w:after="0" w:line="240" w:lineRule="auto"/>
            </w:pPr>
            <w:r>
              <w:rPr>
                <w:sz w:val="16"/>
              </w:rPr>
              <w:t>Backward/forward steady-state closure, dynamic E/B mapping, trapping/loss manufactured problems, and species extensions.</w:t>
            </w:r>
          </w:p>
        </w:tc>
      </w:tr>
    </w:tbl>
    <w:p>
      <w:pPr>
        <w:spacing w:after="0"/>
      </w:pPr>
    </w:p>
    <w:p>
      <w:pPr>
        <w:pStyle w:val="Heading2"/>
      </w:pPr>
      <w:bookmarkStart w:id="122" w:name="toc_section_23"/>
      <w:r>
        <w:t>7.1 Mandatory runner artifacts</w:t>
      </w:r>
      <w:bookmarkEnd w:id="122"/>
    </w:p>
    <w:p>
      <w:pPr>
        <w:pStyle w:val="ListBullet"/>
      </w:pPr>
      <w:r>
        <w:t>Rendered input, exact command, executable hash/revision, environment and MPI/thread/scheduler settings.</w:t>
      </w:r>
    </w:p>
    <w:p>
      <w:pPr>
        <w:pStyle w:val="ListBullet"/>
      </w:pPr>
      <w:r>
        <w:t>CSV/JSON summary with check ID, expected/observed value, tolerance, uncertainty, status, and reason for exclusion.</w:t>
      </w:r>
    </w:p>
    <w:p>
      <w:pPr>
        <w:pStyle w:val="ListBullet"/>
      </w:pPr>
      <w:r>
        <w:t>Termination-count closure and response-weighted unresolved fraction for every spectrum/channel.</w:t>
      </w:r>
    </w:p>
    <w:p>
      <w:pPr>
        <w:pStyle w:val="ListBullet"/>
      </w:pPr>
      <w:r>
        <w:t>Convergence table containing each refinement level; never report only the finest result.</w:t>
      </w:r>
    </w:p>
    <w:p>
      <w:pPr>
        <w:pStyle w:val="ListBullet"/>
      </w:pPr>
      <w:r>
        <w:t>Machine-readable RESULT plus process exit status; dry-run mode may validate paths and commands but cannot count as physics PASS.</w:t>
      </w:r>
    </w:p>
    <w:p>
      <w:pPr>
        <w:pStyle w:val="Heading1"/>
      </w:pPr>
      <w:bookmarkStart w:id="123" w:name="toc_section_24"/>
      <w:r>
        <w:t>8. Observation validation program</w:t>
      </w:r>
      <w:bookmarkEnd w:id="123"/>
    </w:p>
    <w:p>
      <w:r>
        <w:t>Observation validation must be event-based, multi-platform, and response-aware. The boundary spectrum cannot be tuned independently for every spacecraft. A single time-dependent boundary ensemble and field-driver set should predict all held-out locations, look directions, and channels within an event. Use observations both inside and outside the access boundary so the comparison tests absolute spectrum, transition location, directionality, and timing.</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12"/>
            <w:shd w:fill="15354A"/>
            <w:tcMar>
              <w:top w:w="70" w:type="dxa"/>
              <w:start w:w="90" w:type="dxa"/>
              <w:bottom w:w="70" w:type="dxa"/>
              <w:end w:w="90" w:type="dxa"/>
            </w:tcMar>
            <w:vAlign w:val="center"/>
          </w:tcPr>
          <w:p>
            <w:pPr>
              <w:spacing w:after="0"/>
              <w:jc w:val="left"/>
            </w:pPr>
            <w:r>
              <w:rPr>
                <w:b/>
                <w:color w:val="FFFFFF"/>
                <w:sz w:val="14"/>
              </w:rPr>
              <w:t>Campaign</w:t>
            </w:r>
          </w:p>
        </w:tc>
        <w:tc>
          <w:tcPr>
            <w:tcW w:type="dxa" w:w="1512"/>
            <w:shd w:fill="15354A"/>
            <w:tcMar>
              <w:top w:w="70" w:type="dxa"/>
              <w:start w:w="90" w:type="dxa"/>
              <w:bottom w:w="70" w:type="dxa"/>
              <w:end w:w="90" w:type="dxa"/>
            </w:tcMar>
            <w:vAlign w:val="center"/>
          </w:tcPr>
          <w:p>
            <w:pPr>
              <w:spacing w:after="0"/>
              <w:jc w:val="left"/>
            </w:pPr>
            <w:r>
              <w:rPr>
                <w:b/>
                <w:color w:val="FFFFFF"/>
                <w:sz w:val="14"/>
              </w:rPr>
              <w:t>Interval</w:t>
            </w:r>
          </w:p>
        </w:tc>
        <w:tc>
          <w:tcPr>
            <w:tcW w:type="dxa" w:w="3096"/>
            <w:shd w:fill="15354A"/>
            <w:tcMar>
              <w:top w:w="70" w:type="dxa"/>
              <w:start w:w="90" w:type="dxa"/>
              <w:bottom w:w="70" w:type="dxa"/>
              <w:end w:w="90" w:type="dxa"/>
            </w:tcMar>
            <w:vAlign w:val="center"/>
          </w:tcPr>
          <w:p>
            <w:pPr>
              <w:spacing w:after="0"/>
              <w:jc w:val="left"/>
            </w:pPr>
            <w:r>
              <w:rPr>
                <w:b/>
                <w:color w:val="FFFFFF"/>
                <w:sz w:val="14"/>
              </w:rPr>
              <w:t>Observations</w:t>
            </w:r>
          </w:p>
        </w:tc>
        <w:tc>
          <w:tcPr>
            <w:tcW w:type="dxa" w:w="2880"/>
            <w:shd w:fill="15354A"/>
            <w:tcMar>
              <w:top w:w="70" w:type="dxa"/>
              <w:start w:w="90" w:type="dxa"/>
              <w:bottom w:w="70" w:type="dxa"/>
              <w:end w:w="90" w:type="dxa"/>
            </w:tcMar>
            <w:vAlign w:val="center"/>
          </w:tcPr>
          <w:p>
            <w:pPr>
              <w:spacing w:after="0"/>
              <w:jc w:val="left"/>
            </w:pPr>
            <w:r>
              <w:rPr>
                <w:b/>
                <w:color w:val="FFFFFF"/>
                <w:sz w:val="14"/>
              </w:rPr>
              <w:t>Primary purpose</w:t>
            </w:r>
          </w:p>
        </w:tc>
        <w:tc>
          <w:tcPr>
            <w:tcW w:type="dxa" w:w="1944"/>
            <w:shd w:fill="15354A"/>
            <w:tcMar>
              <w:top w:w="70" w:type="dxa"/>
              <w:start w:w="90" w:type="dxa"/>
              <w:bottom w:w="70" w:type="dxa"/>
              <w:end w:w="90" w:type="dxa"/>
            </w:tcMar>
            <w:vAlign w:val="center"/>
          </w:tcPr>
          <w:p>
            <w:pPr>
              <w:spacing w:after="0"/>
              <w:jc w:val="left"/>
            </w:pPr>
            <w:r>
              <w:rPr>
                <w:b/>
                <w:color w:val="FFFFFF"/>
                <w:sz w:val="14"/>
              </w:rPr>
              <w:t>Role</w:t>
            </w:r>
          </w:p>
        </w:tc>
      </w:tr>
      <w:tr>
        <w:trPr>
          <w:cantSplit/>
        </w:trPr>
        <w:tc>
          <w:tcPr>
            <w:tcW w:type="dxa" w:w="1512"/>
            <w:tcMar>
              <w:top w:w="70" w:type="dxa"/>
              <w:start w:w="90" w:type="dxa"/>
              <w:bottom w:w="70" w:type="dxa"/>
              <w:end w:w="90" w:type="dxa"/>
            </w:tcMar>
            <w:vAlign w:val="top"/>
          </w:tcPr>
          <w:p>
            <w:pPr>
              <w:spacing w:after="0" w:line="240" w:lineRule="auto"/>
            </w:pPr>
            <w:r>
              <w:rPr>
                <w:b/>
                <w:color w:val="15354A"/>
                <w:sz w:val="14"/>
              </w:rPr>
              <w:t>O1 — Benchmark</w:t>
            </w:r>
          </w:p>
        </w:tc>
        <w:tc>
          <w:tcPr>
            <w:tcW w:type="dxa" w:w="1512"/>
            <w:tcMar>
              <w:top w:w="70" w:type="dxa"/>
              <w:start w:w="90" w:type="dxa"/>
              <w:bottom w:w="70" w:type="dxa"/>
              <w:end w:w="90" w:type="dxa"/>
            </w:tcMar>
            <w:vAlign w:val="top"/>
          </w:tcPr>
          <w:p>
            <w:pPr>
              <w:spacing w:after="0" w:line="240" w:lineRule="auto"/>
            </w:pPr>
            <w:r>
              <w:rPr>
                <w:sz w:val="14"/>
              </w:rPr>
              <w:t>13–15 Dec 2006 storm</w:t>
            </w:r>
          </w:p>
        </w:tc>
        <w:tc>
          <w:tcPr>
            <w:tcW w:type="dxa" w:w="3096"/>
            <w:tcMar>
              <w:top w:w="70" w:type="dxa"/>
              <w:start w:w="90" w:type="dxa"/>
              <w:bottom w:w="70" w:type="dxa"/>
              <w:end w:w="90" w:type="dxa"/>
            </w:tcMar>
            <w:vAlign w:val="top"/>
          </w:tcPr>
          <w:p>
            <w:pPr>
              <w:spacing w:after="0" w:line="240" w:lineRule="auto"/>
            </w:pPr>
            <w:r>
              <w:rPr>
                <w:sz w:val="14"/>
              </w:rPr>
              <w:t>PAMELA proton cutoff/transition measurements (&gt;80 MeV); POES/MetOp MEPED; GOES 10–12 where response is usable.</w:t>
            </w:r>
          </w:p>
        </w:tc>
        <w:tc>
          <w:tcPr>
            <w:tcW w:type="dxa" w:w="2880"/>
            <w:tcMar>
              <w:top w:w="70" w:type="dxa"/>
              <w:start w:w="90" w:type="dxa"/>
              <w:bottom w:w="70" w:type="dxa"/>
              <w:end w:w="90" w:type="dxa"/>
            </w:tcMar>
            <w:vAlign w:val="top"/>
          </w:tcPr>
          <w:p>
            <w:pPr>
              <w:spacing w:after="0" w:line="240" w:lineRule="auto"/>
            </w:pPr>
            <w:r>
              <w:rPr>
                <w:sz w:val="14"/>
              </w:rPr>
              <w:t>Establish LEO latitude/rigidity transition and cross-platform preprocessing. Existing C9/C10 assets provide a starting point.</w:t>
            </w:r>
          </w:p>
        </w:tc>
        <w:tc>
          <w:tcPr>
            <w:tcW w:type="dxa" w:w="1944"/>
            <w:tcMar>
              <w:top w:w="70" w:type="dxa"/>
              <w:start w:w="90" w:type="dxa"/>
              <w:bottom w:w="70" w:type="dxa"/>
              <w:end w:w="90" w:type="dxa"/>
            </w:tcMar>
            <w:vAlign w:val="top"/>
          </w:tcPr>
          <w:p>
            <w:pPr>
              <w:spacing w:after="0" w:line="240" w:lineRule="auto"/>
            </w:pPr>
            <w:r>
              <w:rPr>
                <w:sz w:val="14"/>
              </w:rPr>
              <w:t>Development/calibration: adapter and uncertainty tuning allowed, with changes logged.</w:t>
            </w:r>
          </w:p>
        </w:tc>
      </w:tr>
      <w:tr>
        <w:trPr>
          <w:cantSplit/>
        </w:trPr>
        <w:tc>
          <w:tcPr>
            <w:tcW w:type="dxa" w:w="1512"/>
            <w:shd w:fill="F8FAFB"/>
            <w:tcMar>
              <w:top w:w="70" w:type="dxa"/>
              <w:start w:w="90" w:type="dxa"/>
              <w:bottom w:w="70" w:type="dxa"/>
              <w:end w:w="90" w:type="dxa"/>
            </w:tcMar>
            <w:vAlign w:val="top"/>
          </w:tcPr>
          <w:p>
            <w:pPr>
              <w:spacing w:after="0" w:line="240" w:lineRule="auto"/>
            </w:pPr>
            <w:r>
              <w:rPr>
                <w:b/>
                <w:color w:val="15354A"/>
                <w:sz w:val="14"/>
              </w:rPr>
              <w:t>O2 — Directional</w:t>
            </w:r>
          </w:p>
        </w:tc>
        <w:tc>
          <w:tcPr>
            <w:tcW w:type="dxa" w:w="1512"/>
            <w:shd w:fill="F8FAFB"/>
            <w:tcMar>
              <w:top w:w="70" w:type="dxa"/>
              <w:start w:w="90" w:type="dxa"/>
              <w:bottom w:w="70" w:type="dxa"/>
              <w:end w:w="90" w:type="dxa"/>
            </w:tcMar>
            <w:vAlign w:val="top"/>
          </w:tcPr>
          <w:p>
            <w:pPr>
              <w:spacing w:after="0" w:line="240" w:lineRule="auto"/>
            </w:pPr>
            <w:r>
              <w:rPr>
                <w:sz w:val="14"/>
              </w:rPr>
              <w:t>17 May 2012 GLE71</w:t>
            </w:r>
          </w:p>
        </w:tc>
        <w:tc>
          <w:tcPr>
            <w:tcW w:type="dxa" w:w="3096"/>
            <w:shd w:fill="F8FAFB"/>
            <w:tcMar>
              <w:top w:w="70" w:type="dxa"/>
              <w:start w:w="90" w:type="dxa"/>
              <w:bottom w:w="70" w:type="dxa"/>
              <w:end w:w="90" w:type="dxa"/>
            </w:tcMar>
            <w:vAlign w:val="top"/>
          </w:tcPr>
          <w:p>
            <w:pPr>
              <w:spacing w:after="0" w:line="240" w:lineRule="auto"/>
            </w:pPr>
            <w:r>
              <w:rPr>
                <w:sz w:val="14"/>
              </w:rPr>
              <w:t>GOES-13 east/west telescopes and event geometry; existing C19 event configuration.</w:t>
            </w:r>
          </w:p>
        </w:tc>
        <w:tc>
          <w:tcPr>
            <w:tcW w:type="dxa" w:w="2880"/>
            <w:shd w:fill="F8FAFB"/>
            <w:tcMar>
              <w:top w:w="70" w:type="dxa"/>
              <w:start w:w="90" w:type="dxa"/>
              <w:bottom w:w="70" w:type="dxa"/>
              <w:end w:w="90" w:type="dxa"/>
            </w:tcMar>
            <w:vAlign w:val="top"/>
          </w:tcPr>
          <w:p>
            <w:pPr>
              <w:spacing w:after="0" w:line="240" w:lineRule="auto"/>
            </w:pPr>
            <w:r>
              <w:rPr>
                <w:sz w:val="14"/>
              </w:rPr>
              <w:t>Validate east–west access, aperture integration, pressure dependence, and unresolved directional support.</w:t>
            </w:r>
          </w:p>
        </w:tc>
        <w:tc>
          <w:tcPr>
            <w:tcW w:type="dxa" w:w="1944"/>
            <w:shd w:fill="F8FAFB"/>
            <w:tcMar>
              <w:top w:w="70" w:type="dxa"/>
              <w:start w:w="90" w:type="dxa"/>
              <w:bottom w:w="70" w:type="dxa"/>
              <w:end w:w="90" w:type="dxa"/>
            </w:tcMar>
            <w:vAlign w:val="top"/>
          </w:tcPr>
          <w:p>
            <w:pPr>
              <w:spacing w:after="0" w:line="240" w:lineRule="auto"/>
            </w:pPr>
            <w:r>
              <w:rPr>
                <w:sz w:val="14"/>
              </w:rPr>
              <w:t>Validation: no detector-specific scale factor; only preregistered response/calibration variants.</w:t>
            </w:r>
          </w:p>
        </w:tc>
      </w:tr>
      <w:tr>
        <w:trPr>
          <w:cantSplit/>
        </w:trPr>
        <w:tc>
          <w:tcPr>
            <w:tcW w:type="dxa" w:w="1512"/>
            <w:tcMar>
              <w:top w:w="70" w:type="dxa"/>
              <w:start w:w="90" w:type="dxa"/>
              <w:bottom w:w="70" w:type="dxa"/>
              <w:end w:w="90" w:type="dxa"/>
            </w:tcMar>
            <w:vAlign w:val="top"/>
          </w:tcPr>
          <w:p>
            <w:pPr>
              <w:spacing w:after="0" w:line="240" w:lineRule="auto"/>
            </w:pPr>
            <w:r>
              <w:rPr>
                <w:b/>
                <w:color w:val="15354A"/>
                <w:sz w:val="14"/>
              </w:rPr>
              <w:t>O3 — Inner magnetosphere</w:t>
            </w:r>
          </w:p>
        </w:tc>
        <w:tc>
          <w:tcPr>
            <w:tcW w:type="dxa" w:w="1512"/>
            <w:tcMar>
              <w:top w:w="70" w:type="dxa"/>
              <w:start w:w="90" w:type="dxa"/>
              <w:bottom w:w="70" w:type="dxa"/>
              <w:end w:w="90" w:type="dxa"/>
            </w:tcMar>
            <w:vAlign w:val="top"/>
          </w:tcPr>
          <w:p>
            <w:pPr>
              <w:spacing w:after="0" w:line="240" w:lineRule="auto"/>
            </w:pPr>
            <w:r>
              <w:rPr>
                <w:sz w:val="14"/>
              </w:rPr>
              <w:t>7–8 Sep 2017 storm</w:t>
            </w:r>
          </w:p>
        </w:tc>
        <w:tc>
          <w:tcPr>
            <w:tcW w:type="dxa" w:w="3096"/>
            <w:tcMar>
              <w:top w:w="70" w:type="dxa"/>
              <w:start w:w="90" w:type="dxa"/>
              <w:bottom w:w="70" w:type="dxa"/>
              <w:end w:w="90" w:type="dxa"/>
            </w:tcMar>
            <w:vAlign w:val="top"/>
          </w:tcPr>
          <w:p>
            <w:pPr>
              <w:spacing w:after="0" w:line="240" w:lineRule="auto"/>
            </w:pPr>
            <w:r>
              <w:rPr>
                <w:sz w:val="14"/>
              </w:rPr>
              <w:t>GOES-16 SGPS 1–500 MeV; Van Allen Probes REPT 20–200 MeV along L≈1.1–5.8; OMNI drivers; TS07 and global-MHD snapshots.</w:t>
            </w:r>
          </w:p>
        </w:tc>
        <w:tc>
          <w:tcPr>
            <w:tcW w:type="dxa" w:w="2880"/>
            <w:tcMar>
              <w:top w:w="70" w:type="dxa"/>
              <w:start w:w="90" w:type="dxa"/>
              <w:bottom w:w="70" w:type="dxa"/>
              <w:end w:w="90" w:type="dxa"/>
            </w:tcMar>
            <w:vAlign w:val="top"/>
          </w:tcPr>
          <w:p>
            <w:pPr>
              <w:spacing w:after="0" w:line="240" w:lineRule="auto"/>
            </w:pPr>
            <w:r>
              <w:rPr>
                <w:sz w:val="14"/>
              </w:rPr>
              <w:t>Primary spectra test across GEO and the equatorial inner magnetosphere; test ring-current/cutoff suppression and spectral shape.</w:t>
            </w:r>
          </w:p>
        </w:tc>
        <w:tc>
          <w:tcPr>
            <w:tcW w:type="dxa" w:w="1944"/>
            <w:tcMar>
              <w:top w:w="70" w:type="dxa"/>
              <w:start w:w="90" w:type="dxa"/>
              <w:bottom w:w="70" w:type="dxa"/>
              <w:end w:w="90" w:type="dxa"/>
            </w:tcMar>
            <w:vAlign w:val="top"/>
          </w:tcPr>
          <w:p>
            <w:pPr>
              <w:spacing w:after="0" w:line="240" w:lineRule="auto"/>
            </w:pPr>
            <w:r>
              <w:rPr>
                <w:sz w:val="14"/>
              </w:rPr>
              <w:t>Validation: boundary inferred independently or from demonstrably open/high-energy channels; Van Allen data held out.</w:t>
            </w:r>
          </w:p>
        </w:tc>
      </w:tr>
      <w:tr>
        <w:trPr>
          <w:cantSplit/>
        </w:trPr>
        <w:tc>
          <w:tcPr>
            <w:tcW w:type="dxa" w:w="1512"/>
            <w:shd w:fill="F8FAFB"/>
            <w:tcMar>
              <w:top w:w="70" w:type="dxa"/>
              <w:start w:w="90" w:type="dxa"/>
              <w:bottom w:w="70" w:type="dxa"/>
              <w:end w:w="90" w:type="dxa"/>
            </w:tcMar>
            <w:vAlign w:val="top"/>
          </w:tcPr>
          <w:p>
            <w:pPr>
              <w:spacing w:after="0" w:line="240" w:lineRule="auto"/>
            </w:pPr>
            <w:r>
              <w:rPr>
                <w:b/>
                <w:color w:val="15354A"/>
                <w:sz w:val="14"/>
              </w:rPr>
              <w:t>O4 — Frozen holdout</w:t>
            </w:r>
          </w:p>
        </w:tc>
        <w:tc>
          <w:tcPr>
            <w:tcW w:type="dxa" w:w="1512"/>
            <w:shd w:fill="F8FAFB"/>
            <w:tcMar>
              <w:top w:w="70" w:type="dxa"/>
              <w:start w:w="90" w:type="dxa"/>
              <w:bottom w:w="70" w:type="dxa"/>
              <w:end w:w="90" w:type="dxa"/>
            </w:tcMar>
            <w:vAlign w:val="top"/>
          </w:tcPr>
          <w:p>
            <w:pPr>
              <w:spacing w:after="0" w:line="240" w:lineRule="auto"/>
            </w:pPr>
            <w:r>
              <w:rPr>
                <w:sz w:val="14"/>
              </w:rPr>
              <w:t>One independent well-observed SEP storm selected at M0</w:t>
            </w:r>
          </w:p>
        </w:tc>
        <w:tc>
          <w:tcPr>
            <w:tcW w:type="dxa" w:w="3096"/>
            <w:shd w:fill="F8FAFB"/>
            <w:tcMar>
              <w:top w:w="70" w:type="dxa"/>
              <w:start w:w="90" w:type="dxa"/>
              <w:bottom w:w="70" w:type="dxa"/>
              <w:end w:w="90" w:type="dxa"/>
            </w:tcMar>
            <w:vAlign w:val="top"/>
          </w:tcPr>
          <w:p>
            <w:pPr>
              <w:spacing w:after="0" w:line="240" w:lineRule="auto"/>
            </w:pPr>
            <w:r>
              <w:rPr>
                <w:sz w:val="14"/>
              </w:rPr>
              <w:t>At least one GEO and one LEO platform with public response/calibration and complete drivers.</w:t>
            </w:r>
          </w:p>
        </w:tc>
        <w:tc>
          <w:tcPr>
            <w:tcW w:type="dxa" w:w="2880"/>
            <w:shd w:fill="F8FAFB"/>
            <w:tcMar>
              <w:top w:w="70" w:type="dxa"/>
              <w:start w:w="90" w:type="dxa"/>
              <w:bottom w:w="70" w:type="dxa"/>
              <w:end w:w="90" w:type="dxa"/>
            </w:tcMar>
            <w:vAlign w:val="top"/>
          </w:tcPr>
          <w:p>
            <w:pPr>
              <w:spacing w:after="0" w:line="240" w:lineRule="auto"/>
            </w:pPr>
            <w:r>
              <w:rPr>
                <w:sz w:val="14"/>
              </w:rPr>
              <w:t>Prospective generalization test after code, thresholds, and exclusions are frozen.</w:t>
            </w:r>
          </w:p>
        </w:tc>
        <w:tc>
          <w:tcPr>
            <w:tcW w:type="dxa" w:w="1944"/>
            <w:shd w:fill="F8FAFB"/>
            <w:tcMar>
              <w:top w:w="70" w:type="dxa"/>
              <w:start w:w="90" w:type="dxa"/>
              <w:bottom w:w="70" w:type="dxa"/>
              <w:end w:w="90" w:type="dxa"/>
            </w:tcMar>
            <w:vAlign w:val="top"/>
          </w:tcPr>
          <w:p>
            <w:pPr>
              <w:spacing w:after="0" w:line="240" w:lineRule="auto"/>
            </w:pPr>
            <w:r>
              <w:rPr>
                <w:sz w:val="14"/>
              </w:rPr>
              <w:t>Blind/holdout: no retuning; failure is reported, not absorbed into a new normalization.</w:t>
            </w:r>
          </w:p>
        </w:tc>
      </w:tr>
    </w:tbl>
    <w:p>
      <w:pPr>
        <w:spacing w:after="0"/>
      </w:pPr>
    </w:p>
    <w:p>
      <w:pPr>
        <w:pStyle w:val="Heading2"/>
      </w:pPr>
      <w:bookmarkStart w:id="124" w:name="toc_section_25"/>
      <w:r>
        <w:t>8.1 Data and comparison protocol</w:t>
      </w:r>
      <w:bookmarkEnd w:id="124"/>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5"/>
            <w:shd w:fill="15354A"/>
            <w:tcMar>
              <w:top w:w="70" w:type="dxa"/>
              <w:start w:w="90" w:type="dxa"/>
              <w:bottom w:w="70" w:type="dxa"/>
              <w:end w:w="90" w:type="dxa"/>
            </w:tcMar>
            <w:vAlign w:val="center"/>
          </w:tcPr>
          <w:p>
            <w:pPr>
              <w:spacing w:after="0"/>
              <w:jc w:val="left"/>
            </w:pPr>
            <w:r>
              <w:rPr>
                <w:b/>
                <w:color w:val="FFFFFF"/>
                <w:sz w:val="16"/>
              </w:rPr>
              <w:t>Element</w:t>
            </w:r>
          </w:p>
        </w:tc>
        <w:tc>
          <w:tcPr>
            <w:tcW w:type="dxa" w:w="8136"/>
            <w:shd w:fill="15354A"/>
            <w:tcMar>
              <w:top w:w="70" w:type="dxa"/>
              <w:start w:w="90" w:type="dxa"/>
              <w:bottom w:w="70" w:type="dxa"/>
              <w:end w:w="90" w:type="dxa"/>
            </w:tcMar>
            <w:vAlign w:val="center"/>
          </w:tcPr>
          <w:p>
            <w:pPr>
              <w:spacing w:after="0"/>
              <w:jc w:val="left"/>
            </w:pPr>
            <w:r>
              <w:rPr>
                <w:b/>
                <w:color w:val="FFFFFF"/>
                <w:sz w:val="16"/>
              </w:rPr>
              <w:t>Protocol</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Boundary</w:t>
            </w:r>
          </w:p>
        </w:tc>
        <w:tc>
          <w:tcPr>
            <w:tcW w:type="dxa" w:w="8136"/>
            <w:tcMar>
              <w:top w:w="70" w:type="dxa"/>
              <w:start w:w="90" w:type="dxa"/>
              <w:bottom w:w="70" w:type="dxa"/>
              <w:end w:w="90" w:type="dxa"/>
            </w:tcMar>
            <w:vAlign w:val="top"/>
          </w:tcPr>
          <w:p>
            <w:pPr>
              <w:spacing w:after="0" w:line="240" w:lineRule="auto"/>
            </w:pPr>
            <w:r>
              <w:rPr>
                <w:sz w:val="16"/>
              </w:rPr>
              <w:t>Prefer an independent interplanetary/high-latitude spectrum (ACE/SIS, SOHO/ERNE, open-field plateau, or high-energy GEO channel shown to have A≈1). Never use the same inner-magnetosphere sample as both boundary and validation target.</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Fields</w:t>
            </w:r>
          </w:p>
        </w:tc>
        <w:tc>
          <w:tcPr>
            <w:tcW w:type="dxa" w:w="8136"/>
            <w:shd w:fill="F8FAFB"/>
            <w:tcMar>
              <w:top w:w="70" w:type="dxa"/>
              <w:start w:w="90" w:type="dxa"/>
              <w:bottom w:w="70" w:type="dxa"/>
              <w:end w:w="90" w:type="dxa"/>
            </w:tcMar>
            <w:vAlign w:val="top"/>
          </w:tcPr>
          <w:p>
            <w:pPr>
              <w:spacing w:after="0" w:line="240" w:lineRule="auto"/>
            </w:pPr>
            <w:r>
              <w:rPr>
                <w:sz w:val="16"/>
              </w:rPr>
              <w:t>Run at least one accepted empirical model and the relevant MHD snapshot set. Validate field state against local magnetometer data where available before attributing particle residuals to transport.</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Coordinates</w:t>
            </w:r>
          </w:p>
        </w:tc>
        <w:tc>
          <w:tcPr>
            <w:tcW w:type="dxa" w:w="8136"/>
            <w:tcMar>
              <w:top w:w="70" w:type="dxa"/>
              <w:start w:w="90" w:type="dxa"/>
              <w:bottom w:w="70" w:type="dxa"/>
              <w:end w:w="90" w:type="dxa"/>
            </w:tcMar>
            <w:vAlign w:val="top"/>
          </w:tcPr>
          <w:p>
            <w:pPr>
              <w:spacing w:after="0" w:line="240" w:lineRule="auto"/>
            </w:pPr>
            <w:r>
              <w:rPr>
                <w:sz w:val="16"/>
              </w:rPr>
              <w:t>Archive spacecraft ephemeris, attitude, frame transforms, magnetic coordinates, and model epoch. Use one authoritative time standard.</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Instrument</w:t>
            </w:r>
          </w:p>
        </w:tc>
        <w:tc>
          <w:tcPr>
            <w:tcW w:type="dxa" w:w="8136"/>
            <w:shd w:fill="F8FAFB"/>
            <w:tcMar>
              <w:top w:w="70" w:type="dxa"/>
              <w:start w:w="90" w:type="dxa"/>
              <w:bottom w:w="70" w:type="dxa"/>
              <w:end w:w="90" w:type="dxa"/>
            </w:tcMar>
            <w:vAlign w:val="top"/>
          </w:tcPr>
          <w:p>
            <w:pPr>
              <w:spacing w:after="0" w:line="240" w:lineRule="auto"/>
            </w:pPr>
            <w:r>
              <w:rPr>
                <w:sz w:val="16"/>
              </w:rPr>
              <w:t>Ingest released quality flags, response matrices/effective areas, angular apertures, calibration version, contamination/background rules, and live-time metadata.</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Cadence</w:t>
            </w:r>
          </w:p>
        </w:tc>
        <w:tc>
          <w:tcPr>
            <w:tcW w:type="dxa" w:w="8136"/>
            <w:tcMar>
              <w:top w:w="70" w:type="dxa"/>
              <w:start w:w="90" w:type="dxa"/>
              <w:bottom w:w="70" w:type="dxa"/>
              <w:end w:w="90" w:type="dxa"/>
            </w:tcMar>
            <w:vAlign w:val="top"/>
          </w:tcPr>
          <w:p>
            <w:pPr>
              <w:spacing w:after="0" w:line="240" w:lineRule="auto"/>
            </w:pPr>
            <w:r>
              <w:rPr>
                <w:sz w:val="16"/>
              </w:rPr>
              <w:t>Integrate model predictions over each data accumulation window; do not compare an instantaneous snapshot to a long exposure without sensitivity analysis.</w:t>
            </w:r>
          </w:p>
        </w:tc>
      </w:tr>
      <w:tr>
        <w:trPr>
          <w:cantSplit/>
        </w:trPr>
        <w:tc>
          <w:tcPr>
            <w:tcW w:type="dxa" w:w="1655"/>
            <w:shd w:fill="F8FAFB"/>
            <w:tcMar>
              <w:top w:w="70" w:type="dxa"/>
              <w:start w:w="90" w:type="dxa"/>
              <w:bottom w:w="70" w:type="dxa"/>
              <w:end w:w="90" w:type="dxa"/>
            </w:tcMar>
            <w:vAlign w:val="top"/>
          </w:tcPr>
          <w:p>
            <w:pPr>
              <w:spacing w:after="0" w:line="240" w:lineRule="auto"/>
            </w:pPr>
            <w:r>
              <w:rPr>
                <w:b/>
                <w:color w:val="15354A"/>
                <w:sz w:val="16"/>
              </w:rPr>
              <w:t>Statistics</w:t>
            </w:r>
          </w:p>
        </w:tc>
        <w:tc>
          <w:tcPr>
            <w:tcW w:type="dxa" w:w="8136"/>
            <w:shd w:fill="F8FAFB"/>
            <w:tcMar>
              <w:top w:w="70" w:type="dxa"/>
              <w:start w:w="90" w:type="dxa"/>
              <w:bottom w:w="70" w:type="dxa"/>
              <w:end w:w="90" w:type="dxa"/>
            </w:tcMar>
            <w:vAlign w:val="top"/>
          </w:tcPr>
          <w:p>
            <w:pPr>
              <w:spacing w:after="0" w:line="240" w:lineRule="auto"/>
            </w:pPr>
            <w:r>
              <w:rPr>
                <w:sz w:val="16"/>
              </w:rPr>
              <w:t>Score in log-intensity/count space, report signed bias and absolute error, bootstrap by time blocks/orbit passes, and retain correlated uncertainty across channels.</w:t>
            </w:r>
          </w:p>
        </w:tc>
      </w:tr>
      <w:tr>
        <w:trPr>
          <w:cantSplit/>
        </w:trPr>
        <w:tc>
          <w:tcPr>
            <w:tcW w:type="dxa" w:w="1655"/>
            <w:tcMar>
              <w:top w:w="70" w:type="dxa"/>
              <w:start w:w="90" w:type="dxa"/>
              <w:bottom w:w="70" w:type="dxa"/>
              <w:end w:w="90" w:type="dxa"/>
            </w:tcMar>
            <w:vAlign w:val="top"/>
          </w:tcPr>
          <w:p>
            <w:pPr>
              <w:spacing w:after="0" w:line="240" w:lineRule="auto"/>
            </w:pPr>
            <w:r>
              <w:rPr>
                <w:b/>
                <w:color w:val="15354A"/>
                <w:sz w:val="16"/>
              </w:rPr>
              <w:t>Blinding</w:t>
            </w:r>
          </w:p>
        </w:tc>
        <w:tc>
          <w:tcPr>
            <w:tcW w:type="dxa" w:w="8136"/>
            <w:tcMar>
              <w:top w:w="70" w:type="dxa"/>
              <w:start w:w="90" w:type="dxa"/>
              <w:bottom w:w="70" w:type="dxa"/>
              <w:end w:w="90" w:type="dxa"/>
            </w:tcMar>
            <w:vAlign w:val="top"/>
          </w:tcPr>
          <w:p>
            <w:pPr>
              <w:spacing w:after="0" w:line="240" w:lineRule="auto"/>
            </w:pPr>
            <w:r>
              <w:rPr>
                <w:sz w:val="16"/>
              </w:rPr>
              <w:t>Freeze event windows, channels, spatial masks, data exclusions, thresholds, and boundary inference before O4. Publish all exclusions and missing-data intervals.</w:t>
            </w:r>
          </w:p>
        </w:tc>
      </w:tr>
    </w:tbl>
    <w:p>
      <w:pPr>
        <w:spacing w:after="0"/>
      </w:pPr>
    </w:p>
    <w:p>
      <w:pPr>
        <w:pStyle w:val="Heading2"/>
      </w:pPr>
      <w:bookmarkStart w:id="125" w:name="toc_section_26"/>
      <w:r>
        <w:t>8.2 Observation metrics</w:t>
      </w:r>
      <w:bookmarkEnd w:id="125"/>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5354A"/>
            <w:tcMar>
              <w:top w:w="70" w:type="dxa"/>
              <w:start w:w="90" w:type="dxa"/>
              <w:bottom w:w="70" w:type="dxa"/>
              <w:end w:w="90" w:type="dxa"/>
            </w:tcMar>
            <w:vAlign w:val="center"/>
          </w:tcPr>
          <w:p>
            <w:pPr>
              <w:spacing w:after="0"/>
              <w:jc w:val="left"/>
            </w:pPr>
            <w:r>
              <w:rPr>
                <w:b/>
                <w:color w:val="FFFFFF"/>
                <w:sz w:val="16"/>
              </w:rPr>
              <w:t>Target</w:t>
            </w:r>
          </w:p>
        </w:tc>
        <w:tc>
          <w:tcPr>
            <w:tcW w:type="dxa" w:w="3816"/>
            <w:shd w:fill="15354A"/>
            <w:tcMar>
              <w:top w:w="70" w:type="dxa"/>
              <w:start w:w="90" w:type="dxa"/>
              <w:bottom w:w="70" w:type="dxa"/>
              <w:end w:w="90" w:type="dxa"/>
            </w:tcMar>
            <w:vAlign w:val="center"/>
          </w:tcPr>
          <w:p>
            <w:pPr>
              <w:spacing w:after="0"/>
              <w:jc w:val="left"/>
            </w:pPr>
            <w:r>
              <w:rPr>
                <w:b/>
                <w:color w:val="FFFFFF"/>
                <w:sz w:val="16"/>
              </w:rPr>
              <w:t>Metric</w:t>
            </w:r>
          </w:p>
        </w:tc>
        <w:tc>
          <w:tcPr>
            <w:tcW w:type="dxa" w:w="3960"/>
            <w:shd w:fill="15354A"/>
            <w:tcMar>
              <w:top w:w="70" w:type="dxa"/>
              <w:start w:w="90" w:type="dxa"/>
              <w:bottom w:w="70" w:type="dxa"/>
              <w:end w:w="90" w:type="dxa"/>
            </w:tcMar>
            <w:vAlign w:val="center"/>
          </w:tcPr>
          <w:p>
            <w:pPr>
              <w:spacing w:after="0"/>
              <w:jc w:val="left"/>
            </w:pPr>
            <w:r>
              <w:rPr>
                <w:b/>
                <w:color w:val="FFFFFF"/>
                <w:sz w:val="16"/>
              </w:rPr>
              <w:t>Provisional gate</w:t>
            </w:r>
          </w:p>
        </w:tc>
      </w:tr>
      <w:tr>
        <w:trPr>
          <w:cantSplit/>
        </w:trPr>
        <w:tc>
          <w:tcPr>
            <w:tcW w:type="dxa" w:w="2015"/>
            <w:tcMar>
              <w:top w:w="70" w:type="dxa"/>
              <w:start w:w="90" w:type="dxa"/>
              <w:bottom w:w="70" w:type="dxa"/>
              <w:end w:w="90" w:type="dxa"/>
            </w:tcMar>
            <w:vAlign w:val="top"/>
          </w:tcPr>
          <w:p>
            <w:pPr>
              <w:spacing w:after="0" w:line="240" w:lineRule="auto"/>
            </w:pPr>
            <w:r>
              <w:rPr>
                <w:b/>
                <w:color w:val="15354A"/>
                <w:sz w:val="16"/>
              </w:rPr>
              <w:t>Spectrum amplitude</w:t>
            </w:r>
          </w:p>
        </w:tc>
        <w:tc>
          <w:tcPr>
            <w:tcW w:type="dxa" w:w="3816"/>
            <w:tcMar>
              <w:top w:w="70" w:type="dxa"/>
              <w:start w:w="90" w:type="dxa"/>
              <w:bottom w:w="70" w:type="dxa"/>
              <w:end w:w="90" w:type="dxa"/>
            </w:tcMar>
            <w:vAlign w:val="top"/>
          </w:tcPr>
          <w:p>
            <w:pPr>
              <w:spacing w:after="0" w:line="240" w:lineRule="auto"/>
            </w:pPr>
            <w:r>
              <w:rPr>
                <w:sz w:val="16"/>
              </w:rPr>
              <w:t>median |log10(model/observation)|</w:t>
            </w:r>
          </w:p>
        </w:tc>
        <w:tc>
          <w:tcPr>
            <w:tcW w:type="dxa" w:w="3960"/>
            <w:tcMar>
              <w:top w:w="70" w:type="dxa"/>
              <w:start w:w="90" w:type="dxa"/>
              <w:bottom w:w="70" w:type="dxa"/>
              <w:end w:w="90" w:type="dxa"/>
            </w:tcMar>
            <w:vAlign w:val="top"/>
          </w:tcPr>
          <w:p>
            <w:pPr>
              <w:spacing w:after="0" w:line="240" w:lineRule="auto"/>
            </w:pPr>
            <w:r>
              <w:rPr>
                <w:sz w:val="16"/>
              </w:rPr>
              <w:t>≤0.30 (factor of 2) pooled; also report each platform/event.</w:t>
            </w:r>
          </w:p>
        </w:tc>
      </w:tr>
      <w:tr>
        <w:trPr>
          <w:cantSplit/>
        </w:trPr>
        <w:tc>
          <w:tcPr>
            <w:tcW w:type="dxa" w:w="2015"/>
            <w:shd w:fill="F8FAFB"/>
            <w:tcMar>
              <w:top w:w="70" w:type="dxa"/>
              <w:start w:w="90" w:type="dxa"/>
              <w:bottom w:w="70" w:type="dxa"/>
              <w:end w:w="90" w:type="dxa"/>
            </w:tcMar>
            <w:vAlign w:val="top"/>
          </w:tcPr>
          <w:p>
            <w:pPr>
              <w:spacing w:after="0" w:line="240" w:lineRule="auto"/>
            </w:pPr>
            <w:r>
              <w:rPr>
                <w:b/>
                <w:color w:val="15354A"/>
                <w:sz w:val="16"/>
              </w:rPr>
              <w:t>Spectral shape</w:t>
            </w:r>
          </w:p>
        </w:tc>
        <w:tc>
          <w:tcPr>
            <w:tcW w:type="dxa" w:w="3816"/>
            <w:shd w:fill="F8FAFB"/>
            <w:tcMar>
              <w:top w:w="70" w:type="dxa"/>
              <w:start w:w="90" w:type="dxa"/>
              <w:bottom w:w="70" w:type="dxa"/>
              <w:end w:w="90" w:type="dxa"/>
            </w:tcMar>
            <w:vAlign w:val="top"/>
          </w:tcPr>
          <w:p>
            <w:pPr>
              <w:spacing w:after="0" w:line="240" w:lineRule="auto"/>
            </w:pPr>
            <w:r>
              <w:rPr>
                <w:sz w:val="16"/>
              </w:rPr>
              <w:t>difference in fitted log–log slope over response-supported interval</w:t>
            </w:r>
          </w:p>
        </w:tc>
        <w:tc>
          <w:tcPr>
            <w:tcW w:type="dxa" w:w="3960"/>
            <w:shd w:fill="F8FAFB"/>
            <w:tcMar>
              <w:top w:w="70" w:type="dxa"/>
              <w:start w:w="90" w:type="dxa"/>
              <w:bottom w:w="70" w:type="dxa"/>
              <w:end w:w="90" w:type="dxa"/>
            </w:tcMar>
            <w:vAlign w:val="top"/>
          </w:tcPr>
          <w:p>
            <w:pPr>
              <w:spacing w:after="0" w:line="240" w:lineRule="auto"/>
            </w:pPr>
            <w:r>
              <w:rPr>
                <w:sz w:val="16"/>
              </w:rPr>
              <w:t>|Δγ|≤0.5 where ≥3 independent channels are valid.</w:t>
            </w:r>
          </w:p>
        </w:tc>
      </w:tr>
      <w:tr>
        <w:trPr>
          <w:cantSplit/>
        </w:trPr>
        <w:tc>
          <w:tcPr>
            <w:tcW w:type="dxa" w:w="2015"/>
            <w:tcMar>
              <w:top w:w="70" w:type="dxa"/>
              <w:start w:w="90" w:type="dxa"/>
              <w:bottom w:w="70" w:type="dxa"/>
              <w:end w:w="90" w:type="dxa"/>
            </w:tcMar>
            <w:vAlign w:val="top"/>
          </w:tcPr>
          <w:p>
            <w:pPr>
              <w:spacing w:after="0" w:line="240" w:lineRule="auto"/>
            </w:pPr>
            <w:r>
              <w:rPr>
                <w:b/>
                <w:color w:val="15354A"/>
                <w:sz w:val="16"/>
              </w:rPr>
              <w:t>Bin success</w:t>
            </w:r>
          </w:p>
        </w:tc>
        <w:tc>
          <w:tcPr>
            <w:tcW w:type="dxa" w:w="3816"/>
            <w:tcMar>
              <w:top w:w="70" w:type="dxa"/>
              <w:start w:w="90" w:type="dxa"/>
              <w:bottom w:w="70" w:type="dxa"/>
              <w:end w:w="90" w:type="dxa"/>
            </w:tcMar>
            <w:vAlign w:val="top"/>
          </w:tcPr>
          <w:p>
            <w:pPr>
              <w:spacing w:after="0" w:line="240" w:lineRule="auto"/>
            </w:pPr>
            <w:r>
              <w:rPr>
                <w:sz w:val="16"/>
              </w:rPr>
              <w:t>fraction of valid channel-times within factor 2</w:t>
            </w:r>
          </w:p>
        </w:tc>
        <w:tc>
          <w:tcPr>
            <w:tcW w:type="dxa" w:w="3960"/>
            <w:tcMar>
              <w:top w:w="70" w:type="dxa"/>
              <w:start w:w="90" w:type="dxa"/>
              <w:bottom w:w="70" w:type="dxa"/>
              <w:end w:w="90" w:type="dxa"/>
            </w:tcMar>
            <w:vAlign w:val="top"/>
          </w:tcPr>
          <w:p>
            <w:pPr>
              <w:spacing w:after="0" w:line="240" w:lineRule="auto"/>
            </w:pPr>
            <w:r>
              <w:rPr>
                <w:sz w:val="16"/>
              </w:rPr>
              <w:t>≥70%; no single instrument below 60%.</w:t>
            </w:r>
          </w:p>
        </w:tc>
      </w:tr>
      <w:tr>
        <w:trPr>
          <w:cantSplit/>
        </w:trPr>
        <w:tc>
          <w:tcPr>
            <w:tcW w:type="dxa" w:w="2015"/>
            <w:shd w:fill="F8FAFB"/>
            <w:tcMar>
              <w:top w:w="70" w:type="dxa"/>
              <w:start w:w="90" w:type="dxa"/>
              <w:bottom w:w="70" w:type="dxa"/>
              <w:end w:w="90" w:type="dxa"/>
            </w:tcMar>
            <w:vAlign w:val="top"/>
          </w:tcPr>
          <w:p>
            <w:pPr>
              <w:spacing w:after="0" w:line="240" w:lineRule="auto"/>
            </w:pPr>
            <w:r>
              <w:rPr>
                <w:b/>
                <w:color w:val="15354A"/>
                <w:sz w:val="16"/>
              </w:rPr>
              <w:t>Uncertainty calibration</w:t>
            </w:r>
          </w:p>
        </w:tc>
        <w:tc>
          <w:tcPr>
            <w:tcW w:type="dxa" w:w="3816"/>
            <w:shd w:fill="F8FAFB"/>
            <w:tcMar>
              <w:top w:w="70" w:type="dxa"/>
              <w:start w:w="90" w:type="dxa"/>
              <w:bottom w:w="70" w:type="dxa"/>
              <w:end w:w="90" w:type="dxa"/>
            </w:tcMar>
            <w:vAlign w:val="top"/>
          </w:tcPr>
          <w:p>
            <w:pPr>
              <w:spacing w:after="0" w:line="240" w:lineRule="auto"/>
            </w:pPr>
            <w:r>
              <w:rPr>
                <w:sz w:val="16"/>
              </w:rPr>
              <w:t>observations inside model 90% interval</w:t>
            </w:r>
          </w:p>
        </w:tc>
        <w:tc>
          <w:tcPr>
            <w:tcW w:type="dxa" w:w="3960"/>
            <w:shd w:fill="F8FAFB"/>
            <w:tcMar>
              <w:top w:w="70" w:type="dxa"/>
              <w:start w:w="90" w:type="dxa"/>
              <w:bottom w:w="70" w:type="dxa"/>
              <w:end w:w="90" w:type="dxa"/>
            </w:tcMar>
            <w:vAlign w:val="top"/>
          </w:tcPr>
          <w:p>
            <w:pPr>
              <w:spacing w:after="0" w:line="240" w:lineRule="auto"/>
            </w:pPr>
            <w:r>
              <w:rPr>
                <w:sz w:val="16"/>
              </w:rPr>
              <w:t>80–98%; lower coverage indicates under-dispersion, excessive coverage is also flagged.</w:t>
            </w:r>
          </w:p>
        </w:tc>
      </w:tr>
      <w:tr>
        <w:trPr>
          <w:cantSplit/>
        </w:trPr>
        <w:tc>
          <w:tcPr>
            <w:tcW w:type="dxa" w:w="2015"/>
            <w:tcMar>
              <w:top w:w="70" w:type="dxa"/>
              <w:start w:w="90" w:type="dxa"/>
              <w:bottom w:w="70" w:type="dxa"/>
              <w:end w:w="90" w:type="dxa"/>
            </w:tcMar>
            <w:vAlign w:val="top"/>
          </w:tcPr>
          <w:p>
            <w:pPr>
              <w:spacing w:after="0" w:line="240" w:lineRule="auto"/>
            </w:pPr>
            <w:r>
              <w:rPr>
                <w:b/>
                <w:color w:val="15354A"/>
                <w:sz w:val="16"/>
              </w:rPr>
              <w:t>Transition location</w:t>
            </w:r>
          </w:p>
        </w:tc>
        <w:tc>
          <w:tcPr>
            <w:tcW w:type="dxa" w:w="3816"/>
            <w:tcMar>
              <w:top w:w="70" w:type="dxa"/>
              <w:start w:w="90" w:type="dxa"/>
              <w:bottom w:w="70" w:type="dxa"/>
              <w:end w:w="90" w:type="dxa"/>
            </w:tcMar>
            <w:vAlign w:val="top"/>
          </w:tcPr>
          <w:p>
            <w:pPr>
              <w:spacing w:after="0" w:line="240" w:lineRule="auto"/>
            </w:pPr>
            <w:r>
              <w:rPr>
                <w:sz w:val="16"/>
              </w:rPr>
              <w:t>cutoff/access boundary latitude or radial distance</w:t>
            </w:r>
          </w:p>
        </w:tc>
        <w:tc>
          <w:tcPr>
            <w:tcW w:type="dxa" w:w="3960"/>
            <w:tcMar>
              <w:top w:w="70" w:type="dxa"/>
              <w:start w:w="90" w:type="dxa"/>
              <w:bottom w:w="70" w:type="dxa"/>
              <w:end w:w="90" w:type="dxa"/>
            </w:tcMar>
            <w:vAlign w:val="top"/>
          </w:tcPr>
          <w:p>
            <w:pPr>
              <w:spacing w:after="0" w:line="240" w:lineRule="auto"/>
            </w:pPr>
            <w:r>
              <w:rPr>
                <w:sz w:val="16"/>
              </w:rPr>
              <w:t>LEO MAE≤2° AACGM and bias≤1°; inner-magnetosphere median |ΔL|≤0.3 where geometry supports L.</w:t>
            </w:r>
          </w:p>
        </w:tc>
      </w:tr>
      <w:tr>
        <w:trPr>
          <w:cantSplit/>
        </w:trPr>
        <w:tc>
          <w:tcPr>
            <w:tcW w:type="dxa" w:w="2015"/>
            <w:shd w:fill="F8FAFB"/>
            <w:tcMar>
              <w:top w:w="70" w:type="dxa"/>
              <w:start w:w="90" w:type="dxa"/>
              <w:bottom w:w="70" w:type="dxa"/>
              <w:end w:w="90" w:type="dxa"/>
            </w:tcMar>
            <w:vAlign w:val="top"/>
          </w:tcPr>
          <w:p>
            <w:pPr>
              <w:spacing w:after="0" w:line="240" w:lineRule="auto"/>
            </w:pPr>
            <w:r>
              <w:rPr>
                <w:b/>
                <w:color w:val="15354A"/>
                <w:sz w:val="16"/>
              </w:rPr>
              <w:t>Timing</w:t>
            </w:r>
          </w:p>
        </w:tc>
        <w:tc>
          <w:tcPr>
            <w:tcW w:type="dxa" w:w="3816"/>
            <w:shd w:fill="F8FAFB"/>
            <w:tcMar>
              <w:top w:w="70" w:type="dxa"/>
              <w:start w:w="90" w:type="dxa"/>
              <w:bottom w:w="70" w:type="dxa"/>
              <w:end w:w="90" w:type="dxa"/>
            </w:tcMar>
            <w:vAlign w:val="top"/>
          </w:tcPr>
          <w:p>
            <w:pPr>
              <w:spacing w:after="0" w:line="240" w:lineRule="auto"/>
            </w:pPr>
            <w:r>
              <w:rPr>
                <w:sz w:val="16"/>
              </w:rPr>
              <w:t>onset/transition displacement</w:t>
            </w:r>
          </w:p>
        </w:tc>
        <w:tc>
          <w:tcPr>
            <w:tcW w:type="dxa" w:w="3960"/>
            <w:shd w:fill="F8FAFB"/>
            <w:tcMar>
              <w:top w:w="70" w:type="dxa"/>
              <w:start w:w="90" w:type="dxa"/>
              <w:bottom w:w="70" w:type="dxa"/>
              <w:end w:w="90" w:type="dxa"/>
            </w:tcMar>
            <w:vAlign w:val="top"/>
          </w:tcPr>
          <w:p>
            <w:pPr>
              <w:spacing w:after="0" w:line="240" w:lineRule="auto"/>
            </w:pPr>
            <w:r>
              <w:rPr>
                <w:sz w:val="16"/>
              </w:rPr>
              <w:t>≤ one observation cadence or 10 min, whichever is larger, for 5-min field snapshots.</w:t>
            </w:r>
          </w:p>
        </w:tc>
      </w:tr>
      <w:tr>
        <w:trPr>
          <w:cantSplit/>
        </w:trPr>
        <w:tc>
          <w:tcPr>
            <w:tcW w:type="dxa" w:w="2015"/>
            <w:tcMar>
              <w:top w:w="70" w:type="dxa"/>
              <w:start w:w="90" w:type="dxa"/>
              <w:bottom w:w="70" w:type="dxa"/>
              <w:end w:w="90" w:type="dxa"/>
            </w:tcMar>
            <w:vAlign w:val="top"/>
          </w:tcPr>
          <w:p>
            <w:pPr>
              <w:spacing w:after="0" w:line="240" w:lineRule="auto"/>
            </w:pPr>
            <w:r>
              <w:rPr>
                <w:b/>
                <w:color w:val="15354A"/>
                <w:sz w:val="16"/>
              </w:rPr>
              <w:t>Directional ratio</w:t>
            </w:r>
          </w:p>
        </w:tc>
        <w:tc>
          <w:tcPr>
            <w:tcW w:type="dxa" w:w="3816"/>
            <w:tcMar>
              <w:top w:w="70" w:type="dxa"/>
              <w:start w:w="90" w:type="dxa"/>
              <w:bottom w:w="70" w:type="dxa"/>
              <w:end w:w="90" w:type="dxa"/>
            </w:tcMar>
            <w:vAlign w:val="top"/>
          </w:tcPr>
          <w:p>
            <w:pPr>
              <w:spacing w:after="0" w:line="240" w:lineRule="auto"/>
            </w:pPr>
            <w:r>
              <w:rPr>
                <w:sz w:val="16"/>
              </w:rPr>
              <w:t>RMSE of log10(east/west or telescope ratio)</w:t>
            </w:r>
          </w:p>
        </w:tc>
        <w:tc>
          <w:tcPr>
            <w:tcW w:type="dxa" w:w="3960"/>
            <w:tcMar>
              <w:top w:w="70" w:type="dxa"/>
              <w:start w:w="90" w:type="dxa"/>
              <w:bottom w:w="70" w:type="dxa"/>
              <w:end w:w="90" w:type="dxa"/>
            </w:tcMar>
            <w:vAlign w:val="top"/>
          </w:tcPr>
          <w:p>
            <w:pPr>
              <w:spacing w:after="0" w:line="240" w:lineRule="auto"/>
            </w:pPr>
            <w:r>
              <w:rPr>
                <w:sz w:val="16"/>
              </w:rPr>
              <w:t>≤0.30; correct asymmetry sign in ≥80% of quality-controlled samples.</w:t>
            </w:r>
          </w:p>
        </w:tc>
      </w:tr>
      <w:tr>
        <w:trPr>
          <w:cantSplit/>
        </w:trPr>
        <w:tc>
          <w:tcPr>
            <w:tcW w:type="dxa" w:w="2015"/>
            <w:shd w:fill="F8FAFB"/>
            <w:tcMar>
              <w:top w:w="70" w:type="dxa"/>
              <w:start w:w="90" w:type="dxa"/>
              <w:bottom w:w="70" w:type="dxa"/>
              <w:end w:w="90" w:type="dxa"/>
            </w:tcMar>
            <w:vAlign w:val="top"/>
          </w:tcPr>
          <w:p>
            <w:pPr>
              <w:spacing w:after="0" w:line="240" w:lineRule="auto"/>
            </w:pPr>
            <w:r>
              <w:rPr>
                <w:b/>
                <w:color w:val="15354A"/>
                <w:sz w:val="16"/>
              </w:rPr>
              <w:t>Cross-platform closure</w:t>
            </w:r>
          </w:p>
        </w:tc>
        <w:tc>
          <w:tcPr>
            <w:tcW w:type="dxa" w:w="3816"/>
            <w:shd w:fill="F8FAFB"/>
            <w:tcMar>
              <w:top w:w="70" w:type="dxa"/>
              <w:start w:w="90" w:type="dxa"/>
              <w:bottom w:w="70" w:type="dxa"/>
              <w:end w:w="90" w:type="dxa"/>
            </w:tcMar>
            <w:vAlign w:val="top"/>
          </w:tcPr>
          <w:p>
            <w:pPr>
              <w:spacing w:after="0" w:line="240" w:lineRule="auto"/>
            </w:pPr>
            <w:r>
              <w:rPr>
                <w:sz w:val="16"/>
              </w:rPr>
              <w:t>same boundary normalization for all platforms</w:t>
            </w:r>
          </w:p>
        </w:tc>
        <w:tc>
          <w:tcPr>
            <w:tcW w:type="dxa" w:w="3960"/>
            <w:shd w:fill="F8FAFB"/>
            <w:tcMar>
              <w:top w:w="70" w:type="dxa"/>
              <w:start w:w="90" w:type="dxa"/>
              <w:bottom w:w="70" w:type="dxa"/>
              <w:end w:w="90" w:type="dxa"/>
            </w:tcMar>
            <w:vAlign w:val="top"/>
          </w:tcPr>
          <w:p>
            <w:pPr>
              <w:spacing w:after="0" w:line="240" w:lineRule="auto"/>
            </w:pPr>
            <w:r>
              <w:rPr>
                <w:sz w:val="16"/>
              </w:rPr>
              <w:t>No platform-specific multiplicative factors; all reported data compared with one event realization/ensemble.</w:t>
            </w:r>
          </w:p>
        </w:tc>
      </w:tr>
    </w:tbl>
    <w:p>
      <w:pPr>
        <w:spacing w:after="0"/>
      </w:pPr>
    </w:p>
    <w:p>
      <w:pPr>
        <w:pStyle w:val="SmallNote"/>
      </w:pPr>
      <w:r>
        <w:rPr>
          <w:b/>
        </w:rPr>
        <w:t xml:space="preserve">Gate status. </w:t>
      </w:r>
      <w:r>
        <w:t>These are proposed engineering thresholds, not post-hoc claims. Freeze or revise them at M0 using instrument uncertainty and the baseline model, before evaluating O2–O4.</w:t>
      </w:r>
    </w:p>
    <w:p>
      <w:pPr>
        <w:pStyle w:val="Heading1"/>
      </w:pPr>
      <w:bookmarkStart w:id="126" w:name="toc_section_27"/>
      <w:r>
        <w:t>9. Numerical acceptance gates</w:t>
      </w:r>
      <w:bookmarkEnd w:id="126"/>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5354A"/>
            <w:tcMar>
              <w:top w:w="70" w:type="dxa"/>
              <w:start w:w="90" w:type="dxa"/>
              <w:bottom w:w="70" w:type="dxa"/>
              <w:end w:w="90" w:type="dxa"/>
            </w:tcMar>
            <w:vAlign w:val="center"/>
          </w:tcPr>
          <w:p>
            <w:pPr>
              <w:spacing w:after="0"/>
              <w:jc w:val="left"/>
            </w:pPr>
            <w:r>
              <w:rPr>
                <w:b/>
                <w:color w:val="FFFFFF"/>
                <w:sz w:val="15"/>
              </w:rPr>
              <w:t>Gate</w:t>
            </w:r>
          </w:p>
        </w:tc>
        <w:tc>
          <w:tcPr>
            <w:tcW w:type="dxa" w:w="4608"/>
            <w:shd w:fill="15354A"/>
            <w:tcMar>
              <w:top w:w="70" w:type="dxa"/>
              <w:start w:w="90" w:type="dxa"/>
              <w:bottom w:w="70" w:type="dxa"/>
              <w:end w:w="90" w:type="dxa"/>
            </w:tcMar>
            <w:vAlign w:val="center"/>
          </w:tcPr>
          <w:p>
            <w:pPr>
              <w:spacing w:after="0"/>
              <w:jc w:val="left"/>
            </w:pPr>
            <w:r>
              <w:rPr>
                <w:b/>
                <w:color w:val="FFFFFF"/>
                <w:sz w:val="15"/>
              </w:rPr>
              <w:t>Routine release threshold</w:t>
            </w:r>
          </w:p>
        </w:tc>
        <w:tc>
          <w:tcPr>
            <w:tcW w:type="dxa" w:w="2880"/>
            <w:shd w:fill="15354A"/>
            <w:tcMar>
              <w:top w:w="70" w:type="dxa"/>
              <w:start w:w="90" w:type="dxa"/>
              <w:bottom w:w="70" w:type="dxa"/>
              <w:end w:w="90" w:type="dxa"/>
            </w:tcMar>
            <w:vAlign w:val="center"/>
          </w:tcPr>
          <w:p>
            <w:pPr>
              <w:spacing w:after="0"/>
              <w:jc w:val="left"/>
            </w:pPr>
            <w:r>
              <w:rPr>
                <w:b/>
                <w:color w:val="FFFFFF"/>
                <w:sz w:val="15"/>
              </w:rPr>
              <w:t>Diagnostic-only condition</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5"/>
              </w:rPr>
              <w:t>Exact conversions / count closure</w:t>
            </w:r>
          </w:p>
        </w:tc>
        <w:tc>
          <w:tcPr>
            <w:tcW w:type="dxa" w:w="4608"/>
            <w:tcMar>
              <w:top w:w="70" w:type="dxa"/>
              <w:start w:w="90" w:type="dxa"/>
              <w:bottom w:w="70" w:type="dxa"/>
              <w:end w:w="90" w:type="dxa"/>
            </w:tcMar>
            <w:vAlign w:val="top"/>
          </w:tcPr>
          <w:p>
            <w:pPr>
              <w:spacing w:after="0" w:line="240" w:lineRule="auto"/>
            </w:pPr>
            <w:r>
              <w:rPr>
                <w:sz w:val="15"/>
              </w:rPr>
              <w:t>≤10⁻¹² relative or exact integer closure.</w:t>
            </w:r>
          </w:p>
        </w:tc>
        <w:tc>
          <w:tcPr>
            <w:tcW w:type="dxa" w:w="2880"/>
            <w:tcMar>
              <w:top w:w="70" w:type="dxa"/>
              <w:start w:w="90" w:type="dxa"/>
              <w:bottom w:w="70" w:type="dxa"/>
              <w:end w:w="90" w:type="dxa"/>
            </w:tcMar>
            <w:vAlign w:val="top"/>
          </w:tcPr>
          <w:p>
            <w:pPr>
              <w:spacing w:after="0" w:line="240" w:lineRule="auto"/>
            </w:pPr>
            <w:r>
              <w:rPr>
                <w:sz w:val="15"/>
              </w:rPr>
              <w:t>Any failure blocks all releases.</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5"/>
              </w:rPr>
              <w:t>Energy integration</w:t>
            </w:r>
          </w:p>
        </w:tc>
        <w:tc>
          <w:tcPr>
            <w:tcW w:type="dxa" w:w="4608"/>
            <w:shd w:fill="F8FAFB"/>
            <w:tcMar>
              <w:top w:w="70" w:type="dxa"/>
              <w:start w:w="90" w:type="dxa"/>
              <w:bottom w:w="70" w:type="dxa"/>
              <w:end w:w="90" w:type="dxa"/>
            </w:tcMar>
            <w:vAlign w:val="top"/>
          </w:tcPr>
          <w:p>
            <w:pPr>
              <w:spacing w:after="0" w:line="240" w:lineRule="auto"/>
            </w:pPr>
            <w:r>
              <w:rPr>
                <w:sz w:val="15"/>
              </w:rPr>
              <w:t>Refined integral changes ≤2%; response-supported differential bins ≤5%.</w:t>
            </w:r>
          </w:p>
        </w:tc>
        <w:tc>
          <w:tcPr>
            <w:tcW w:type="dxa" w:w="2880"/>
            <w:shd w:fill="F8FAFB"/>
            <w:tcMar>
              <w:top w:w="70" w:type="dxa"/>
              <w:start w:w="90" w:type="dxa"/>
              <w:bottom w:w="70" w:type="dxa"/>
              <w:end w:w="90" w:type="dxa"/>
            </w:tcMar>
            <w:vAlign w:val="top"/>
          </w:tcPr>
          <w:p>
            <w:pPr>
              <w:spacing w:after="0" w:line="240" w:lineRule="auto"/>
            </w:pPr>
            <w:r>
              <w:rPr>
                <w:sz w:val="15"/>
              </w:rPr>
              <w:t>Coarser result may be retained only with explicit error bar and no release claim.</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5"/>
              </w:rPr>
              <w:t>Angular integration</w:t>
            </w:r>
          </w:p>
        </w:tc>
        <w:tc>
          <w:tcPr>
            <w:tcW w:type="dxa" w:w="4608"/>
            <w:tcMar>
              <w:top w:w="70" w:type="dxa"/>
              <w:start w:w="90" w:type="dxa"/>
              <w:bottom w:w="70" w:type="dxa"/>
              <w:end w:w="90" w:type="dxa"/>
            </w:tcMar>
            <w:vAlign w:val="top"/>
          </w:tcPr>
          <w:p>
            <w:pPr>
              <w:spacing w:after="0" w:line="240" w:lineRule="auto"/>
            </w:pPr>
            <w:r>
              <w:rPr>
                <w:sz w:val="15"/>
              </w:rPr>
              <w:t>Integrated product changes ≤2%; directional detector product ≤5% under nested refinement.</w:t>
            </w:r>
          </w:p>
        </w:tc>
        <w:tc>
          <w:tcPr>
            <w:tcW w:type="dxa" w:w="2880"/>
            <w:tcMar>
              <w:top w:w="70" w:type="dxa"/>
              <w:start w:w="90" w:type="dxa"/>
              <w:bottom w:w="70" w:type="dxa"/>
              <w:end w:w="90" w:type="dxa"/>
            </w:tcMar>
            <w:vAlign w:val="top"/>
          </w:tcPr>
          <w:p>
            <w:pPr>
              <w:spacing w:after="0" w:line="240" w:lineRule="auto"/>
            </w:pPr>
            <w:r>
              <w:rPr>
                <w:sz w:val="15"/>
              </w:rPr>
              <w:t>Narrow-beam cases require documented aperture-specific refinement.</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5"/>
              </w:rPr>
              <w:t>Time step / mover</w:t>
            </w:r>
          </w:p>
        </w:tc>
        <w:tc>
          <w:tcPr>
            <w:tcW w:type="dxa" w:w="4608"/>
            <w:shd w:fill="F8FAFB"/>
            <w:tcMar>
              <w:top w:w="70" w:type="dxa"/>
              <w:start w:w="90" w:type="dxa"/>
              <w:bottom w:w="70" w:type="dxa"/>
              <w:end w:w="90" w:type="dxa"/>
            </w:tcMar>
            <w:vAlign w:val="top"/>
          </w:tcPr>
          <w:p>
            <w:pPr>
              <w:spacing w:after="0" w:line="240" w:lineRule="auto"/>
            </w:pPr>
            <w:r>
              <w:rPr>
                <w:sz w:val="15"/>
              </w:rPr>
              <w:t>Integrated product ≤2%, transition energy/rigidity shift &lt;½ final refined bin, expected convergence order observed.</w:t>
            </w:r>
          </w:p>
        </w:tc>
        <w:tc>
          <w:tcPr>
            <w:tcW w:type="dxa" w:w="2880"/>
            <w:shd w:fill="F8FAFB"/>
            <w:tcMar>
              <w:top w:w="70" w:type="dxa"/>
              <w:start w:w="90" w:type="dxa"/>
              <w:bottom w:w="70" w:type="dxa"/>
              <w:end w:w="90" w:type="dxa"/>
            </w:tcMar>
            <w:vAlign w:val="top"/>
          </w:tcPr>
          <w:p>
            <w:pPr>
              <w:spacing w:after="0" w:line="240" w:lineRule="auto"/>
            </w:pPr>
            <w:r>
              <w:rPr>
                <w:sz w:val="15"/>
              </w:rPr>
              <w:t>GC/HYBRID excluded where gyroradius/gradient validity fails.</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5"/>
              </w:rPr>
              <w:t>Mesh resolution</w:t>
            </w:r>
          </w:p>
        </w:tc>
        <w:tc>
          <w:tcPr>
            <w:tcW w:type="dxa" w:w="4608"/>
            <w:tcMar>
              <w:top w:w="70" w:type="dxa"/>
              <w:start w:w="90" w:type="dxa"/>
              <w:bottom w:w="70" w:type="dxa"/>
              <w:end w:w="90" w:type="dxa"/>
            </w:tcMar>
            <w:vAlign w:val="top"/>
          </w:tcPr>
          <w:p>
            <w:pPr>
              <w:spacing w:after="0" w:line="240" w:lineRule="auto"/>
            </w:pPr>
            <w:r>
              <w:rPr>
                <w:sz w:val="15"/>
              </w:rPr>
              <w:t>Mode3D sequence shows convergence; final product ≤5% from Richardson/reference estimate outside discontinuity bins.</w:t>
            </w:r>
          </w:p>
        </w:tc>
        <w:tc>
          <w:tcPr>
            <w:tcW w:type="dxa" w:w="2880"/>
            <w:tcMar>
              <w:top w:w="70" w:type="dxa"/>
              <w:start w:w="90" w:type="dxa"/>
              <w:bottom w:w="70" w:type="dxa"/>
              <w:end w:w="90" w:type="dxa"/>
            </w:tcMar>
            <w:vAlign w:val="top"/>
          </w:tcPr>
          <w:p>
            <w:pPr>
              <w:spacing w:after="0" w:line="240" w:lineRule="auto"/>
            </w:pPr>
            <w:r>
              <w:rPr>
                <w:sz w:val="15"/>
              </w:rPr>
              <w:t>Penumbra bins may use access-bound envelope if bracket width is reported.</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5"/>
              </w:rPr>
              <w:t>Backend parity</w:t>
            </w:r>
          </w:p>
        </w:tc>
        <w:tc>
          <w:tcPr>
            <w:tcW w:type="dxa" w:w="4608"/>
            <w:shd w:fill="F8FAFB"/>
            <w:tcMar>
              <w:top w:w="70" w:type="dxa"/>
              <w:start w:w="90" w:type="dxa"/>
              <w:bottom w:w="70" w:type="dxa"/>
              <w:end w:w="90" w:type="dxa"/>
            </w:tcMar>
            <w:vAlign w:val="top"/>
          </w:tcPr>
          <w:p>
            <w:pPr>
              <w:spacing w:after="0" w:line="240" w:lineRule="auto"/>
            </w:pPr>
            <w:r>
              <w:rPr>
                <w:sz w:val="15"/>
              </w:rPr>
              <w:t>Identical analytic field: ≤10⁻¹⁰ kernel quantities and ≤2% integrated products; mesh representation: ≤5% after convergence.</w:t>
            </w:r>
          </w:p>
        </w:tc>
        <w:tc>
          <w:tcPr>
            <w:tcW w:type="dxa" w:w="2880"/>
            <w:shd w:fill="F8FAFB"/>
            <w:tcMar>
              <w:top w:w="70" w:type="dxa"/>
              <w:start w:w="90" w:type="dxa"/>
              <w:bottom w:w="70" w:type="dxa"/>
              <w:end w:w="90" w:type="dxa"/>
            </w:tcMar>
            <w:vAlign w:val="top"/>
          </w:tcPr>
          <w:p>
            <w:pPr>
              <w:spacing w:after="0" w:line="240" w:lineRule="auto"/>
            </w:pPr>
            <w:r>
              <w:rPr>
                <w:sz w:val="15"/>
              </w:rPr>
              <w:t>Differences must be attributable to field interpolation, not output semantics.</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5"/>
              </w:rPr>
              <w:t>Parallel reproducibility</w:t>
            </w:r>
          </w:p>
        </w:tc>
        <w:tc>
          <w:tcPr>
            <w:tcW w:type="dxa" w:w="4608"/>
            <w:tcMar>
              <w:top w:w="70" w:type="dxa"/>
              <w:start w:w="90" w:type="dxa"/>
              <w:bottom w:w="70" w:type="dxa"/>
              <w:end w:w="90" w:type="dxa"/>
            </w:tcMar>
            <w:vAlign w:val="top"/>
          </w:tcPr>
          <w:p>
            <w:pPr>
              <w:spacing w:after="0" w:line="240" w:lineRule="auto"/>
            </w:pPr>
            <w:r>
              <w:rPr>
                <w:sz w:val="15"/>
              </w:rPr>
              <w:t>Deterministic results ≤10⁻¹⁰ relative; non-associative reductions ≤10⁻⁷; identical counts/terminations.</w:t>
            </w:r>
          </w:p>
        </w:tc>
        <w:tc>
          <w:tcPr>
            <w:tcW w:type="dxa" w:w="2880"/>
            <w:tcMar>
              <w:top w:w="70" w:type="dxa"/>
              <w:start w:w="90" w:type="dxa"/>
              <w:bottom w:w="70" w:type="dxa"/>
              <w:end w:w="90" w:type="dxa"/>
            </w:tcMar>
            <w:vAlign w:val="top"/>
          </w:tcPr>
          <w:p>
            <w:pPr>
              <w:spacing w:after="0" w:line="240" w:lineRule="auto"/>
            </w:pPr>
            <w:r>
              <w:rPr>
                <w:sz w:val="15"/>
              </w:rPr>
              <w:t>No tolerance relaxation by rank/thread count.</w:t>
            </w:r>
          </w:p>
        </w:tc>
      </w:tr>
      <w:tr>
        <w:trPr>
          <w:cantSplit/>
        </w:trPr>
        <w:tc>
          <w:tcPr>
            <w:tcW w:type="dxa" w:w="2304"/>
            <w:shd w:fill="F8FAFB"/>
            <w:tcMar>
              <w:top w:w="70" w:type="dxa"/>
              <w:start w:w="90" w:type="dxa"/>
              <w:bottom w:w="70" w:type="dxa"/>
              <w:end w:w="90" w:type="dxa"/>
            </w:tcMar>
            <w:vAlign w:val="top"/>
          </w:tcPr>
          <w:p>
            <w:pPr>
              <w:spacing w:after="0" w:line="240" w:lineRule="auto"/>
            </w:pPr>
            <w:r>
              <w:rPr>
                <w:b/>
                <w:color w:val="15354A"/>
                <w:sz w:val="15"/>
              </w:rPr>
              <w:t>Unresolved support</w:t>
            </w:r>
          </w:p>
        </w:tc>
        <w:tc>
          <w:tcPr>
            <w:tcW w:type="dxa" w:w="4608"/>
            <w:shd w:fill="F8FAFB"/>
            <w:tcMar>
              <w:top w:w="70" w:type="dxa"/>
              <w:start w:w="90" w:type="dxa"/>
              <w:bottom w:w="70" w:type="dxa"/>
              <w:end w:w="90" w:type="dxa"/>
            </w:tcMar>
            <w:vAlign w:val="top"/>
          </w:tcPr>
          <w:p>
            <w:pPr>
              <w:spacing w:after="0" w:line="240" w:lineRule="auto"/>
            </w:pPr>
            <w:r>
              <w:rPr>
                <w:sz w:val="15"/>
              </w:rPr>
              <w:t>Response-weighted unresolved fraction ≤1% and lower/upper product width ≤5%.</w:t>
            </w:r>
          </w:p>
        </w:tc>
        <w:tc>
          <w:tcPr>
            <w:tcW w:type="dxa" w:w="2880"/>
            <w:shd w:fill="F8FAFB"/>
            <w:tcMar>
              <w:top w:w="70" w:type="dxa"/>
              <w:start w:w="90" w:type="dxa"/>
              <w:bottom w:w="70" w:type="dxa"/>
              <w:end w:w="90" w:type="dxa"/>
            </w:tcMar>
            <w:vAlign w:val="top"/>
          </w:tcPr>
          <w:p>
            <w:pPr>
              <w:spacing w:after="0" w:line="240" w:lineRule="auto"/>
            </w:pPr>
            <w:r>
              <w:rPr>
                <w:sz w:val="15"/>
              </w:rPr>
              <w:t>1–5% may be diagnostic; &gt;5% blocks observational scoring for that sample/channel.</w:t>
            </w:r>
          </w:p>
        </w:tc>
      </w:tr>
      <w:tr>
        <w:trPr>
          <w:cantSplit/>
        </w:trPr>
        <w:tc>
          <w:tcPr>
            <w:tcW w:type="dxa" w:w="2304"/>
            <w:tcMar>
              <w:top w:w="70" w:type="dxa"/>
              <w:start w:w="90" w:type="dxa"/>
              <w:bottom w:w="70" w:type="dxa"/>
              <w:end w:w="90" w:type="dxa"/>
            </w:tcMar>
            <w:vAlign w:val="top"/>
          </w:tcPr>
          <w:p>
            <w:pPr>
              <w:spacing w:after="0" w:line="240" w:lineRule="auto"/>
            </w:pPr>
            <w:r>
              <w:rPr>
                <w:b/>
                <w:color w:val="15354A"/>
                <w:sz w:val="15"/>
              </w:rPr>
              <w:t>Forward Monte Carlo</w:t>
            </w:r>
          </w:p>
        </w:tc>
        <w:tc>
          <w:tcPr>
            <w:tcW w:type="dxa" w:w="4608"/>
            <w:tcMar>
              <w:top w:w="70" w:type="dxa"/>
              <w:start w:w="90" w:type="dxa"/>
              <w:bottom w:w="70" w:type="dxa"/>
              <w:end w:w="90" w:type="dxa"/>
            </w:tcMar>
            <w:vAlign w:val="top"/>
          </w:tcPr>
          <w:p>
            <w:pPr>
              <w:spacing w:after="0" w:line="240" w:lineRule="auto"/>
            </w:pPr>
            <w:r>
              <w:rPr>
                <w:sz w:val="15"/>
              </w:rPr>
              <w:t>Analytic mean within 2% and within declared 95% sampling interval; σ∝N⁻¹ᐟ².</w:t>
            </w:r>
          </w:p>
        </w:tc>
        <w:tc>
          <w:tcPr>
            <w:tcW w:type="dxa" w:w="2880"/>
            <w:tcMar>
              <w:top w:w="70" w:type="dxa"/>
              <w:start w:w="90" w:type="dxa"/>
              <w:bottom w:w="70" w:type="dxa"/>
              <w:end w:w="90" w:type="dxa"/>
            </w:tcMar>
            <w:vAlign w:val="top"/>
          </w:tcPr>
          <w:p>
            <w:pPr>
              <w:spacing w:after="0" w:line="240" w:lineRule="auto"/>
            </w:pPr>
            <w:r>
              <w:rPr>
                <w:sz w:val="15"/>
              </w:rPr>
              <w:t>Fixed-seed agreement alone is not statistical validation.</w:t>
            </w:r>
          </w:p>
        </w:tc>
      </w:tr>
    </w:tbl>
    <w:p>
      <w:pPr>
        <w:spacing w:after="0"/>
      </w:pPr>
    </w:p>
    <w:p>
      <w:pPr>
        <w:pStyle w:val="Heading2"/>
      </w:pPr>
      <w:bookmarkStart w:id="127" w:name="toc_section_28"/>
      <w:r>
        <w:t>9.1 Release decision matrix</w:t>
      </w:r>
      <w:bookmarkEnd w:id="127"/>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5354A"/>
            <w:tcMar>
              <w:top w:w="70" w:type="dxa"/>
              <w:start w:w="90" w:type="dxa"/>
              <w:bottom w:w="70" w:type="dxa"/>
              <w:end w:w="90" w:type="dxa"/>
            </w:tcMar>
            <w:vAlign w:val="center"/>
          </w:tcPr>
          <w:p>
            <w:pPr>
              <w:spacing w:after="0"/>
              <w:jc w:val="left"/>
            </w:pPr>
            <w:r>
              <w:rPr>
                <w:b/>
                <w:color w:val="FFFFFF"/>
                <w:sz w:val="16"/>
              </w:rPr>
              <w:t>Release</w:t>
            </w:r>
          </w:p>
        </w:tc>
        <w:tc>
          <w:tcPr>
            <w:tcW w:type="dxa" w:w="4824"/>
            <w:shd w:fill="15354A"/>
            <w:tcMar>
              <w:top w:w="70" w:type="dxa"/>
              <w:start w:w="90" w:type="dxa"/>
              <w:bottom w:w="70" w:type="dxa"/>
              <w:end w:w="90" w:type="dxa"/>
            </w:tcMar>
            <w:vAlign w:val="center"/>
          </w:tcPr>
          <w:p>
            <w:pPr>
              <w:spacing w:after="0"/>
              <w:jc w:val="left"/>
            </w:pPr>
            <w:r>
              <w:rPr>
                <w:b/>
                <w:color w:val="FFFFFF"/>
                <w:sz w:val="16"/>
              </w:rPr>
              <w:t>Permitted science statement</w:t>
            </w:r>
          </w:p>
        </w:tc>
        <w:tc>
          <w:tcPr>
            <w:tcW w:type="dxa" w:w="3168"/>
            <w:shd w:fill="15354A"/>
            <w:tcMar>
              <w:top w:w="70" w:type="dxa"/>
              <w:start w:w="90" w:type="dxa"/>
              <w:bottom w:w="70" w:type="dxa"/>
              <w:end w:w="90" w:type="dxa"/>
            </w:tcMar>
            <w:vAlign w:val="center"/>
          </w:tcPr>
          <w:p>
            <w:pPr>
              <w:spacing w:after="0"/>
              <w:jc w:val="left"/>
            </w:pPr>
            <w:r>
              <w:rPr>
                <w:b/>
                <w:color w:val="FFFFFF"/>
                <w:sz w:val="16"/>
              </w:rPr>
              <w:t>Blocked statement</w:t>
            </w:r>
          </w:p>
        </w:tc>
      </w:tr>
      <w:tr>
        <w:trPr>
          <w:cantSplit/>
        </w:trPr>
        <w:tc>
          <w:tcPr>
            <w:tcW w:type="dxa" w:w="1800"/>
            <w:tcMar>
              <w:top w:w="70" w:type="dxa"/>
              <w:start w:w="90" w:type="dxa"/>
              <w:bottom w:w="70" w:type="dxa"/>
              <w:end w:w="90" w:type="dxa"/>
            </w:tcMar>
            <w:vAlign w:val="top"/>
          </w:tcPr>
          <w:p>
            <w:pPr>
              <w:spacing w:after="0" w:line="240" w:lineRule="auto"/>
            </w:pPr>
            <w:r>
              <w:rPr>
                <w:b/>
                <w:color w:val="15354A"/>
                <w:sz w:val="16"/>
              </w:rPr>
              <w:t>R1: Static gridless flux</w:t>
            </w:r>
          </w:p>
        </w:tc>
        <w:tc>
          <w:tcPr>
            <w:tcW w:type="dxa" w:w="4824"/>
            <w:tcMar>
              <w:top w:w="70" w:type="dxa"/>
              <w:start w:w="90" w:type="dxa"/>
              <w:bottom w:w="70" w:type="dxa"/>
              <w:end w:w="90" w:type="dxa"/>
            </w:tcMar>
            <w:vAlign w:val="top"/>
          </w:tcPr>
          <w:p>
            <w:pPr>
              <w:spacing w:after="0" w:line="240" w:lineRule="auto"/>
            </w:pPr>
            <w:r>
              <w:rPr>
                <w:sz w:val="16"/>
              </w:rPr>
              <w:t>Directly connected SEP/GCR directional and response-folded products in validated static/quasi-static fields.</w:t>
            </w:r>
          </w:p>
        </w:tc>
        <w:tc>
          <w:tcPr>
            <w:tcW w:type="dxa" w:w="3168"/>
            <w:tcMar>
              <w:top w:w="70" w:type="dxa"/>
              <w:start w:w="90" w:type="dxa"/>
              <w:bottom w:w="70" w:type="dxa"/>
              <w:end w:w="90" w:type="dxa"/>
            </w:tcMar>
            <w:vAlign w:val="top"/>
          </w:tcPr>
          <w:p>
            <w:pPr>
              <w:spacing w:after="0" w:line="240" w:lineRule="auto"/>
            </w:pPr>
            <w:r>
              <w:rPr>
                <w:sz w:val="16"/>
              </w:rPr>
              <w:t>Trapped populations; dynamic electric-field transport.</w:t>
            </w:r>
          </w:p>
        </w:tc>
      </w:tr>
      <w:tr>
        <w:trPr>
          <w:cantSplit/>
        </w:trPr>
        <w:tc>
          <w:tcPr>
            <w:tcW w:type="dxa" w:w="1800"/>
            <w:shd w:fill="F8FAFB"/>
            <w:tcMar>
              <w:top w:w="70" w:type="dxa"/>
              <w:start w:w="90" w:type="dxa"/>
              <w:bottom w:w="70" w:type="dxa"/>
              <w:end w:w="90" w:type="dxa"/>
            </w:tcMar>
            <w:vAlign w:val="top"/>
          </w:tcPr>
          <w:p>
            <w:pPr>
              <w:spacing w:after="0" w:line="240" w:lineRule="auto"/>
            </w:pPr>
            <w:r>
              <w:rPr>
                <w:b/>
                <w:color w:val="15354A"/>
                <w:sz w:val="16"/>
              </w:rPr>
              <w:t>R2: Static mesh flux</w:t>
            </w:r>
          </w:p>
        </w:tc>
        <w:tc>
          <w:tcPr>
            <w:tcW w:type="dxa" w:w="4824"/>
            <w:shd w:fill="F8FAFB"/>
            <w:tcMar>
              <w:top w:w="70" w:type="dxa"/>
              <w:start w:w="90" w:type="dxa"/>
              <w:bottom w:w="70" w:type="dxa"/>
              <w:end w:w="90" w:type="dxa"/>
            </w:tcMar>
            <w:vAlign w:val="top"/>
          </w:tcPr>
          <w:p>
            <w:pPr>
              <w:spacing w:after="0" w:line="240" w:lineRule="auto"/>
            </w:pPr>
            <w:r>
              <w:rPr>
                <w:sz w:val="16"/>
              </w:rPr>
              <w:t>Same products in converged Mode3D/SWMF magnetic snapshots with parity evidence.</w:t>
            </w:r>
          </w:p>
        </w:tc>
        <w:tc>
          <w:tcPr>
            <w:tcW w:type="dxa" w:w="3168"/>
            <w:shd w:fill="F8FAFB"/>
            <w:tcMar>
              <w:top w:w="70" w:type="dxa"/>
              <w:start w:w="90" w:type="dxa"/>
              <w:bottom w:w="70" w:type="dxa"/>
              <w:end w:w="90" w:type="dxa"/>
            </w:tcMar>
            <w:vAlign w:val="top"/>
          </w:tcPr>
          <w:p>
            <w:pPr>
              <w:spacing w:after="0" w:line="240" w:lineRule="auto"/>
            </w:pPr>
            <w:r>
              <w:rPr>
                <w:sz w:val="16"/>
              </w:rPr>
              <w:t>Time-dependent characteristic effects unless M5 tests pass.</w:t>
            </w:r>
          </w:p>
        </w:tc>
      </w:tr>
      <w:tr>
        <w:trPr>
          <w:cantSplit/>
        </w:trPr>
        <w:tc>
          <w:tcPr>
            <w:tcW w:type="dxa" w:w="1800"/>
            <w:tcMar>
              <w:top w:w="70" w:type="dxa"/>
              <w:start w:w="90" w:type="dxa"/>
              <w:bottom w:w="70" w:type="dxa"/>
              <w:end w:w="90" w:type="dxa"/>
            </w:tcMar>
            <w:vAlign w:val="top"/>
          </w:tcPr>
          <w:p>
            <w:pPr>
              <w:spacing w:after="0" w:line="240" w:lineRule="auto"/>
            </w:pPr>
            <w:r>
              <w:rPr>
                <w:b/>
                <w:color w:val="15354A"/>
                <w:sz w:val="16"/>
              </w:rPr>
              <w:t>R3: Observation-qualified</w:t>
            </w:r>
          </w:p>
        </w:tc>
        <w:tc>
          <w:tcPr>
            <w:tcW w:type="dxa" w:w="4824"/>
            <w:tcMar>
              <w:top w:w="70" w:type="dxa"/>
              <w:start w:w="90" w:type="dxa"/>
              <w:bottom w:w="70" w:type="dxa"/>
              <w:end w:w="90" w:type="dxa"/>
            </w:tcMar>
            <w:vAlign w:val="top"/>
          </w:tcPr>
          <w:p>
            <w:pPr>
              <w:spacing w:after="0" w:line="240" w:lineRule="auto"/>
            </w:pPr>
            <w:r>
              <w:rPr>
                <w:sz w:val="16"/>
              </w:rPr>
              <w:t>Event-scale proton spectra/rates for validated instruments, energies, geometries, and field regimes.</w:t>
            </w:r>
          </w:p>
        </w:tc>
        <w:tc>
          <w:tcPr>
            <w:tcW w:type="dxa" w:w="3168"/>
            <w:tcMar>
              <w:top w:w="70" w:type="dxa"/>
              <w:start w:w="90" w:type="dxa"/>
              <w:bottom w:w="70" w:type="dxa"/>
              <w:end w:w="90" w:type="dxa"/>
            </w:tcMar>
            <w:vAlign w:val="top"/>
          </w:tcPr>
          <w:p>
            <w:pPr>
              <w:spacing w:after="0" w:line="240" w:lineRule="auto"/>
            </w:pPr>
            <w:r>
              <w:rPr>
                <w:sz w:val="16"/>
              </w:rPr>
              <w:t>Unvalidated species/instruments or extrapolation outside training/holdout domain.</w:t>
            </w:r>
          </w:p>
        </w:tc>
      </w:tr>
      <w:tr>
        <w:trPr>
          <w:cantSplit/>
        </w:trPr>
        <w:tc>
          <w:tcPr>
            <w:tcW w:type="dxa" w:w="1800"/>
            <w:shd w:fill="F8FAFB"/>
            <w:tcMar>
              <w:top w:w="70" w:type="dxa"/>
              <w:start w:w="90" w:type="dxa"/>
              <w:bottom w:w="70" w:type="dxa"/>
              <w:end w:w="90" w:type="dxa"/>
            </w:tcMar>
            <w:vAlign w:val="top"/>
          </w:tcPr>
          <w:p>
            <w:pPr>
              <w:spacing w:after="0" w:line="240" w:lineRule="auto"/>
            </w:pPr>
            <w:r>
              <w:rPr>
                <w:b/>
                <w:color w:val="15354A"/>
                <w:sz w:val="16"/>
              </w:rPr>
              <w:t>R4: Dynamic/forward</w:t>
            </w:r>
          </w:p>
        </w:tc>
        <w:tc>
          <w:tcPr>
            <w:tcW w:type="dxa" w:w="4824"/>
            <w:shd w:fill="F8FAFB"/>
            <w:tcMar>
              <w:top w:w="70" w:type="dxa"/>
              <w:start w:w="90" w:type="dxa"/>
              <w:bottom w:w="70" w:type="dxa"/>
              <w:end w:w="90" w:type="dxa"/>
            </w:tcMar>
            <w:vAlign w:val="top"/>
          </w:tcPr>
          <w:p>
            <w:pPr>
              <w:spacing w:after="0" w:line="240" w:lineRule="auto"/>
            </w:pPr>
            <w:r>
              <w:rPr>
                <w:sz w:val="16"/>
              </w:rPr>
              <w:t>Products including tested E/B time dependence and specified trapping/loss processes.</w:t>
            </w:r>
          </w:p>
        </w:tc>
        <w:tc>
          <w:tcPr>
            <w:tcW w:type="dxa" w:w="3168"/>
            <w:shd w:fill="F8FAFB"/>
            <w:tcMar>
              <w:top w:w="70" w:type="dxa"/>
              <w:start w:w="90" w:type="dxa"/>
              <w:bottom w:w="70" w:type="dxa"/>
              <w:end w:w="90" w:type="dxa"/>
            </w:tcMar>
            <w:vAlign w:val="top"/>
          </w:tcPr>
          <w:p>
            <w:pPr>
              <w:spacing w:after="0" w:line="240" w:lineRule="auto"/>
            </w:pPr>
            <w:r>
              <w:rPr>
                <w:sz w:val="16"/>
              </w:rPr>
              <w:t>Radiation-belt completeness without source/loss validation.</w:t>
            </w:r>
          </w:p>
        </w:tc>
      </w:tr>
    </w:tbl>
    <w:p>
      <w:pPr>
        <w:spacing w:after="0"/>
      </w:pPr>
    </w:p>
    <w:p>
      <w:pPr>
        <w:pStyle w:val="Heading1"/>
      </w:pPr>
      <w:bookmarkStart w:id="128" w:name="toc_section_29"/>
      <w:r>
        <w:t>10. Execution, CI, and evidence management</w:t>
      </w:r>
      <w:bookmarkEnd w:id="128"/>
    </w:p>
    <w:p>
      <w:pPr>
        <w:pStyle w:val="Heading2"/>
      </w:pPr>
      <w:bookmarkStart w:id="129" w:name="toc_section_30"/>
      <w:r>
        <w:t>10.1 Test lanes</w:t>
      </w:r>
      <w:bookmarkEnd w:id="129"/>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5354A"/>
            <w:tcMar>
              <w:top w:w="70" w:type="dxa"/>
              <w:start w:w="90" w:type="dxa"/>
              <w:bottom w:w="70" w:type="dxa"/>
              <w:end w:w="90" w:type="dxa"/>
            </w:tcMar>
            <w:vAlign w:val="center"/>
          </w:tcPr>
          <w:p>
            <w:pPr>
              <w:spacing w:after="0"/>
              <w:jc w:val="left"/>
            </w:pPr>
            <w:r>
              <w:rPr>
                <w:b/>
                <w:color w:val="FFFFFF"/>
                <w:sz w:val="16"/>
              </w:rPr>
              <w:t>Lane</w:t>
            </w:r>
          </w:p>
        </w:tc>
        <w:tc>
          <w:tcPr>
            <w:tcW w:type="dxa" w:w="1655"/>
            <w:shd w:fill="15354A"/>
            <w:tcMar>
              <w:top w:w="70" w:type="dxa"/>
              <w:start w:w="90" w:type="dxa"/>
              <w:bottom w:w="70" w:type="dxa"/>
              <w:end w:w="90" w:type="dxa"/>
            </w:tcMar>
            <w:vAlign w:val="center"/>
          </w:tcPr>
          <w:p>
            <w:pPr>
              <w:spacing w:after="0"/>
              <w:jc w:val="left"/>
            </w:pPr>
            <w:r>
              <w:rPr>
                <w:b/>
                <w:color w:val="FFFFFF"/>
                <w:sz w:val="16"/>
              </w:rPr>
              <w:t>Trigger</w:t>
            </w:r>
          </w:p>
        </w:tc>
        <w:tc>
          <w:tcPr>
            <w:tcW w:type="dxa" w:w="5256"/>
            <w:shd w:fill="15354A"/>
            <w:tcMar>
              <w:top w:w="70" w:type="dxa"/>
              <w:start w:w="90" w:type="dxa"/>
              <w:bottom w:w="70" w:type="dxa"/>
              <w:end w:w="90" w:type="dxa"/>
            </w:tcMar>
            <w:vAlign w:val="center"/>
          </w:tcPr>
          <w:p>
            <w:pPr>
              <w:spacing w:after="0"/>
              <w:jc w:val="left"/>
            </w:pPr>
            <w:r>
              <w:rPr>
                <w:b/>
                <w:color w:val="FFFFFF"/>
                <w:sz w:val="16"/>
              </w:rPr>
              <w:t>Content</w:t>
            </w:r>
          </w:p>
        </w:tc>
        <w:tc>
          <w:tcPr>
            <w:tcW w:type="dxa" w:w="1440"/>
            <w:shd w:fill="15354A"/>
            <w:tcMar>
              <w:top w:w="70" w:type="dxa"/>
              <w:start w:w="90" w:type="dxa"/>
              <w:bottom w:w="70" w:type="dxa"/>
              <w:end w:w="90" w:type="dxa"/>
            </w:tcMar>
            <w:vAlign w:val="center"/>
          </w:tcPr>
          <w:p>
            <w:pPr>
              <w:spacing w:after="0"/>
              <w:jc w:val="left"/>
            </w:pPr>
            <w:r>
              <w:rPr>
                <w:b/>
                <w:color w:val="FFFFFF"/>
                <w:sz w:val="16"/>
              </w:rPr>
              <w:t>Target runtime / policy</w:t>
            </w:r>
          </w:p>
        </w:tc>
      </w:tr>
      <w:tr>
        <w:trPr>
          <w:cantSplit/>
        </w:trPr>
        <w:tc>
          <w:tcPr>
            <w:tcW w:type="dxa" w:w="1440"/>
            <w:tcMar>
              <w:top w:w="70" w:type="dxa"/>
              <w:start w:w="90" w:type="dxa"/>
              <w:bottom w:w="70" w:type="dxa"/>
              <w:end w:w="90" w:type="dxa"/>
            </w:tcMar>
            <w:vAlign w:val="top"/>
          </w:tcPr>
          <w:p>
            <w:pPr>
              <w:spacing w:after="0" w:line="240" w:lineRule="auto"/>
            </w:pPr>
            <w:r>
              <w:rPr>
                <w:b/>
                <w:color w:val="15354A"/>
                <w:sz w:val="16"/>
              </w:rPr>
              <w:t>Pre-commit</w:t>
            </w:r>
          </w:p>
        </w:tc>
        <w:tc>
          <w:tcPr>
            <w:tcW w:type="dxa" w:w="1655"/>
            <w:tcMar>
              <w:top w:w="70" w:type="dxa"/>
              <w:start w:w="90" w:type="dxa"/>
              <w:bottom w:w="70" w:type="dxa"/>
              <w:end w:w="90" w:type="dxa"/>
            </w:tcMar>
            <w:vAlign w:val="top"/>
          </w:tcPr>
          <w:p>
            <w:pPr>
              <w:spacing w:after="0" w:line="240" w:lineRule="auto"/>
            </w:pPr>
            <w:r>
              <w:rPr>
                <w:sz w:val="16"/>
              </w:rPr>
              <w:t>Every change</w:t>
            </w:r>
          </w:p>
        </w:tc>
        <w:tc>
          <w:tcPr>
            <w:tcW w:type="dxa" w:w="5256"/>
            <w:tcMar>
              <w:top w:w="70" w:type="dxa"/>
              <w:start w:w="90" w:type="dxa"/>
              <w:bottom w:w="70" w:type="dxa"/>
              <w:end w:w="90" w:type="dxa"/>
            </w:tcMar>
            <w:vAlign w:val="top"/>
          </w:tcPr>
          <w:p>
            <w:pPr>
              <w:spacing w:after="0" w:line="240" w:lineRule="auto"/>
            </w:pPr>
            <w:r>
              <w:rPr>
                <w:sz w:val="16"/>
              </w:rPr>
              <w:t>All U-F tests; formatting/schema checks; small F3 boundary unit test.</w:t>
            </w:r>
          </w:p>
        </w:tc>
        <w:tc>
          <w:tcPr>
            <w:tcW w:type="dxa" w:w="1440"/>
            <w:tcMar>
              <w:top w:w="70" w:type="dxa"/>
              <w:start w:w="90" w:type="dxa"/>
              <w:bottom w:w="70" w:type="dxa"/>
              <w:end w:w="90" w:type="dxa"/>
            </w:tcMar>
            <w:vAlign w:val="top"/>
          </w:tcPr>
          <w:p>
            <w:pPr>
              <w:spacing w:after="0" w:line="240" w:lineRule="auto"/>
            </w:pPr>
            <w:r>
              <w:rPr>
                <w:sz w:val="16"/>
              </w:rPr>
              <w:t>Minutes; no network; deterministic.</w:t>
            </w:r>
          </w:p>
        </w:tc>
      </w:tr>
      <w:tr>
        <w:trPr>
          <w:cantSplit/>
        </w:trPr>
        <w:tc>
          <w:tcPr>
            <w:tcW w:type="dxa" w:w="1440"/>
            <w:shd w:fill="F8FAFB"/>
            <w:tcMar>
              <w:top w:w="70" w:type="dxa"/>
              <w:start w:w="90" w:type="dxa"/>
              <w:bottom w:w="70" w:type="dxa"/>
              <w:end w:w="90" w:type="dxa"/>
            </w:tcMar>
            <w:vAlign w:val="top"/>
          </w:tcPr>
          <w:p>
            <w:pPr>
              <w:spacing w:after="0" w:line="240" w:lineRule="auto"/>
            </w:pPr>
            <w:r>
              <w:rPr>
                <w:b/>
                <w:color w:val="15354A"/>
                <w:sz w:val="16"/>
              </w:rPr>
              <w:t>Pull request</w:t>
            </w:r>
          </w:p>
        </w:tc>
        <w:tc>
          <w:tcPr>
            <w:tcW w:type="dxa" w:w="1655"/>
            <w:shd w:fill="F8FAFB"/>
            <w:tcMar>
              <w:top w:w="70" w:type="dxa"/>
              <w:start w:w="90" w:type="dxa"/>
              <w:bottom w:w="70" w:type="dxa"/>
              <w:end w:w="90" w:type="dxa"/>
            </w:tcMar>
            <w:vAlign w:val="top"/>
          </w:tcPr>
          <w:p>
            <w:pPr>
              <w:spacing w:after="0" w:line="240" w:lineRule="auto"/>
            </w:pPr>
            <w:r>
              <w:rPr>
                <w:sz w:val="16"/>
              </w:rPr>
              <w:t>Every physics change</w:t>
            </w:r>
          </w:p>
        </w:tc>
        <w:tc>
          <w:tcPr>
            <w:tcW w:type="dxa" w:w="5256"/>
            <w:shd w:fill="F8FAFB"/>
            <w:tcMar>
              <w:top w:w="70" w:type="dxa"/>
              <w:start w:w="90" w:type="dxa"/>
              <w:bottom w:w="70" w:type="dxa"/>
              <w:end w:w="90" w:type="dxa"/>
            </w:tcMar>
            <w:vAlign w:val="top"/>
          </w:tcPr>
          <w:p>
            <w:pPr>
              <w:spacing w:after="0" w:line="240" w:lineRule="auto"/>
            </w:pPr>
            <w:r>
              <w:rPr>
                <w:sz w:val="16"/>
              </w:rPr>
              <w:t>Small I-F tests, existing fast F profiles, 1×1 and 2×8 runs.</w:t>
            </w:r>
          </w:p>
        </w:tc>
        <w:tc>
          <w:tcPr>
            <w:tcW w:type="dxa" w:w="1440"/>
            <w:shd w:fill="F8FAFB"/>
            <w:tcMar>
              <w:top w:w="70" w:type="dxa"/>
              <w:start w:w="90" w:type="dxa"/>
              <w:bottom w:w="70" w:type="dxa"/>
              <w:end w:w="90" w:type="dxa"/>
            </w:tcMar>
            <w:vAlign w:val="top"/>
          </w:tcPr>
          <w:p>
            <w:pPr>
              <w:spacing w:after="0" w:line="240" w:lineRule="auto"/>
            </w:pPr>
            <w:r>
              <w:rPr>
                <w:sz w:val="16"/>
              </w:rPr>
              <w:t>Fail closed on missing artifacts or unresolved violations.</w:t>
            </w:r>
          </w:p>
        </w:tc>
      </w:tr>
      <w:tr>
        <w:trPr>
          <w:cantSplit/>
        </w:trPr>
        <w:tc>
          <w:tcPr>
            <w:tcW w:type="dxa" w:w="1440"/>
            <w:tcMar>
              <w:top w:w="70" w:type="dxa"/>
              <w:start w:w="90" w:type="dxa"/>
              <w:bottom w:w="70" w:type="dxa"/>
              <w:end w:w="90" w:type="dxa"/>
            </w:tcMar>
            <w:vAlign w:val="top"/>
          </w:tcPr>
          <w:p>
            <w:pPr>
              <w:spacing w:after="0" w:line="240" w:lineRule="auto"/>
            </w:pPr>
            <w:r>
              <w:rPr>
                <w:b/>
                <w:color w:val="15354A"/>
                <w:sz w:val="16"/>
              </w:rPr>
              <w:t>Nightly</w:t>
            </w:r>
          </w:p>
        </w:tc>
        <w:tc>
          <w:tcPr>
            <w:tcW w:type="dxa" w:w="1655"/>
            <w:tcMar>
              <w:top w:w="70" w:type="dxa"/>
              <w:start w:w="90" w:type="dxa"/>
              <w:bottom w:w="70" w:type="dxa"/>
              <w:end w:w="90" w:type="dxa"/>
            </w:tcMar>
            <w:vAlign w:val="top"/>
          </w:tcPr>
          <w:p>
            <w:pPr>
              <w:spacing w:after="0" w:line="240" w:lineRule="auto"/>
            </w:pPr>
            <w:r>
              <w:rPr>
                <w:sz w:val="16"/>
              </w:rPr>
              <w:t>Daily</w:t>
            </w:r>
          </w:p>
        </w:tc>
        <w:tc>
          <w:tcPr>
            <w:tcW w:type="dxa" w:w="5256"/>
            <w:tcMar>
              <w:top w:w="70" w:type="dxa"/>
              <w:start w:w="90" w:type="dxa"/>
              <w:bottom w:w="70" w:type="dxa"/>
              <w:end w:w="90" w:type="dxa"/>
            </w:tcMar>
            <w:vAlign w:val="top"/>
          </w:tcPr>
          <w:p>
            <w:pPr>
              <w:spacing w:after="0" w:line="240" w:lineRule="auto"/>
            </w:pPr>
            <w:r>
              <w:rPr>
                <w:sz w:val="16"/>
              </w:rPr>
              <w:t>Default 8×16 F suite; Mode3D parity; grid/time/mover convergence subset.</w:t>
            </w:r>
          </w:p>
        </w:tc>
        <w:tc>
          <w:tcPr>
            <w:tcW w:type="dxa" w:w="1440"/>
            <w:tcMar>
              <w:top w:w="70" w:type="dxa"/>
              <w:start w:w="90" w:type="dxa"/>
              <w:bottom w:w="70" w:type="dxa"/>
              <w:end w:w="90" w:type="dxa"/>
            </w:tcMar>
            <w:vAlign w:val="top"/>
          </w:tcPr>
          <w:p>
            <w:pPr>
              <w:spacing w:after="0" w:line="240" w:lineRule="auto"/>
            </w:pPr>
            <w:r>
              <w:rPr>
                <w:sz w:val="16"/>
              </w:rPr>
              <w:t>Archive full summaries and finest-level raw outputs.</w:t>
            </w:r>
          </w:p>
        </w:tc>
      </w:tr>
      <w:tr>
        <w:trPr>
          <w:cantSplit/>
        </w:trPr>
        <w:tc>
          <w:tcPr>
            <w:tcW w:type="dxa" w:w="1440"/>
            <w:shd w:fill="F8FAFB"/>
            <w:tcMar>
              <w:top w:w="70" w:type="dxa"/>
              <w:start w:w="90" w:type="dxa"/>
              <w:bottom w:w="70" w:type="dxa"/>
              <w:end w:w="90" w:type="dxa"/>
            </w:tcMar>
            <w:vAlign w:val="top"/>
          </w:tcPr>
          <w:p>
            <w:pPr>
              <w:spacing w:after="0" w:line="240" w:lineRule="auto"/>
            </w:pPr>
            <w:r>
              <w:rPr>
                <w:b/>
                <w:color w:val="15354A"/>
                <w:sz w:val="16"/>
              </w:rPr>
              <w:t>Event</w:t>
            </w:r>
          </w:p>
        </w:tc>
        <w:tc>
          <w:tcPr>
            <w:tcW w:type="dxa" w:w="1655"/>
            <w:shd w:fill="F8FAFB"/>
            <w:tcMar>
              <w:top w:w="70" w:type="dxa"/>
              <w:start w:w="90" w:type="dxa"/>
              <w:bottom w:w="70" w:type="dxa"/>
              <w:end w:w="90" w:type="dxa"/>
            </w:tcMar>
            <w:vAlign w:val="top"/>
          </w:tcPr>
          <w:p>
            <w:pPr>
              <w:spacing w:after="0" w:line="240" w:lineRule="auto"/>
            </w:pPr>
            <w:r>
              <w:rPr>
                <w:sz w:val="16"/>
              </w:rPr>
              <w:t>Tagged candidate release</w:t>
            </w:r>
          </w:p>
        </w:tc>
        <w:tc>
          <w:tcPr>
            <w:tcW w:type="dxa" w:w="5256"/>
            <w:shd w:fill="F8FAFB"/>
            <w:tcMar>
              <w:top w:w="70" w:type="dxa"/>
              <w:start w:w="90" w:type="dxa"/>
              <w:bottom w:w="70" w:type="dxa"/>
              <w:end w:w="90" w:type="dxa"/>
            </w:tcMar>
            <w:vAlign w:val="top"/>
          </w:tcPr>
          <w:p>
            <w:pPr>
              <w:spacing w:after="0" w:line="240" w:lineRule="auto"/>
            </w:pPr>
            <w:r>
              <w:rPr>
                <w:sz w:val="16"/>
              </w:rPr>
              <w:t>O1–O3, full convergence ensembles, field/boundary variants.</w:t>
            </w:r>
          </w:p>
        </w:tc>
        <w:tc>
          <w:tcPr>
            <w:tcW w:type="dxa" w:w="1440"/>
            <w:shd w:fill="F8FAFB"/>
            <w:tcMar>
              <w:top w:w="70" w:type="dxa"/>
              <w:start w:w="90" w:type="dxa"/>
              <w:bottom w:w="70" w:type="dxa"/>
              <w:end w:w="90" w:type="dxa"/>
            </w:tcMar>
            <w:vAlign w:val="top"/>
          </w:tcPr>
          <w:p>
            <w:pPr>
              <w:spacing w:after="0" w:line="240" w:lineRule="auto"/>
            </w:pPr>
            <w:r>
              <w:rPr>
                <w:sz w:val="16"/>
              </w:rPr>
              <w:t>Versioned data cache and response adapters; no live-data drift.</w:t>
            </w:r>
          </w:p>
        </w:tc>
      </w:tr>
      <w:tr>
        <w:trPr>
          <w:cantSplit/>
        </w:trPr>
        <w:tc>
          <w:tcPr>
            <w:tcW w:type="dxa" w:w="1440"/>
            <w:tcMar>
              <w:top w:w="70" w:type="dxa"/>
              <w:start w:w="90" w:type="dxa"/>
              <w:bottom w:w="70" w:type="dxa"/>
              <w:end w:w="90" w:type="dxa"/>
            </w:tcMar>
            <w:vAlign w:val="top"/>
          </w:tcPr>
          <w:p>
            <w:pPr>
              <w:spacing w:after="0" w:line="240" w:lineRule="auto"/>
            </w:pPr>
            <w:r>
              <w:rPr>
                <w:b/>
                <w:color w:val="15354A"/>
                <w:sz w:val="16"/>
              </w:rPr>
              <w:t>Holdout</w:t>
            </w:r>
          </w:p>
        </w:tc>
        <w:tc>
          <w:tcPr>
            <w:tcW w:type="dxa" w:w="1655"/>
            <w:tcMar>
              <w:top w:w="70" w:type="dxa"/>
              <w:start w:w="90" w:type="dxa"/>
              <w:bottom w:w="70" w:type="dxa"/>
              <w:end w:w="90" w:type="dxa"/>
            </w:tcMar>
            <w:vAlign w:val="top"/>
          </w:tcPr>
          <w:p>
            <w:pPr>
              <w:spacing w:after="0" w:line="240" w:lineRule="auto"/>
            </w:pPr>
            <w:r>
              <w:rPr>
                <w:sz w:val="16"/>
              </w:rPr>
              <w:t>Release gate</w:t>
            </w:r>
          </w:p>
        </w:tc>
        <w:tc>
          <w:tcPr>
            <w:tcW w:type="dxa" w:w="5256"/>
            <w:tcMar>
              <w:top w:w="70" w:type="dxa"/>
              <w:start w:w="90" w:type="dxa"/>
              <w:bottom w:w="70" w:type="dxa"/>
              <w:end w:w="90" w:type="dxa"/>
            </w:tcMar>
            <w:vAlign w:val="top"/>
          </w:tcPr>
          <w:p>
            <w:pPr>
              <w:spacing w:after="0" w:line="240" w:lineRule="auto"/>
            </w:pPr>
            <w:r>
              <w:rPr>
                <w:sz w:val="16"/>
              </w:rPr>
              <w:t>O4 only after code/metrics freeze.</w:t>
            </w:r>
          </w:p>
        </w:tc>
        <w:tc>
          <w:tcPr>
            <w:tcW w:type="dxa" w:w="1440"/>
            <w:tcMar>
              <w:top w:w="70" w:type="dxa"/>
              <w:start w:w="90" w:type="dxa"/>
              <w:bottom w:w="70" w:type="dxa"/>
              <w:end w:w="90" w:type="dxa"/>
            </w:tcMar>
            <w:vAlign w:val="top"/>
          </w:tcPr>
          <w:p>
            <w:pPr>
              <w:spacing w:after="0" w:line="240" w:lineRule="auto"/>
            </w:pPr>
            <w:r>
              <w:rPr>
                <w:sz w:val="16"/>
              </w:rPr>
              <w:t>Immutable manifest; report failure without retuning.</w:t>
            </w:r>
          </w:p>
        </w:tc>
      </w:tr>
    </w:tbl>
    <w:p>
      <w:pPr>
        <w:spacing w:after="0"/>
      </w:pPr>
    </w:p>
    <w:p>
      <w:pPr>
        <w:pStyle w:val="Heading2"/>
      </w:pPr>
      <w:bookmarkStart w:id="130" w:name="toc_section_31"/>
      <w:r>
        <w:t>10.2 Required provenance manifest</w:t>
      </w:r>
      <w:bookmarkEnd w:id="130"/>
    </w:p>
    <w:p>
      <w:r>
        <w:t>Every run should emit one JSON manifest containing source revision, dirty-state flag, compiler/dependencies, executable hash, input hash, field/snapshot IDs, boundary/response data versions and hashes, species, epoch/frame, mover/tolerances, grid/refinement history, MPI/thread/scheduler settings, random seed/stream policy, wall time, termination counts, and all result artifacts.</w:t>
      </w:r>
    </w:p>
    <w:p>
      <w:pPr>
        <w:pStyle w:val="Heading2"/>
      </w:pPr>
      <w:bookmarkStart w:id="131" w:name="toc_section_32"/>
      <w:r>
        <w:t>10.3 Risk register</w:t>
      </w:r>
      <w:bookmarkEnd w:id="131"/>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shd w:fill="15354A"/>
            <w:tcMar>
              <w:top w:w="70" w:type="dxa"/>
              <w:start w:w="90" w:type="dxa"/>
              <w:bottom w:w="70" w:type="dxa"/>
              <w:end w:w="90" w:type="dxa"/>
            </w:tcMar>
            <w:vAlign w:val="center"/>
          </w:tcPr>
          <w:p>
            <w:pPr>
              <w:spacing w:after="0"/>
              <w:jc w:val="left"/>
            </w:pPr>
            <w:r>
              <w:rPr>
                <w:b/>
                <w:color w:val="FFFFFF"/>
                <w:sz w:val="15"/>
              </w:rPr>
              <w:t>ID</w:t>
            </w:r>
          </w:p>
        </w:tc>
        <w:tc>
          <w:tcPr>
            <w:tcW w:type="dxa" w:w="3816"/>
            <w:shd w:fill="15354A"/>
            <w:tcMar>
              <w:top w:w="70" w:type="dxa"/>
              <w:start w:w="90" w:type="dxa"/>
              <w:bottom w:w="70" w:type="dxa"/>
              <w:end w:w="90" w:type="dxa"/>
            </w:tcMar>
            <w:vAlign w:val="center"/>
          </w:tcPr>
          <w:p>
            <w:pPr>
              <w:spacing w:after="0"/>
              <w:jc w:val="left"/>
            </w:pPr>
            <w:r>
              <w:rPr>
                <w:b/>
                <w:color w:val="FFFFFF"/>
                <w:sz w:val="15"/>
              </w:rPr>
              <w:t>Risk</w:t>
            </w:r>
          </w:p>
        </w:tc>
        <w:tc>
          <w:tcPr>
            <w:tcW w:type="dxa" w:w="1007"/>
            <w:shd w:fill="15354A"/>
            <w:tcMar>
              <w:top w:w="70" w:type="dxa"/>
              <w:start w:w="90" w:type="dxa"/>
              <w:bottom w:w="70" w:type="dxa"/>
              <w:end w:w="90" w:type="dxa"/>
            </w:tcMar>
            <w:vAlign w:val="center"/>
          </w:tcPr>
          <w:p>
            <w:pPr>
              <w:spacing w:after="0"/>
              <w:jc w:val="left"/>
            </w:pPr>
            <w:r>
              <w:rPr>
                <w:b/>
                <w:color w:val="FFFFFF"/>
                <w:sz w:val="15"/>
              </w:rPr>
              <w:t>Impact</w:t>
            </w:r>
          </w:p>
        </w:tc>
        <w:tc>
          <w:tcPr>
            <w:tcW w:type="dxa" w:w="4104"/>
            <w:shd w:fill="15354A"/>
            <w:tcMar>
              <w:top w:w="70" w:type="dxa"/>
              <w:start w:w="90" w:type="dxa"/>
              <w:bottom w:w="70" w:type="dxa"/>
              <w:end w:w="90" w:type="dxa"/>
            </w:tcMar>
            <w:vAlign w:val="center"/>
          </w:tcPr>
          <w:p>
            <w:pPr>
              <w:spacing w:after="0"/>
              <w:jc w:val="left"/>
            </w:pPr>
            <w:r>
              <w:rPr>
                <w:b/>
                <w:color w:val="FFFFFF"/>
                <w:sz w:val="15"/>
              </w:rPr>
              <w:t>Control</w:t>
            </w:r>
          </w:p>
        </w:tc>
      </w:tr>
      <w:tr>
        <w:trPr>
          <w:cantSplit/>
        </w:trPr>
        <w:tc>
          <w:tcPr>
            <w:tcW w:type="dxa" w:w="864"/>
            <w:tcMar>
              <w:top w:w="70" w:type="dxa"/>
              <w:start w:w="90" w:type="dxa"/>
              <w:bottom w:w="70" w:type="dxa"/>
              <w:end w:w="90" w:type="dxa"/>
            </w:tcMar>
            <w:vAlign w:val="top"/>
          </w:tcPr>
          <w:p>
            <w:pPr>
              <w:spacing w:after="0" w:line="240" w:lineRule="auto"/>
            </w:pPr>
            <w:r>
              <w:rPr>
                <w:b/>
                <w:color w:val="15354A"/>
                <w:sz w:val="15"/>
              </w:rPr>
              <w:t>R-01</w:t>
            </w:r>
          </w:p>
        </w:tc>
        <w:tc>
          <w:tcPr>
            <w:tcW w:type="dxa" w:w="3816"/>
            <w:tcMar>
              <w:top w:w="70" w:type="dxa"/>
              <w:start w:w="90" w:type="dxa"/>
              <w:bottom w:w="70" w:type="dxa"/>
              <w:end w:w="90" w:type="dxa"/>
            </w:tcMar>
            <w:vAlign w:val="top"/>
          </w:tcPr>
          <w:p>
            <w:pPr>
              <w:spacing w:after="0" w:line="240" w:lineRule="auto"/>
            </w:pPr>
            <w:r>
              <w:rPr>
                <w:sz w:val="15"/>
              </w:rPr>
              <w:t>Unresolved trajectories mimic geomagnetic shielding.</w:t>
            </w:r>
          </w:p>
        </w:tc>
        <w:tc>
          <w:tcPr>
            <w:tcW w:type="dxa" w:w="1007"/>
            <w:tcMar>
              <w:top w:w="70" w:type="dxa"/>
              <w:start w:w="90" w:type="dxa"/>
              <w:bottom w:w="70" w:type="dxa"/>
              <w:end w:w="90" w:type="dxa"/>
            </w:tcMar>
            <w:vAlign w:val="top"/>
          </w:tcPr>
          <w:p>
            <w:pPr>
              <w:spacing w:after="0" w:line="240" w:lineRule="auto"/>
            </w:pPr>
            <w:r>
              <w:rPr>
                <w:sz w:val="15"/>
              </w:rPr>
              <w:t>High</w:t>
            </w:r>
          </w:p>
        </w:tc>
        <w:tc>
          <w:tcPr>
            <w:tcW w:type="dxa" w:w="4104"/>
            <w:tcMar>
              <w:top w:w="70" w:type="dxa"/>
              <w:start w:w="90" w:type="dxa"/>
              <w:bottom w:w="70" w:type="dxa"/>
              <w:end w:w="90" w:type="dxa"/>
            </w:tcMar>
            <w:vAlign w:val="top"/>
          </w:tcPr>
          <w:p>
            <w:pPr>
              <w:spacing w:after="0" w:line="240" w:lineRule="auto"/>
            </w:pPr>
            <w:r>
              <w:rPr>
                <w:sz w:val="15"/>
              </w:rPr>
              <w:t>Lower/upper products; response-weighted gate; no-resolved state explicit.</w:t>
            </w:r>
          </w:p>
        </w:tc>
      </w:tr>
      <w:tr>
        <w:trPr>
          <w:cantSplit/>
        </w:trPr>
        <w:tc>
          <w:tcPr>
            <w:tcW w:type="dxa" w:w="864"/>
            <w:shd w:fill="F8FAFB"/>
            <w:tcMar>
              <w:top w:w="70" w:type="dxa"/>
              <w:start w:w="90" w:type="dxa"/>
              <w:bottom w:w="70" w:type="dxa"/>
              <w:end w:w="90" w:type="dxa"/>
            </w:tcMar>
            <w:vAlign w:val="top"/>
          </w:tcPr>
          <w:p>
            <w:pPr>
              <w:spacing w:after="0" w:line="240" w:lineRule="auto"/>
            </w:pPr>
            <w:r>
              <w:rPr>
                <w:b/>
                <w:color w:val="15354A"/>
                <w:sz w:val="15"/>
              </w:rPr>
              <w:t>R-02</w:t>
            </w:r>
          </w:p>
        </w:tc>
        <w:tc>
          <w:tcPr>
            <w:tcW w:type="dxa" w:w="3816"/>
            <w:shd w:fill="F8FAFB"/>
            <w:tcMar>
              <w:top w:w="70" w:type="dxa"/>
              <w:start w:w="90" w:type="dxa"/>
              <w:bottom w:w="70" w:type="dxa"/>
              <w:end w:w="90" w:type="dxa"/>
            </w:tcMar>
            <w:vAlign w:val="top"/>
          </w:tcPr>
          <w:p>
            <w:pPr>
              <w:spacing w:after="0" w:line="240" w:lineRule="auto"/>
            </w:pPr>
            <w:r>
              <w:rPr>
                <w:sz w:val="15"/>
              </w:rPr>
              <w:t>Instrument aperture/response mismatch dominates residuals.</w:t>
            </w:r>
          </w:p>
        </w:tc>
        <w:tc>
          <w:tcPr>
            <w:tcW w:type="dxa" w:w="1007"/>
            <w:shd w:fill="F8FAFB"/>
            <w:tcMar>
              <w:top w:w="70" w:type="dxa"/>
              <w:start w:w="90" w:type="dxa"/>
              <w:bottom w:w="70" w:type="dxa"/>
              <w:end w:w="90" w:type="dxa"/>
            </w:tcMar>
            <w:vAlign w:val="top"/>
          </w:tcPr>
          <w:p>
            <w:pPr>
              <w:spacing w:after="0" w:line="240" w:lineRule="auto"/>
            </w:pPr>
            <w:r>
              <w:rPr>
                <w:sz w:val="15"/>
              </w:rPr>
              <w:t>High</w:t>
            </w:r>
          </w:p>
        </w:tc>
        <w:tc>
          <w:tcPr>
            <w:tcW w:type="dxa" w:w="4104"/>
            <w:shd w:fill="F8FAFB"/>
            <w:tcMar>
              <w:top w:w="70" w:type="dxa"/>
              <w:start w:w="90" w:type="dxa"/>
              <w:bottom w:w="70" w:type="dxa"/>
              <w:end w:w="90" w:type="dxa"/>
            </w:tcMar>
            <w:vAlign w:val="top"/>
          </w:tcPr>
          <w:p>
            <w:pPr>
              <w:spacing w:after="0" w:line="240" w:lineRule="auto"/>
            </w:pPr>
            <w:r>
              <w:rPr>
                <w:sz w:val="15"/>
              </w:rPr>
              <w:t>Versioned response adapter; synthetic response tests; score in measurement space.</w:t>
            </w:r>
          </w:p>
        </w:tc>
      </w:tr>
      <w:tr>
        <w:trPr>
          <w:cantSplit/>
        </w:trPr>
        <w:tc>
          <w:tcPr>
            <w:tcW w:type="dxa" w:w="864"/>
            <w:tcMar>
              <w:top w:w="70" w:type="dxa"/>
              <w:start w:w="90" w:type="dxa"/>
              <w:bottom w:w="70" w:type="dxa"/>
              <w:end w:w="90" w:type="dxa"/>
            </w:tcMar>
            <w:vAlign w:val="top"/>
          </w:tcPr>
          <w:p>
            <w:pPr>
              <w:spacing w:after="0" w:line="240" w:lineRule="auto"/>
            </w:pPr>
            <w:r>
              <w:rPr>
                <w:b/>
                <w:color w:val="15354A"/>
                <w:sz w:val="15"/>
              </w:rPr>
              <w:t>R-03</w:t>
            </w:r>
          </w:p>
        </w:tc>
        <w:tc>
          <w:tcPr>
            <w:tcW w:type="dxa" w:w="3816"/>
            <w:tcMar>
              <w:top w:w="70" w:type="dxa"/>
              <w:start w:w="90" w:type="dxa"/>
              <w:bottom w:w="70" w:type="dxa"/>
              <w:end w:w="90" w:type="dxa"/>
            </w:tcMar>
            <w:vAlign w:val="top"/>
          </w:tcPr>
          <w:p>
            <w:pPr>
              <w:spacing w:after="0" w:line="240" w:lineRule="auto"/>
            </w:pPr>
            <w:r>
              <w:rPr>
                <w:sz w:val="15"/>
              </w:rPr>
              <w:t>Boundary spectrum is circularly inferred from validation data.</w:t>
            </w:r>
          </w:p>
        </w:tc>
        <w:tc>
          <w:tcPr>
            <w:tcW w:type="dxa" w:w="1007"/>
            <w:tcMar>
              <w:top w:w="70" w:type="dxa"/>
              <w:start w:w="90" w:type="dxa"/>
              <w:bottom w:w="70" w:type="dxa"/>
              <w:end w:w="90" w:type="dxa"/>
            </w:tcMar>
            <w:vAlign w:val="top"/>
          </w:tcPr>
          <w:p>
            <w:pPr>
              <w:spacing w:after="0" w:line="240" w:lineRule="auto"/>
            </w:pPr>
            <w:r>
              <w:rPr>
                <w:sz w:val="15"/>
              </w:rPr>
              <w:t>High</w:t>
            </w:r>
          </w:p>
        </w:tc>
        <w:tc>
          <w:tcPr>
            <w:tcW w:type="dxa" w:w="4104"/>
            <w:tcMar>
              <w:top w:w="70" w:type="dxa"/>
              <w:start w:w="90" w:type="dxa"/>
              <w:bottom w:w="70" w:type="dxa"/>
              <w:end w:w="90" w:type="dxa"/>
            </w:tcMar>
            <w:vAlign w:val="top"/>
          </w:tcPr>
          <w:p>
            <w:pPr>
              <w:spacing w:after="0" w:line="240" w:lineRule="auto"/>
            </w:pPr>
            <w:r>
              <w:rPr>
                <w:sz w:val="15"/>
              </w:rPr>
              <w:t>Independent/open-field boundary source; event-level shared normalization; held-out spacecraft.</w:t>
            </w:r>
          </w:p>
        </w:tc>
      </w:tr>
      <w:tr>
        <w:trPr>
          <w:cantSplit/>
        </w:trPr>
        <w:tc>
          <w:tcPr>
            <w:tcW w:type="dxa" w:w="864"/>
            <w:shd w:fill="F8FAFB"/>
            <w:tcMar>
              <w:top w:w="70" w:type="dxa"/>
              <w:start w:w="90" w:type="dxa"/>
              <w:bottom w:w="70" w:type="dxa"/>
              <w:end w:w="90" w:type="dxa"/>
            </w:tcMar>
            <w:vAlign w:val="top"/>
          </w:tcPr>
          <w:p>
            <w:pPr>
              <w:spacing w:after="0" w:line="240" w:lineRule="auto"/>
            </w:pPr>
            <w:r>
              <w:rPr>
                <w:b/>
                <w:color w:val="15354A"/>
                <w:sz w:val="15"/>
              </w:rPr>
              <w:t>R-04</w:t>
            </w:r>
          </w:p>
        </w:tc>
        <w:tc>
          <w:tcPr>
            <w:tcW w:type="dxa" w:w="3816"/>
            <w:shd w:fill="F8FAFB"/>
            <w:tcMar>
              <w:top w:w="70" w:type="dxa"/>
              <w:start w:w="90" w:type="dxa"/>
              <w:bottom w:w="70" w:type="dxa"/>
              <w:end w:w="90" w:type="dxa"/>
            </w:tcMar>
            <w:vAlign w:val="top"/>
          </w:tcPr>
          <w:p>
            <w:pPr>
              <w:spacing w:after="0" w:line="240" w:lineRule="auto"/>
            </w:pPr>
            <w:r>
              <w:rPr>
                <w:sz w:val="15"/>
              </w:rPr>
              <w:t>Mode3D/gridless discrepancies are hidden by different kernels.</w:t>
            </w:r>
          </w:p>
        </w:tc>
        <w:tc>
          <w:tcPr>
            <w:tcW w:type="dxa" w:w="1007"/>
            <w:shd w:fill="F8FAFB"/>
            <w:tcMar>
              <w:top w:w="70" w:type="dxa"/>
              <w:start w:w="90" w:type="dxa"/>
              <w:bottom w:w="70" w:type="dxa"/>
              <w:end w:w="90" w:type="dxa"/>
            </w:tcMar>
            <w:vAlign w:val="top"/>
          </w:tcPr>
          <w:p>
            <w:pPr>
              <w:spacing w:after="0" w:line="240" w:lineRule="auto"/>
            </w:pPr>
            <w:r>
              <w:rPr>
                <w:sz w:val="15"/>
              </w:rPr>
              <w:t>High</w:t>
            </w:r>
          </w:p>
        </w:tc>
        <w:tc>
          <w:tcPr>
            <w:tcW w:type="dxa" w:w="4104"/>
            <w:shd w:fill="F8FAFB"/>
            <w:tcMar>
              <w:top w:w="70" w:type="dxa"/>
              <w:start w:w="90" w:type="dxa"/>
              <w:bottom w:w="70" w:type="dxa"/>
              <w:end w:w="90" w:type="dxa"/>
            </w:tcMar>
            <w:vAlign w:val="top"/>
          </w:tcPr>
          <w:p>
            <w:pPr>
              <w:spacing w:after="0" w:line="240" w:lineRule="auto"/>
            </w:pPr>
            <w:r>
              <w:rPr>
                <w:sz w:val="15"/>
              </w:rPr>
              <w:t>Shared production library and exact common-field parity tests.</w:t>
            </w:r>
          </w:p>
        </w:tc>
      </w:tr>
      <w:tr>
        <w:trPr>
          <w:cantSplit/>
        </w:trPr>
        <w:tc>
          <w:tcPr>
            <w:tcW w:type="dxa" w:w="864"/>
            <w:tcMar>
              <w:top w:w="70" w:type="dxa"/>
              <w:start w:w="90" w:type="dxa"/>
              <w:bottom w:w="70" w:type="dxa"/>
              <w:end w:w="90" w:type="dxa"/>
            </w:tcMar>
            <w:vAlign w:val="top"/>
          </w:tcPr>
          <w:p>
            <w:pPr>
              <w:spacing w:after="0" w:line="240" w:lineRule="auto"/>
            </w:pPr>
            <w:r>
              <w:rPr>
                <w:b/>
                <w:color w:val="15354A"/>
                <w:sz w:val="15"/>
              </w:rPr>
              <w:t>R-05</w:t>
            </w:r>
          </w:p>
        </w:tc>
        <w:tc>
          <w:tcPr>
            <w:tcW w:type="dxa" w:w="3816"/>
            <w:tcMar>
              <w:top w:w="70" w:type="dxa"/>
              <w:start w:w="90" w:type="dxa"/>
              <w:bottom w:w="70" w:type="dxa"/>
              <w:end w:w="90" w:type="dxa"/>
            </w:tcMar>
            <w:vAlign w:val="top"/>
          </w:tcPr>
          <w:p>
            <w:pPr>
              <w:spacing w:after="0" w:line="240" w:lineRule="auto"/>
            </w:pPr>
            <w:r>
              <w:rPr>
                <w:sz w:val="15"/>
              </w:rPr>
              <w:t>Snapshot model is misrepresented as dynamic transport.</w:t>
            </w:r>
          </w:p>
        </w:tc>
        <w:tc>
          <w:tcPr>
            <w:tcW w:type="dxa" w:w="1007"/>
            <w:tcMar>
              <w:top w:w="70" w:type="dxa"/>
              <w:start w:w="90" w:type="dxa"/>
              <w:bottom w:w="70" w:type="dxa"/>
              <w:end w:w="90" w:type="dxa"/>
            </w:tcMar>
            <w:vAlign w:val="top"/>
          </w:tcPr>
          <w:p>
            <w:pPr>
              <w:spacing w:after="0" w:line="240" w:lineRule="auto"/>
            </w:pPr>
            <w:r>
              <w:rPr>
                <w:sz w:val="15"/>
              </w:rPr>
              <w:t>High</w:t>
            </w:r>
          </w:p>
        </w:tc>
        <w:tc>
          <w:tcPr>
            <w:tcW w:type="dxa" w:w="4104"/>
            <w:tcMar>
              <w:top w:w="70" w:type="dxa"/>
              <w:start w:w="90" w:type="dxa"/>
              <w:bottom w:w="70" w:type="dxa"/>
              <w:end w:w="90" w:type="dxa"/>
            </w:tcMar>
            <w:vAlign w:val="top"/>
          </w:tcPr>
          <w:p>
            <w:pPr>
              <w:spacing w:after="0" w:line="240" w:lineRule="auto"/>
            </w:pPr>
            <w:r>
              <w:rPr>
                <w:sz w:val="15"/>
              </w:rPr>
              <w:t>Explicit mode metadata; dynamic statements blocked until I-F09 passes.</w:t>
            </w:r>
          </w:p>
        </w:tc>
      </w:tr>
      <w:tr>
        <w:trPr>
          <w:cantSplit/>
        </w:trPr>
        <w:tc>
          <w:tcPr>
            <w:tcW w:type="dxa" w:w="864"/>
            <w:shd w:fill="F8FAFB"/>
            <w:tcMar>
              <w:top w:w="70" w:type="dxa"/>
              <w:start w:w="90" w:type="dxa"/>
              <w:bottom w:w="70" w:type="dxa"/>
              <w:end w:w="90" w:type="dxa"/>
            </w:tcMar>
            <w:vAlign w:val="top"/>
          </w:tcPr>
          <w:p>
            <w:pPr>
              <w:spacing w:after="0" w:line="240" w:lineRule="auto"/>
            </w:pPr>
            <w:r>
              <w:rPr>
                <w:b/>
                <w:color w:val="15354A"/>
                <w:sz w:val="15"/>
              </w:rPr>
              <w:t>R-06</w:t>
            </w:r>
          </w:p>
        </w:tc>
        <w:tc>
          <w:tcPr>
            <w:tcW w:type="dxa" w:w="3816"/>
            <w:shd w:fill="F8FAFB"/>
            <w:tcMar>
              <w:top w:w="70" w:type="dxa"/>
              <w:start w:w="90" w:type="dxa"/>
              <w:bottom w:w="70" w:type="dxa"/>
              <w:end w:w="90" w:type="dxa"/>
            </w:tcMar>
            <w:vAlign w:val="top"/>
          </w:tcPr>
          <w:p>
            <w:pPr>
              <w:spacing w:after="0" w:line="240" w:lineRule="auto"/>
            </w:pPr>
            <w:r>
              <w:rPr>
                <w:sz w:val="15"/>
              </w:rPr>
              <w:t>Penumbra aliases under a fixed grid.</w:t>
            </w:r>
          </w:p>
        </w:tc>
        <w:tc>
          <w:tcPr>
            <w:tcW w:type="dxa" w:w="1007"/>
            <w:shd w:fill="F8FAFB"/>
            <w:tcMar>
              <w:top w:w="70" w:type="dxa"/>
              <w:start w:w="90" w:type="dxa"/>
              <w:bottom w:w="70" w:type="dxa"/>
              <w:end w:w="90" w:type="dxa"/>
            </w:tcMar>
            <w:vAlign w:val="top"/>
          </w:tcPr>
          <w:p>
            <w:pPr>
              <w:spacing w:after="0" w:line="240" w:lineRule="auto"/>
            </w:pPr>
            <w:r>
              <w:rPr>
                <w:sz w:val="15"/>
              </w:rPr>
              <w:t>Medium</w:t>
            </w:r>
          </w:p>
        </w:tc>
        <w:tc>
          <w:tcPr>
            <w:tcW w:type="dxa" w:w="4104"/>
            <w:shd w:fill="F8FAFB"/>
            <w:tcMar>
              <w:top w:w="70" w:type="dxa"/>
              <w:start w:w="90" w:type="dxa"/>
              <w:bottom w:w="70" w:type="dxa"/>
              <w:end w:w="90" w:type="dxa"/>
            </w:tcMar>
            <w:vAlign w:val="top"/>
          </w:tcPr>
          <w:p>
            <w:pPr>
              <w:spacing w:after="0" w:line="240" w:lineRule="auto"/>
            </w:pPr>
            <w:r>
              <w:rPr>
                <w:sz w:val="15"/>
              </w:rPr>
              <w:t>Real adaptive refinement; nested-grid estimator; save access curve.</w:t>
            </w:r>
          </w:p>
        </w:tc>
      </w:tr>
      <w:tr>
        <w:trPr>
          <w:cantSplit/>
        </w:trPr>
        <w:tc>
          <w:tcPr>
            <w:tcW w:type="dxa" w:w="864"/>
            <w:tcMar>
              <w:top w:w="70" w:type="dxa"/>
              <w:start w:w="90" w:type="dxa"/>
              <w:bottom w:w="70" w:type="dxa"/>
              <w:end w:w="90" w:type="dxa"/>
            </w:tcMar>
            <w:vAlign w:val="top"/>
          </w:tcPr>
          <w:p>
            <w:pPr>
              <w:spacing w:after="0" w:line="240" w:lineRule="auto"/>
            </w:pPr>
            <w:r>
              <w:rPr>
                <w:b/>
                <w:color w:val="15354A"/>
                <w:sz w:val="15"/>
              </w:rPr>
              <w:t>R-07</w:t>
            </w:r>
          </w:p>
        </w:tc>
        <w:tc>
          <w:tcPr>
            <w:tcW w:type="dxa" w:w="3816"/>
            <w:tcMar>
              <w:top w:w="70" w:type="dxa"/>
              <w:start w:w="90" w:type="dxa"/>
              <w:bottom w:w="70" w:type="dxa"/>
              <w:end w:w="90" w:type="dxa"/>
            </w:tcMar>
            <w:vAlign w:val="top"/>
          </w:tcPr>
          <w:p>
            <w:pPr>
              <w:spacing w:after="0" w:line="240" w:lineRule="auto"/>
            </w:pPr>
            <w:r>
              <w:rPr>
                <w:sz w:val="15"/>
              </w:rPr>
              <w:t>Statistical dependence inflates apparent observational skill.</w:t>
            </w:r>
          </w:p>
        </w:tc>
        <w:tc>
          <w:tcPr>
            <w:tcW w:type="dxa" w:w="1007"/>
            <w:tcMar>
              <w:top w:w="70" w:type="dxa"/>
              <w:start w:w="90" w:type="dxa"/>
              <w:bottom w:w="70" w:type="dxa"/>
              <w:end w:w="90" w:type="dxa"/>
            </w:tcMar>
            <w:vAlign w:val="top"/>
          </w:tcPr>
          <w:p>
            <w:pPr>
              <w:spacing w:after="0" w:line="240" w:lineRule="auto"/>
            </w:pPr>
            <w:r>
              <w:rPr>
                <w:sz w:val="15"/>
              </w:rPr>
              <w:t>Medium</w:t>
            </w:r>
          </w:p>
        </w:tc>
        <w:tc>
          <w:tcPr>
            <w:tcW w:type="dxa" w:w="4104"/>
            <w:tcMar>
              <w:top w:w="70" w:type="dxa"/>
              <w:start w:w="90" w:type="dxa"/>
              <w:bottom w:w="70" w:type="dxa"/>
              <w:end w:w="90" w:type="dxa"/>
            </w:tcMar>
            <w:vAlign w:val="top"/>
          </w:tcPr>
          <w:p>
            <w:pPr>
              <w:spacing w:after="0" w:line="240" w:lineRule="auto"/>
            </w:pPr>
            <w:r>
              <w:rPr>
                <w:sz w:val="15"/>
              </w:rPr>
              <w:t>Block bootstrap by orbit/time; event-level reporting; frozen holdout.</w:t>
            </w:r>
          </w:p>
        </w:tc>
      </w:tr>
      <w:tr>
        <w:trPr>
          <w:cantSplit/>
        </w:trPr>
        <w:tc>
          <w:tcPr>
            <w:tcW w:type="dxa" w:w="864"/>
            <w:shd w:fill="F8FAFB"/>
            <w:tcMar>
              <w:top w:w="70" w:type="dxa"/>
              <w:start w:w="90" w:type="dxa"/>
              <w:bottom w:w="70" w:type="dxa"/>
              <w:end w:w="90" w:type="dxa"/>
            </w:tcMar>
            <w:vAlign w:val="top"/>
          </w:tcPr>
          <w:p>
            <w:pPr>
              <w:spacing w:after="0" w:line="240" w:lineRule="auto"/>
            </w:pPr>
            <w:r>
              <w:rPr>
                <w:b/>
                <w:color w:val="15354A"/>
                <w:sz w:val="15"/>
              </w:rPr>
              <w:t>R-08</w:t>
            </w:r>
          </w:p>
        </w:tc>
        <w:tc>
          <w:tcPr>
            <w:tcW w:type="dxa" w:w="3816"/>
            <w:shd w:fill="F8FAFB"/>
            <w:tcMar>
              <w:top w:w="70" w:type="dxa"/>
              <w:start w:w="90" w:type="dxa"/>
              <w:bottom w:w="70" w:type="dxa"/>
              <w:end w:w="90" w:type="dxa"/>
            </w:tcMar>
            <w:vAlign w:val="top"/>
          </w:tcPr>
          <w:p>
            <w:pPr>
              <w:spacing w:after="0" w:line="240" w:lineRule="auto"/>
            </w:pPr>
            <w:r>
              <w:rPr>
                <w:sz w:val="15"/>
              </w:rPr>
              <w:t>Forward Monte Carlo passes by seed luck.</w:t>
            </w:r>
          </w:p>
        </w:tc>
        <w:tc>
          <w:tcPr>
            <w:tcW w:type="dxa" w:w="1007"/>
            <w:shd w:fill="F8FAFB"/>
            <w:tcMar>
              <w:top w:w="70" w:type="dxa"/>
              <w:start w:w="90" w:type="dxa"/>
              <w:bottom w:w="70" w:type="dxa"/>
              <w:end w:w="90" w:type="dxa"/>
            </w:tcMar>
            <w:vAlign w:val="top"/>
          </w:tcPr>
          <w:p>
            <w:pPr>
              <w:spacing w:after="0" w:line="240" w:lineRule="auto"/>
            </w:pPr>
            <w:r>
              <w:rPr>
                <w:sz w:val="15"/>
              </w:rPr>
              <w:t>Medium</w:t>
            </w:r>
          </w:p>
        </w:tc>
        <w:tc>
          <w:tcPr>
            <w:tcW w:type="dxa" w:w="4104"/>
            <w:shd w:fill="F8FAFB"/>
            <w:tcMar>
              <w:top w:w="70" w:type="dxa"/>
              <w:start w:w="90" w:type="dxa"/>
              <w:bottom w:w="70" w:type="dxa"/>
              <w:end w:w="90" w:type="dxa"/>
            </w:tcMar>
            <w:vAlign w:val="top"/>
          </w:tcPr>
          <w:p>
            <w:pPr>
              <w:spacing w:after="0" w:line="240" w:lineRule="auto"/>
            </w:pPr>
            <w:r>
              <w:rPr>
                <w:sz w:val="15"/>
              </w:rPr>
              <w:t>Multi-seed bias/variance tests and N⁻¹ᐟ² scaling.</w:t>
            </w:r>
          </w:p>
        </w:tc>
      </w:tr>
      <w:tr>
        <w:trPr>
          <w:cantSplit/>
        </w:trPr>
        <w:tc>
          <w:tcPr>
            <w:tcW w:type="dxa" w:w="864"/>
            <w:tcMar>
              <w:top w:w="70" w:type="dxa"/>
              <w:start w:w="90" w:type="dxa"/>
              <w:bottom w:w="70" w:type="dxa"/>
              <w:end w:w="90" w:type="dxa"/>
            </w:tcMar>
            <w:vAlign w:val="top"/>
          </w:tcPr>
          <w:p>
            <w:pPr>
              <w:spacing w:after="0" w:line="240" w:lineRule="auto"/>
            </w:pPr>
            <w:r>
              <w:rPr>
                <w:b/>
                <w:color w:val="15354A"/>
                <w:sz w:val="15"/>
              </w:rPr>
              <w:t>R-09</w:t>
            </w:r>
          </w:p>
        </w:tc>
        <w:tc>
          <w:tcPr>
            <w:tcW w:type="dxa" w:w="3816"/>
            <w:tcMar>
              <w:top w:w="70" w:type="dxa"/>
              <w:start w:w="90" w:type="dxa"/>
              <w:bottom w:w="70" w:type="dxa"/>
              <w:end w:w="90" w:type="dxa"/>
            </w:tcMar>
            <w:vAlign w:val="top"/>
          </w:tcPr>
          <w:p>
            <w:pPr>
              <w:spacing w:after="0" w:line="240" w:lineRule="auto"/>
            </w:pPr>
            <w:r>
              <w:rPr>
                <w:sz w:val="15"/>
              </w:rPr>
              <w:t>Species conventions create factor-A or charge-state errors.</w:t>
            </w:r>
          </w:p>
        </w:tc>
        <w:tc>
          <w:tcPr>
            <w:tcW w:type="dxa" w:w="1007"/>
            <w:tcMar>
              <w:top w:w="70" w:type="dxa"/>
              <w:start w:w="90" w:type="dxa"/>
              <w:bottom w:w="70" w:type="dxa"/>
              <w:end w:w="90" w:type="dxa"/>
            </w:tcMar>
            <w:vAlign w:val="top"/>
          </w:tcPr>
          <w:p>
            <w:pPr>
              <w:spacing w:after="0" w:line="240" w:lineRule="auto"/>
            </w:pPr>
            <w:r>
              <w:rPr>
                <w:sz w:val="15"/>
              </w:rPr>
              <w:t>Medium</w:t>
            </w:r>
          </w:p>
        </w:tc>
        <w:tc>
          <w:tcPr>
            <w:tcW w:type="dxa" w:w="4104"/>
            <w:tcMar>
              <w:top w:w="70" w:type="dxa"/>
              <w:start w:w="90" w:type="dxa"/>
              <w:bottom w:w="70" w:type="dxa"/>
              <w:end w:w="90" w:type="dxa"/>
            </w:tcMar>
            <w:vAlign w:val="top"/>
          </w:tcPr>
          <w:p>
            <w:r>
              <w:t>Per-particle/per-nucleon schema; U-F01/U-F03; species-specific response.</w:t>
            </w:r>
          </w:p>
        </w:tc>
      </w:tr>
      <w:tr>
        <w:trPr>
          <w:cantSplit/>
        </w:trPr>
        <w:tc>
          <w:tcPr>
            <w:tcW w:type="dxa" w:w="864"/>
            <w:shd w:fill="F8FAFB"/>
            <w:tcMar>
              <w:top w:w="70" w:type="dxa"/>
              <w:start w:w="90" w:type="dxa"/>
              <w:bottom w:w="70" w:type="dxa"/>
              <w:end w:w="90" w:type="dxa"/>
            </w:tcMar>
            <w:vAlign w:val="top"/>
          </w:tcPr>
          <w:p>
            <w:pPr>
              <w:spacing w:after="0" w:line="240" w:lineRule="auto"/>
            </w:pPr>
            <w:r>
              <w:rPr>
                <w:b/>
                <w:color w:val="15354A"/>
                <w:sz w:val="15"/>
              </w:rPr>
              <w:t>R-10</w:t>
            </w:r>
          </w:p>
        </w:tc>
        <w:tc>
          <w:tcPr>
            <w:tcW w:type="dxa" w:w="3816"/>
            <w:shd w:fill="F8FAFB"/>
            <w:tcMar>
              <w:top w:w="70" w:type="dxa"/>
              <w:start w:w="90" w:type="dxa"/>
              <w:bottom w:w="70" w:type="dxa"/>
              <w:end w:w="90" w:type="dxa"/>
            </w:tcMar>
            <w:vAlign w:val="top"/>
          </w:tcPr>
          <w:p>
            <w:pPr>
              <w:spacing w:after="0" w:line="240" w:lineRule="auto"/>
            </w:pPr>
            <w:r>
              <w:rPr>
                <w:sz w:val="15"/>
              </w:rPr>
              <w:t>Reference data/calibration updates silently move targets.</w:t>
            </w:r>
          </w:p>
        </w:tc>
        <w:tc>
          <w:tcPr>
            <w:tcW w:type="dxa" w:w="1007"/>
            <w:shd w:fill="F8FAFB"/>
            <w:tcMar>
              <w:top w:w="70" w:type="dxa"/>
              <w:start w:w="90" w:type="dxa"/>
              <w:bottom w:w="70" w:type="dxa"/>
              <w:end w:w="90" w:type="dxa"/>
            </w:tcMar>
            <w:vAlign w:val="top"/>
          </w:tcPr>
          <w:p>
            <w:pPr>
              <w:spacing w:after="0" w:line="240" w:lineRule="auto"/>
            </w:pPr>
            <w:r>
              <w:rPr>
                <w:sz w:val="15"/>
              </w:rPr>
              <w:t>Medium</w:t>
            </w:r>
          </w:p>
        </w:tc>
        <w:tc>
          <w:tcPr>
            <w:tcW w:type="dxa" w:w="4104"/>
            <w:shd w:fill="F8FAFB"/>
            <w:tcMar>
              <w:top w:w="70" w:type="dxa"/>
              <w:start w:w="90" w:type="dxa"/>
              <w:bottom w:w="70" w:type="dxa"/>
              <w:end w:w="90" w:type="dxa"/>
            </w:tcMar>
            <w:vAlign w:val="top"/>
          </w:tcPr>
          <w:p>
            <w:pPr>
              <w:spacing w:after="0" w:line="240" w:lineRule="auto"/>
            </w:pPr>
            <w:r>
              <w:rPr>
                <w:sz w:val="15"/>
              </w:rPr>
              <w:t>Cache versioned artifacts with hashes; never download during scoring.</w:t>
            </w:r>
          </w:p>
        </w:tc>
      </w:tr>
    </w:tbl>
    <w:p>
      <w:pPr>
        <w:spacing w:after="0"/>
      </w:pPr>
    </w:p>
    <w:p>
      <w:pPr>
        <w:pStyle w:val="Heading1"/>
      </w:pPr>
      <w:bookmarkStart w:id="132" w:name="toc_section_33"/>
      <w:r>
        <w:t>11. First implementation increment</w:t>
      </w:r>
      <w:bookmarkEnd w:id="132"/>
    </w:p>
    <w:p>
      <w:r>
        <w:t>The first increment should end with a credible static directional-flux product and a short, diagnosable test chain. It should not attempt forward trapping or a full event campaign.</w:t>
      </w:r>
    </w:p>
    <w:p>
      <w:pPr>
        <w:spacing w:after="60"/>
        <w:ind w:left="403" w:hanging="403"/>
      </w:pPr>
      <w:r>
        <w:rPr>
          <w:b/>
          <w:color w:val="15354A"/>
        </w:rPr>
        <w:t xml:space="preserve">1.  </w:t>
      </w:r>
      <w:r>
        <w:t>Create a shared FluxNumerics module for unit conversions, energy/rigidity grids, speed, trapezoid/channel integration, angular weights, and termination accumulation.</w:t>
      </w:r>
    </w:p>
    <w:p>
      <w:pPr>
        <w:spacing w:after="60"/>
        <w:ind w:left="403" w:hanging="403"/>
      </w:pPr>
      <w:r>
        <w:rPr>
          <w:b/>
          <w:color w:val="15354A"/>
        </w:rPr>
        <w:t xml:space="preserve">2.  </w:t>
      </w:r>
      <w:r>
        <w:t>Fix the Mode3D LINEAR grid and replace its scalar transmissivity return with a structured record matching gridless termination accounting.</w:t>
      </w:r>
    </w:p>
    <w:p>
      <w:pPr>
        <w:spacing w:after="60"/>
        <w:ind w:left="403" w:hanging="403"/>
      </w:pPr>
      <w:r>
        <w:rPr>
          <w:b/>
          <w:color w:val="15354A"/>
        </w:rPr>
        <w:t xml:space="preserve">3.  </w:t>
      </w:r>
      <w:r>
        <w:t>Add unresolved lower/upper spectra, density, and channel products in both gridless and Mode3D outputs; make tolerance violations return failure in validation mode.</w:t>
      </w:r>
    </w:p>
    <w:p>
      <w:pPr>
        <w:spacing w:after="60"/>
        <w:ind w:left="403" w:hanging="403"/>
      </w:pPr>
      <w:r>
        <w:t>4.  Implement U-F01, U-F03–U-F06, and U-F12 (U-F02 remains reserved), then I-F01–I-F03 and I-F06. Use shared production functions; do not copy formulas into the test harness.</w:t>
      </w:r>
    </w:p>
    <w:p>
      <w:pPr>
        <w:spacing w:after="60"/>
        <w:ind w:left="403" w:hanging="403"/>
      </w:pPr>
      <w:r>
        <w:rPr>
          <w:b/>
          <w:color w:val="15354A"/>
        </w:rPr>
        <w:t xml:space="preserve">5.  </w:t>
      </w:r>
      <w:r>
        <w:t>Implement F6 (energy/angular convergence) and F7 (gridless/Mode3D parity). Preserve all present F tests as regressions.</w:t>
      </w:r>
    </w:p>
    <w:p>
      <w:pPr>
        <w:spacing w:after="60"/>
        <w:ind w:left="403" w:hanging="403"/>
      </w:pPr>
      <w:r>
        <w:rPr>
          <w:b/>
          <w:color w:val="15354A"/>
        </w:rPr>
        <w:t xml:space="preserve">6.  </w:t>
      </w:r>
      <w:r>
        <w:t>Add one synthetic instrument adapter and U-F09/I-F10 before connecting a real detector.</w:t>
      </w:r>
    </w:p>
    <w:p>
      <w:pPr>
        <w:spacing w:after="60"/>
        <w:ind w:left="403" w:hanging="403"/>
      </w:pPr>
      <w:r>
        <w:rPr>
          <w:b/>
          <w:color w:val="15354A"/>
        </w:rPr>
        <w:t xml:space="preserve">7.  </w:t>
      </w:r>
      <w:r>
        <w:t>Run O1 only as a pipeline benchmark after the numerical gates pass; do not tune field physics during adapter debugging.</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EAF7F4"/>
            <w:tcMar>
              <w:top w:w="140" w:type="dxa"/>
              <w:start w:w="180" w:type="dxa"/>
              <w:bottom w:w="140" w:type="dxa"/>
              <w:end w:w="180" w:type="dxa"/>
            </w:tcMar>
          </w:tcPr>
          <w:p>
            <w:pPr>
              <w:spacing w:after="60"/>
            </w:pPr>
            <w:r>
              <w:rPr>
                <w:b/>
                <w:color w:val="15354A"/>
              </w:rPr>
              <w:t>Definition of done for the first increment</w:t>
            </w:r>
          </w:p>
          <w:p>
            <w:pPr>
              <w:spacing w:after="0" w:line="252" w:lineRule="auto"/>
            </w:pPr>
            <w:r>
              <w:t>A single input case produces directional access, asymptotic states, local spectra, density, omnidirectional and planar integrals, a synthetic detector prediction, termination closure, lower/upper bounds, convergence evidence, and identical gridless/Mode3D results on a common analytic field within the stated gates.</w:t>
            </w:r>
          </w:p>
        </w:tc>
      </w:tr>
    </w:tbl>
    <w:p>
      <w:pPr>
        <w:spacing w:after="0"/>
      </w:pPr>
    </w:p>
    <w:p>
      <w:pPr>
        <w:pStyle w:val="Heading1"/>
      </w:pPr>
      <w:bookmarkStart w:id="133" w:name="toc_section_34"/>
      <w:r>
        <w:t>Appendix A. Source traceability</w:t>
      </w:r>
      <w:bookmarkEnd w:id="133"/>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5354A"/>
            <w:tcMar>
              <w:top w:w="70" w:type="dxa"/>
              <w:start w:w="90" w:type="dxa"/>
              <w:bottom w:w="70" w:type="dxa"/>
              <w:end w:w="90" w:type="dxa"/>
            </w:tcMar>
            <w:vAlign w:val="center"/>
          </w:tcPr>
          <w:p>
            <w:pPr>
              <w:spacing w:after="0"/>
              <w:jc w:val="left"/>
            </w:pPr>
            <w:r>
              <w:rPr>
                <w:b/>
                <w:color w:val="FFFFFF"/>
                <w:sz w:val="15"/>
              </w:rPr>
              <w:t>Source path</w:t>
            </w:r>
          </w:p>
        </w:tc>
        <w:tc>
          <w:tcPr>
            <w:tcW w:type="dxa" w:w="3888"/>
            <w:shd w:fill="15354A"/>
            <w:tcMar>
              <w:top w:w="70" w:type="dxa"/>
              <w:start w:w="90" w:type="dxa"/>
              <w:bottom w:w="70" w:type="dxa"/>
              <w:end w:w="90" w:type="dxa"/>
            </w:tcMar>
            <w:vAlign w:val="center"/>
          </w:tcPr>
          <w:p>
            <w:pPr>
              <w:spacing w:after="0"/>
              <w:jc w:val="left"/>
            </w:pPr>
            <w:r>
              <w:rPr>
                <w:b/>
                <w:color w:val="FFFFFF"/>
                <w:sz w:val="15"/>
              </w:rPr>
              <w:t>Observed behavior</w:t>
            </w:r>
          </w:p>
        </w:tc>
        <w:tc>
          <w:tcPr>
            <w:tcW w:type="dxa" w:w="2808"/>
            <w:shd w:fill="15354A"/>
            <w:tcMar>
              <w:top w:w="70" w:type="dxa"/>
              <w:start w:w="90" w:type="dxa"/>
              <w:bottom w:w="70" w:type="dxa"/>
              <w:end w:w="90" w:type="dxa"/>
            </w:tcMar>
            <w:vAlign w:val="center"/>
          </w:tcPr>
          <w:p>
            <w:pPr>
              <w:spacing w:after="0"/>
              <w:jc w:val="left"/>
            </w:pPr>
            <w:r>
              <w:rPr>
                <w:b/>
                <w:color w:val="FFFFFF"/>
                <w:sz w:val="15"/>
              </w:rPr>
              <w:t>Program response</w:t>
            </w:r>
          </w:p>
        </w:tc>
      </w:tr>
      <w:tr>
        <w:trPr>
          <w:cantSplit/>
        </w:trPr>
        <w:tc>
          <w:tcPr>
            <w:tcW w:type="dxa" w:w="3096"/>
            <w:tcMar>
              <w:top w:w="70" w:type="dxa"/>
              <w:start w:w="90" w:type="dxa"/>
              <w:bottom w:w="70" w:type="dxa"/>
              <w:end w:w="90" w:type="dxa"/>
            </w:tcMar>
            <w:vAlign w:val="top"/>
          </w:tcPr>
          <w:p>
            <w:pPr>
              <w:spacing w:after="0" w:line="240" w:lineRule="auto"/>
            </w:pPr>
            <w:r>
              <w:rPr>
                <w:b/>
                <w:color w:val="15354A"/>
                <w:sz w:val="15"/>
              </w:rPr>
              <w:t>srcEarth/gridless/DensityGridless.cpp</w:t>
            </w:r>
          </w:p>
        </w:tc>
        <w:tc>
          <w:tcPr>
            <w:tcW w:type="dxa" w:w="3888"/>
            <w:tcMar>
              <w:top w:w="70" w:type="dxa"/>
              <w:start w:w="90" w:type="dxa"/>
              <w:bottom w:w="70" w:type="dxa"/>
              <w:end w:w="90" w:type="dxa"/>
            </w:tcMar>
            <w:vAlign w:val="top"/>
          </w:tcPr>
          <w:p>
            <w:pPr>
              <w:spacing w:after="0" w:line="240" w:lineRule="auto"/>
            </w:pPr>
            <w:r>
              <w:rPr>
                <w:sz w:val="15"/>
              </w:rPr>
              <w:t>Computes T(E), Jlocal, density, full/channel integrals; rich termination summary; deterministic angular grid.</w:t>
            </w:r>
          </w:p>
        </w:tc>
        <w:tc>
          <w:tcPr>
            <w:tcW w:type="dxa" w:w="2808"/>
            <w:tcMar>
              <w:top w:w="70" w:type="dxa"/>
              <w:start w:w="90" w:type="dxa"/>
              <w:bottom w:w="70" w:type="dxa"/>
              <w:end w:w="90" w:type="dxa"/>
            </w:tcMar>
            <w:vAlign w:val="top"/>
          </w:tcPr>
          <w:p>
            <w:pPr>
              <w:spacing w:after="0" w:line="240" w:lineRule="auto"/>
            </w:pPr>
            <w:r>
              <w:rPr>
                <w:sz w:val="15"/>
              </w:rPr>
              <w:t>Primary Phase-1 baseline; generalize to A(E,Ω) and response products.</w:t>
            </w:r>
          </w:p>
        </w:tc>
      </w:tr>
      <w:tr>
        <w:trPr>
          <w:cantSplit/>
        </w:trPr>
        <w:tc>
          <w:tcPr>
            <w:tcW w:type="dxa" w:w="3096"/>
            <w:shd w:fill="F8FAFB"/>
            <w:tcMar>
              <w:top w:w="70" w:type="dxa"/>
              <w:start w:w="90" w:type="dxa"/>
              <w:bottom w:w="70" w:type="dxa"/>
              <w:end w:w="90" w:type="dxa"/>
            </w:tcMar>
            <w:vAlign w:val="top"/>
          </w:tcPr>
          <w:p>
            <w:pPr>
              <w:spacing w:after="0" w:line="240" w:lineRule="auto"/>
            </w:pPr>
            <w:r>
              <w:rPr>
                <w:b/>
                <w:color w:val="15354A"/>
                <w:sz w:val="15"/>
              </w:rPr>
              <w:t>srcEarth/3d/DensityMode3D.cpp</w:t>
            </w:r>
          </w:p>
        </w:tc>
        <w:tc>
          <w:tcPr>
            <w:tcW w:type="dxa" w:w="3888"/>
            <w:shd w:fill="F8FAFB"/>
            <w:tcMar>
              <w:top w:w="70" w:type="dxa"/>
              <w:start w:w="90" w:type="dxa"/>
              <w:bottom w:w="70" w:type="dxa"/>
              <w:end w:w="90" w:type="dxa"/>
            </w:tcMar>
            <w:vAlign w:val="top"/>
          </w:tcPr>
          <w:p>
            <w:pPr>
              <w:spacing w:after="0" w:line="240" w:lineRule="auto"/>
            </w:pPr>
            <w:r>
              <w:rPr>
                <w:sz w:val="15"/>
              </w:rPr>
              <w:t>Mesh-field analog; quadratic LINEAR grid expression; scalar resolved-only T; no detailed termination export.</w:t>
            </w:r>
          </w:p>
        </w:tc>
        <w:tc>
          <w:tcPr>
            <w:tcW w:type="dxa" w:w="2808"/>
            <w:shd w:fill="F8FAFB"/>
            <w:tcMar>
              <w:top w:w="70" w:type="dxa"/>
              <w:start w:w="90" w:type="dxa"/>
              <w:bottom w:w="70" w:type="dxa"/>
              <w:end w:w="90" w:type="dxa"/>
            </w:tcMar>
            <w:vAlign w:val="top"/>
          </w:tcPr>
          <w:p>
            <w:pPr>
              <w:spacing w:after="0" w:line="240" w:lineRule="auto"/>
            </w:pPr>
            <w:r>
              <w:rPr>
                <w:sz w:val="15"/>
              </w:rPr>
              <w:t>P0 fix, structured accounting, shared kernels, parity gates.</w:t>
            </w:r>
          </w:p>
        </w:tc>
      </w:tr>
      <w:tr>
        <w:trPr>
          <w:cantSplit/>
        </w:trPr>
        <w:tc>
          <w:tcPr>
            <w:tcW w:type="dxa" w:w="3096"/>
            <w:tcMar>
              <w:top w:w="70" w:type="dxa"/>
              <w:start w:w="90" w:type="dxa"/>
              <w:bottom w:w="70" w:type="dxa"/>
              <w:end w:w="90" w:type="dxa"/>
            </w:tcMar>
            <w:vAlign w:val="top"/>
          </w:tcPr>
          <w:p>
            <w:pPr>
              <w:spacing w:after="0" w:line="240" w:lineRule="auto"/>
            </w:pPr>
            <w:r>
              <w:rPr>
                <w:b/>
                <w:color w:val="15354A"/>
                <w:sz w:val="15"/>
              </w:rPr>
              <w:t>srcEarth/boundary/spectrum.h/.cpp</w:t>
            </w:r>
          </w:p>
        </w:tc>
        <w:tc>
          <w:tcPr>
            <w:tcW w:type="dxa" w:w="3888"/>
            <w:tcMar>
              <w:top w:w="70" w:type="dxa"/>
              <w:start w:w="90" w:type="dxa"/>
              <w:bottom w:w="70" w:type="dxa"/>
              <w:end w:w="90" w:type="dxa"/>
            </w:tcMar>
            <w:vAlign w:val="top"/>
          </w:tcPr>
          <w:p>
            <w:pPr>
              <w:spacing w:after="0" w:line="240" w:lineRule="auto"/>
            </w:pPr>
            <w:r>
              <w:rPr>
                <w:sz w:val="15"/>
              </w:rPr>
              <w:t>POWER_LAW, cutoff, LIS force-field, BAND, TABLE; time table uses nearest row.</w:t>
            </w:r>
          </w:p>
        </w:tc>
        <w:tc>
          <w:tcPr>
            <w:tcW w:type="dxa" w:w="2808"/>
            <w:tcMar>
              <w:top w:w="70" w:type="dxa"/>
              <w:start w:w="90" w:type="dxa"/>
              <w:bottom w:w="70" w:type="dxa"/>
              <w:end w:w="90" w:type="dxa"/>
            </w:tcMar>
            <w:vAlign w:val="top"/>
          </w:tcPr>
          <w:p>
            <w:pPr>
              <w:spacing w:after="0" w:line="240" w:lineRule="auto"/>
            </w:pPr>
            <w:r>
              <w:rPr>
                <w:sz w:val="15"/>
              </w:rPr>
              <w:t>Add normalization/species contract and log-time interpolation tests.</w:t>
            </w:r>
          </w:p>
        </w:tc>
      </w:tr>
      <w:tr>
        <w:trPr>
          <w:cantSplit/>
        </w:trPr>
        <w:tc>
          <w:tcPr>
            <w:tcW w:type="dxa" w:w="3096"/>
            <w:shd w:fill="F8FAFB"/>
            <w:tcMar>
              <w:top w:w="70" w:type="dxa"/>
              <w:start w:w="90" w:type="dxa"/>
              <w:bottom w:w="70" w:type="dxa"/>
              <w:end w:w="90" w:type="dxa"/>
            </w:tcMar>
            <w:vAlign w:val="top"/>
          </w:tcPr>
          <w:p>
            <w:pPr>
              <w:spacing w:after="0" w:line="240" w:lineRule="auto"/>
            </w:pPr>
            <w:r>
              <w:rPr>
                <w:b/>
                <w:color w:val="15354A"/>
                <w:sz w:val="15"/>
              </w:rPr>
              <w:t>srcEarth/3d_forward/Mode3DForward.cpp</w:t>
            </w:r>
          </w:p>
        </w:tc>
        <w:tc>
          <w:tcPr>
            <w:tcW w:type="dxa" w:w="3888"/>
            <w:shd w:fill="F8FAFB"/>
            <w:tcMar>
              <w:top w:w="70" w:type="dxa"/>
              <w:start w:w="90" w:type="dxa"/>
              <w:bottom w:w="70" w:type="dxa"/>
              <w:end w:w="90" w:type="dxa"/>
            </w:tcMar>
            <w:vAlign w:val="top"/>
          </w:tcPr>
          <w:p>
            <w:pPr>
              <w:spacing w:after="0" w:line="240" w:lineRule="auto"/>
            </w:pPr>
            <w:r>
              <w:rPr>
                <w:sz w:val="15"/>
              </w:rPr>
              <w:t>Boundary injection, forward loop, density and sphere-flux setup; configuration limitations documented.</w:t>
            </w:r>
          </w:p>
        </w:tc>
        <w:tc>
          <w:tcPr>
            <w:tcW w:type="dxa" w:w="2808"/>
            <w:shd w:fill="F8FAFB"/>
            <w:tcMar>
              <w:top w:w="70" w:type="dxa"/>
              <w:start w:w="90" w:type="dxa"/>
              <w:bottom w:w="70" w:type="dxa"/>
              <w:end w:w="90" w:type="dxa"/>
            </w:tcMar>
            <w:vAlign w:val="top"/>
          </w:tcPr>
          <w:p>
            <w:pPr>
              <w:spacing w:after="0" w:line="240" w:lineRule="auto"/>
            </w:pPr>
            <w:r>
              <w:rPr>
                <w:sz w:val="15"/>
              </w:rPr>
              <w:t>Defer science release; validate injection and steady-state closure first.</w:t>
            </w:r>
          </w:p>
        </w:tc>
      </w:tr>
      <w:tr>
        <w:trPr>
          <w:cantSplit/>
        </w:trPr>
        <w:tc>
          <w:tcPr>
            <w:tcW w:type="dxa" w:w="3096"/>
            <w:tcMar>
              <w:top w:w="70" w:type="dxa"/>
              <w:start w:w="90" w:type="dxa"/>
              <w:bottom w:w="70" w:type="dxa"/>
              <w:end w:w="90" w:type="dxa"/>
            </w:tcMar>
            <w:vAlign w:val="top"/>
          </w:tcPr>
          <w:p>
            <w:pPr>
              <w:spacing w:after="0" w:line="240" w:lineRule="auto"/>
            </w:pPr>
            <w:r>
              <w:rPr>
                <w:b/>
                <w:color w:val="15354A"/>
                <w:sz w:val="15"/>
              </w:rPr>
              <w:t>srcEarth/3d_forward/Density3D.cpp</w:t>
            </w:r>
          </w:p>
        </w:tc>
        <w:tc>
          <w:tcPr>
            <w:tcW w:type="dxa" w:w="3888"/>
            <w:tcMar>
              <w:top w:w="70" w:type="dxa"/>
              <w:start w:w="90" w:type="dxa"/>
              <w:bottom w:w="70" w:type="dxa"/>
              <w:end w:w="90" w:type="dxa"/>
            </w:tcMar>
            <w:vAlign w:val="top"/>
          </w:tcPr>
          <w:p>
            <w:pPr>
              <w:spacing w:after="0" w:line="240" w:lineRule="auto"/>
            </w:pPr>
            <w:r>
              <w:rPr>
                <w:sz w:val="15"/>
              </w:rPr>
              <w:t>Per-cell volumetric density estimator over configured energy bins.</w:t>
            </w:r>
          </w:p>
        </w:tc>
        <w:tc>
          <w:tcPr>
            <w:tcW w:type="dxa" w:w="2808"/>
            <w:tcMar>
              <w:top w:w="70" w:type="dxa"/>
              <w:start w:w="90" w:type="dxa"/>
              <w:bottom w:w="70" w:type="dxa"/>
              <w:end w:w="90" w:type="dxa"/>
            </w:tcMar>
            <w:vAlign w:val="top"/>
          </w:tcPr>
          <w:p>
            <w:r>
              <w:t>U-F20/I-F08 analytic residence-time validation.</w:t>
            </w:r>
          </w:p>
        </w:tc>
      </w:tr>
      <w:tr>
        <w:trPr>
          <w:cantSplit/>
        </w:trPr>
        <w:tc>
          <w:tcPr>
            <w:tcW w:type="dxa" w:w="3096"/>
            <w:shd w:fill="F8FAFB"/>
            <w:tcMar>
              <w:top w:w="70" w:type="dxa"/>
              <w:start w:w="90" w:type="dxa"/>
              <w:bottom w:w="70" w:type="dxa"/>
              <w:end w:w="90" w:type="dxa"/>
            </w:tcMar>
            <w:vAlign w:val="top"/>
          </w:tcPr>
          <w:p>
            <w:pPr>
              <w:spacing w:after="0" w:line="240" w:lineRule="auto"/>
            </w:pPr>
            <w:r>
              <w:rPr>
                <w:b/>
                <w:color w:val="15354A"/>
                <w:sz w:val="15"/>
              </w:rPr>
              <w:t>srcEarth/3d_forward/SphereFlux3D.cpp</w:t>
            </w:r>
          </w:p>
        </w:tc>
        <w:tc>
          <w:tcPr>
            <w:tcW w:type="dxa" w:w="3888"/>
            <w:shd w:fill="F8FAFB"/>
            <w:tcMar>
              <w:top w:w="70" w:type="dxa"/>
              <w:start w:w="90" w:type="dxa"/>
              <w:bottom w:w="70" w:type="dxa"/>
              <w:end w:w="90" w:type="dxa"/>
            </w:tcMar>
            <w:vAlign w:val="top"/>
          </w:tcPr>
          <w:p>
            <w:pPr>
              <w:spacing w:after="0" w:line="240" w:lineRule="auto"/>
            </w:pPr>
            <w:r>
              <w:rPr>
                <w:sz w:val="15"/>
              </w:rPr>
              <w:t>Inner-sphere incident flux sampler.</w:t>
            </w:r>
          </w:p>
        </w:tc>
        <w:tc>
          <w:tcPr>
            <w:tcW w:type="dxa" w:w="2808"/>
            <w:shd w:fill="F8FAFB"/>
            <w:tcMar>
              <w:top w:w="70" w:type="dxa"/>
              <w:start w:w="90" w:type="dxa"/>
              <w:bottom w:w="70" w:type="dxa"/>
              <w:end w:w="90" w:type="dxa"/>
            </w:tcMar>
            <w:vAlign w:val="top"/>
          </w:tcPr>
          <w:p>
            <w:pPr>
              <w:spacing w:after="0" w:line="240" w:lineRule="auto"/>
            </w:pPr>
            <w:r>
              <w:rPr>
                <w:sz w:val="15"/>
              </w:rPr>
              <w:t>Analytic surface-crossing normalization and aperture tests.</w:t>
            </w:r>
          </w:p>
        </w:tc>
      </w:tr>
      <w:tr>
        <w:trPr>
          <w:cantSplit/>
        </w:trPr>
        <w:tc>
          <w:tcPr>
            <w:tcW w:type="dxa" w:w="3096"/>
            <w:tcMar>
              <w:top w:w="70" w:type="dxa"/>
              <w:start w:w="90" w:type="dxa"/>
              <w:bottom w:w="70" w:type="dxa"/>
              <w:end w:w="90" w:type="dxa"/>
            </w:tcMar>
            <w:vAlign w:val="top"/>
          </w:tcPr>
          <w:p>
            <w:pPr>
              <w:spacing w:after="0" w:line="240" w:lineRule="auto"/>
            </w:pPr>
            <w:r>
              <w:rPr>
                <w:b/>
                <w:color w:val="15354A"/>
                <w:sz w:val="15"/>
              </w:rPr>
              <w:t>srcEarth/3d_forward/ForwardParticleMovers.cpp</w:t>
            </w:r>
          </w:p>
        </w:tc>
        <w:tc>
          <w:tcPr>
            <w:tcW w:type="dxa" w:w="3888"/>
            <w:tcMar>
              <w:top w:w="70" w:type="dxa"/>
              <w:start w:w="90" w:type="dxa"/>
              <w:bottom w:w="70" w:type="dxa"/>
              <w:end w:w="90" w:type="dxa"/>
            </w:tcMar>
            <w:vAlign w:val="top"/>
          </w:tcPr>
          <w:p>
            <w:pPr>
              <w:spacing w:after="0" w:line="240" w:lineRule="auto"/>
            </w:pPr>
            <w:r>
              <w:rPr>
                <w:sz w:val="15"/>
              </w:rPr>
              <w:t>Relativistic movers plus not-implemented/unsupported branches.</w:t>
            </w:r>
          </w:p>
        </w:tc>
        <w:tc>
          <w:tcPr>
            <w:tcW w:type="dxa" w:w="2808"/>
            <w:tcMar>
              <w:top w:w="70" w:type="dxa"/>
              <w:start w:w="90" w:type="dxa"/>
              <w:bottom w:w="70" w:type="dxa"/>
              <w:end w:w="90" w:type="dxa"/>
            </w:tcMar>
            <w:vAlign w:val="top"/>
          </w:tcPr>
          <w:p>
            <w:pPr>
              <w:spacing w:after="0" w:line="240" w:lineRule="auto"/>
            </w:pPr>
            <w:r>
              <w:rPr>
                <w:sz w:val="15"/>
              </w:rPr>
              <w:t>Enumerate released combinations and fail early on unsupported input.</w:t>
            </w:r>
          </w:p>
        </w:tc>
      </w:tr>
      <w:tr>
        <w:trPr>
          <w:cantSplit/>
        </w:trPr>
        <w:tc>
          <w:tcPr>
            <w:tcW w:type="dxa" w:w="3096"/>
            <w:shd w:fill="F8FAFB"/>
            <w:tcMar>
              <w:top w:w="70" w:type="dxa"/>
              <w:start w:w="90" w:type="dxa"/>
              <w:bottom w:w="70" w:type="dxa"/>
              <w:end w:w="90" w:type="dxa"/>
            </w:tcMar>
            <w:vAlign w:val="top"/>
          </w:tcPr>
          <w:p>
            <w:pPr>
              <w:spacing w:after="0" w:line="240" w:lineRule="auto"/>
            </w:pPr>
            <w:r>
              <w:rPr>
                <w:b/>
                <w:color w:val="15354A"/>
                <w:sz w:val="15"/>
              </w:rPr>
              <w:t>srcEarth/test/F*/run_*.py</w:t>
            </w:r>
          </w:p>
        </w:tc>
        <w:tc>
          <w:tcPr>
            <w:tcW w:type="dxa" w:w="3888"/>
            <w:shd w:fill="F8FAFB"/>
            <w:tcMar>
              <w:top w:w="70" w:type="dxa"/>
              <w:start w:w="90" w:type="dxa"/>
              <w:bottom w:w="70" w:type="dxa"/>
              <w:end w:w="90" w:type="dxa"/>
            </w:tcMar>
            <w:vAlign w:val="top"/>
          </w:tcPr>
          <w:p>
            <w:pPr>
              <w:spacing w:after="0" w:line="240" w:lineRule="auto"/>
            </w:pPr>
            <w:r>
              <w:rPr>
                <w:sz w:val="15"/>
              </w:rPr>
              <w:t>Nine present F runners, all gridless; default mostly 4 MPI ranks ×16 threads.</w:t>
            </w:r>
          </w:p>
        </w:tc>
        <w:tc>
          <w:tcPr>
            <w:tcW w:type="dxa" w:w="2808"/>
            <w:shd w:fill="F8FAFB"/>
            <w:tcMar>
              <w:top w:w="70" w:type="dxa"/>
              <w:start w:w="90" w:type="dxa"/>
              <w:bottom w:w="70" w:type="dxa"/>
              <w:end w:w="90" w:type="dxa"/>
            </w:tcMar>
            <w:vAlign w:val="top"/>
          </w:tcPr>
          <w:p>
            <w:pPr>
              <w:spacing w:after="0" w:line="240" w:lineRule="auto"/>
            </w:pPr>
            <w:r>
              <w:rPr>
                <w:sz w:val="15"/>
              </w:rPr>
              <w:t>Add U/I layers; extend F; adopt new 8×16 default or record legacy exception.</w:t>
            </w:r>
          </w:p>
        </w:tc>
      </w:tr>
      <w:tr>
        <w:trPr>
          <w:cantSplit/>
        </w:trPr>
        <w:tc>
          <w:tcPr>
            <w:tcW w:type="dxa" w:w="3096"/>
            <w:tcMar>
              <w:top w:w="70" w:type="dxa"/>
              <w:start w:w="90" w:type="dxa"/>
              <w:bottom w:w="70" w:type="dxa"/>
              <w:end w:w="90" w:type="dxa"/>
            </w:tcMar>
            <w:vAlign w:val="top"/>
          </w:tcPr>
          <w:p>
            <w:pPr>
              <w:spacing w:after="0" w:line="240" w:lineRule="auto"/>
            </w:pPr>
            <w:r>
              <w:rPr>
                <w:b/>
                <w:color w:val="15354A"/>
                <w:sz w:val="15"/>
              </w:rPr>
              <w:t>srcEarth/test/C9, C10, C19</w:t>
            </w:r>
          </w:p>
        </w:tc>
        <w:tc>
          <w:tcPr>
            <w:tcW w:type="dxa" w:w="3888"/>
            <w:tcMar>
              <w:top w:w="70" w:type="dxa"/>
              <w:start w:w="90" w:type="dxa"/>
              <w:bottom w:w="70" w:type="dxa"/>
              <w:end w:w="90" w:type="dxa"/>
            </w:tcMar>
            <w:vAlign w:val="top"/>
          </w:tcPr>
          <w:p>
            <w:pPr>
              <w:spacing w:after="0" w:line="240" w:lineRule="auto"/>
            </w:pPr>
            <w:r>
              <w:rPr>
                <w:sz w:val="15"/>
              </w:rPr>
              <w:t>Existing PAMELA, POES/MetOp, and GOES directional event assets.</w:t>
            </w:r>
          </w:p>
        </w:tc>
        <w:tc>
          <w:tcPr>
            <w:tcW w:type="dxa" w:w="2808"/>
            <w:tcMar>
              <w:top w:w="70" w:type="dxa"/>
              <w:start w:w="90" w:type="dxa"/>
              <w:bottom w:w="70" w:type="dxa"/>
              <w:end w:w="90" w:type="dxa"/>
            </w:tcMar>
            <w:vAlign w:val="top"/>
          </w:tcPr>
          <w:p>
            <w:pPr>
              <w:spacing w:after="0" w:line="240" w:lineRule="auto"/>
            </w:pPr>
            <w:r>
              <w:rPr>
                <w:sz w:val="15"/>
              </w:rPr>
              <w:t>Reuse preprocessing where valid; compare new flux products through instrument adapters.</w:t>
            </w:r>
          </w:p>
        </w:tc>
      </w:tr>
    </w:tbl>
    <w:p>
      <w:pPr>
        <w:spacing w:after="0"/>
      </w:pPr>
    </w:p>
    <w:p>
      <w:pPr>
        <w:pStyle w:val="Heading1"/>
      </w:pPr>
      <w:bookmarkStart w:id="134" w:name="toc_section_35"/>
      <w:r>
        <w:t>Appendix B. External observation basis</w:t>
      </w:r>
      <w:bookmarkEnd w:id="134"/>
    </w:p>
    <w:p>
      <w:r>
        <w:t>The observation plan is anchored in public data products and primary studies. Li et al. [R1] provide the strongest direct precedent for the September 2017 campaign: time-reversed proton trajectories in TS07 and LFM fields were compared with Van Allen Probes REPT flux, while GOES-16 SGPS measured 1–500 MeV and REPT measured roughly 20–200 MeV. The paper also shows why response bandwidth and arrival-angle coverage matter near an access boundary. PAMELA storm measurements [R2], calibrated GOES proton work [R3], and the GOES east–west study [R4] support the LEO, spectral-calibration, and directional campaigns. NOAA provides the POES/MetOp SEM archive [R5], and NASA OMNIWeb provides time-shifted solar-wind/geomagnetic drivers [R6].</w:t>
      </w:r>
    </w:p>
    <w:p>
      <w:pPr>
        <w:spacing w:after="80"/>
        <w:ind w:left="288" w:hanging="288"/>
      </w:pPr>
      <w:r>
        <w:rPr>
          <w:sz w:val="17"/>
        </w:rPr>
        <w:t xml:space="preserve">[R1] Li, Z. et al. (2021), Solar Energetic Proton Access to the Inner Magnetosphere During the September 7–8, 2017 Event, JGR Space Physics, e2021JA029107. </w:t>
      </w:r>
      <w:hyperlink r:id="rId11">
        <w:r>
          <w:rPr>
            <w:color w:val="1D6F8A"/>
            <w:u w:val="single"/>
          </w:rPr>
          <w:t>DOI record</w:t>
        </w:r>
      </w:hyperlink>
    </w:p>
    <w:p>
      <w:pPr>
        <w:spacing w:after="80"/>
        <w:ind w:left="288" w:hanging="288"/>
      </w:pPr>
      <w:r>
        <w:rPr>
          <w:sz w:val="17"/>
        </w:rPr>
        <w:t xml:space="preserve">[R2] PAMELA Collaboration, PAMELA’s measurements of geomagnetic cutoff variations during the 14 December 2006 storm. </w:t>
      </w:r>
      <w:hyperlink r:id="rId12">
        <w:r>
          <w:rPr>
            <w:color w:val="1D6F8A"/>
            <w:u w:val="single"/>
          </w:rPr>
          <w:t>arXiv record</w:t>
        </w:r>
      </w:hyperlink>
    </w:p>
    <w:p>
      <w:pPr>
        <w:spacing w:after="80"/>
        <w:ind w:left="288" w:hanging="288"/>
      </w:pPr>
      <w:r>
        <w:rPr>
          <w:sz w:val="17"/>
        </w:rPr>
        <w:t xml:space="preserve">[R3] Bruno, A. et al. (2017), Calibration of the GOES-13/15 high-energy proton detectors based on PAMELA SEP observations. </w:t>
      </w:r>
      <w:hyperlink r:id="rId13">
        <w:r>
          <w:rPr>
            <w:color w:val="1D6F8A"/>
            <w:u w:val="single"/>
          </w:rPr>
          <w:t>arXiv record</w:t>
        </w:r>
      </w:hyperlink>
    </w:p>
    <w:p>
      <w:pPr>
        <w:spacing w:after="80"/>
        <w:ind w:left="288" w:hanging="288"/>
      </w:pPr>
      <w:r>
        <w:rPr>
          <w:sz w:val="17"/>
        </w:rPr>
        <w:t xml:space="preserve">[R4] Rodriguez, J. V. et al. (2010), The east–west effect in solar proton flux measurements in geostationary orbit, GRL. </w:t>
      </w:r>
      <w:hyperlink r:id="rId14">
        <w:r>
          <w:rPr>
            <w:color w:val="1D6F8A"/>
            <w:u w:val="single"/>
          </w:rPr>
          <w:t>DOI record</w:t>
        </w:r>
      </w:hyperlink>
    </w:p>
    <w:p>
      <w:pPr>
        <w:spacing w:after="80"/>
        <w:ind w:left="288" w:hanging="288"/>
      </w:pPr>
      <w:r>
        <w:rPr>
          <w:sz w:val="17"/>
        </w:rPr>
        <w:t xml:space="preserve">[R5] NOAA NCEI, POES/MetOp Space Environment Monitor data and documentation. </w:t>
      </w:r>
      <w:hyperlink r:id="rId15">
        <w:r>
          <w:rPr>
            <w:color w:val="1D6F8A"/>
            <w:u w:val="single"/>
          </w:rPr>
          <w:t>Data portal</w:t>
        </w:r>
      </w:hyperlink>
    </w:p>
    <w:p>
      <w:pPr>
        <w:spacing w:after="80"/>
        <w:ind w:left="288" w:hanging="288"/>
      </w:pPr>
      <w:r>
        <w:rPr>
          <w:sz w:val="17"/>
        </w:rPr>
        <w:t xml:space="preserve">[R6] NASA SPDF, OMNIWeb service and propagated solar-wind/geomagnetic data. </w:t>
      </w:r>
      <w:hyperlink r:id="rId16">
        <w:r>
          <w:rPr>
            <w:color w:val="1D6F8A"/>
            <w:u w:val="single"/>
          </w:rPr>
          <w:t>Data portal</w:t>
        </w:r>
      </w:hyperlink>
    </w:p>
    <w:p>
      <w:pPr>
        <w:spacing w:after="80"/>
        <w:ind w:left="288" w:hanging="288"/>
      </w:pPr>
      <w:r>
        <w:rPr>
          <w:sz w:val="17"/>
        </w:rPr>
        <w:t xml:space="preserve">[R7] Kress, B. T. et al. (2013), Modeling solar proton access to geostationary spacecraft with geomagnetic cutoffs. </w:t>
      </w:r>
      <w:hyperlink r:id="rId17">
        <w:r>
          <w:rPr>
            <w:color w:val="1D6F8A"/>
            <w:u w:val="single"/>
          </w:rPr>
          <w:t>DOI record</w:t>
        </w:r>
      </w:hyperlink>
    </w:p>
    <w:p>
      <w:pPr>
        <w:pStyle w:val="Heading1"/>
      </w:pPr>
      <w:bookmarkStart w:id="135" w:name="toc_section_36"/>
      <w:r>
        <w:t>Appendix C. Decisions to freeze at M0</w:t>
      </w:r>
      <w:bookmarkEnd w:id="135"/>
    </w:p>
    <w:p>
      <w:pPr>
        <w:pStyle w:val="ListBullet"/>
      </w:pPr>
      <w:r>
        <w:t>Released species and whether energy is per particle or per nucleon in every input/output.</w:t>
      </w:r>
    </w:p>
    <w:p>
      <w:pPr>
        <w:pStyle w:val="ListBullet"/>
      </w:pPr>
      <w:r>
        <w:t>Exact boundary surface and the treatment of re-entry/multiple crossings.</w:t>
      </w:r>
    </w:p>
    <w:p>
      <w:pPr>
        <w:pStyle w:val="ListBullet"/>
      </w:pPr>
      <w:r>
        <w:t>Normalization convention for PAD/spatial anisotropy and for directional quadrature weights.</w:t>
      </w:r>
    </w:p>
    <w:p>
      <w:pPr>
        <w:pStyle w:val="ListBullet"/>
      </w:pPr>
      <w:r>
        <w:t>Whether ‘trapped’ is a physical resolved category for the Phase-1 exposure duration, and its minimum bounce/drift evidence.</w:t>
      </w:r>
    </w:p>
    <w:p>
      <w:pPr>
        <w:pStyle w:val="ListBullet"/>
      </w:pPr>
      <w:r>
        <w:t>Maximum unresolved support and lower/upper bound width by product class.</w:t>
      </w:r>
    </w:p>
    <w:p>
      <w:pPr>
        <w:pStyle w:val="ListBullet"/>
      </w:pPr>
      <w:r>
        <w:t>Instrument data levels, response versions, quality flags, and event exclusions.</w:t>
      </w:r>
    </w:p>
    <w:p>
      <w:pPr>
        <w:pStyle w:val="ListBullet"/>
      </w:pPr>
      <w:r>
        <w:t>Calibration, validation, and holdout event allocation plus all observation gates.</w:t>
      </w:r>
    </w:p>
    <w:p>
      <w:pPr>
        <w:pStyle w:val="ListBullet"/>
      </w:pPr>
      <w:r>
        <w:t>Default MPI/thread settings, deterministic reduction policy, and artifact retention period.</w:t>
      </w:r>
    </w:p>
    <w:p>
      <w:r>
        <w:br w:type="page"/>
      </w:r>
    </w:p>
    <w:p>
      <w:bookmarkStart w:id="901" w:name="toc_appendix_d_tests"/>
      <w:pPr>
        <w:pStyle w:val="Heading1"/>
        <w:keepNext/>
      </w:pPr>
      <w:r>
        <w:t>Appendix D. Complete test specifications</w:t>
      </w:r>
      <w:bookmarkEnd w:id="901"/>
    </w:p>
    <w:p>
      <w:pPr>
        <w:keepNext w:val="0"/>
        <w:spacing w:after="100" w:line="252" w:lineRule="auto"/>
      </w:pPr>
      <w:r>
        <w:t>This appendix is the executable validation contract for the cutoff, directional-access, flux, and energy-spectrum program. It covers the implemented Steps 2–9 suites, the current C/F regressions, the planned linked I-F tests, and the observation campaigns. Existing numerical gates are reproduced here; none may be loosened merely to recover a passing result.</w:t>
      </w:r>
    </w:p>
    <w:p>
      <w:pPr>
        <w:pStyle w:val="Heading2"/>
        <w:keepNext/>
      </w:pPr>
      <w:r>
        <w:t>D.1 Reading and executing the specifications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Status</w:t>
            </w:r>
          </w:p>
        </w:tc>
        <w:tc>
          <w:tcPr>
            <w:tcW w:type="dxa" w:w="410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Meaning</w:t>
            </w:r>
          </w:p>
        </w:tc>
        <w:tc>
          <w:tcPr>
            <w:tcW w:type="dxa" w:w="410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Release treatment</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8"/>
              </w:rPr>
              <w:t>Implemented — dependency-free</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Builds a small local test program or exercises Python-only logic; no production AMPS executable is required.</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Must pass before linked builds. A missing comparison, malformed artifact, or skipped assertion is a failure.</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Implemented — linked</w:t>
            </w:r>
          </w:p>
        </w:tc>
        <w:tc>
          <w:tcPr>
            <w:tcW w:type="dxa" w:w="41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Runs the AMPS Earth executable and production configuration, possibly under MPI/OpenMP.</w:t>
            </w:r>
          </w:p>
        </w:tc>
        <w:tc>
          <w:tcPr>
            <w:tcW w:type="dxa" w:w="41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Must satisfy the existing srcEarth/test/list expected status and the numerical gate stated here.</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8"/>
              </w:rPr>
              <w:t>Implemented — external reference</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Runner exists, but authoritative observation/reference material or a documented service response is required.</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May pass only when provenance and comparison outputs are present. No silent synthetic substitute.</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Planned</w:t>
            </w:r>
          </w:p>
        </w:tc>
        <w:tc>
          <w:tcPr>
            <w:tcW w:type="dxa" w:w="41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Specified in the roadmap but no complete executable test exists yet.</w:t>
            </w:r>
          </w:p>
        </w:tc>
        <w:tc>
          <w:tcPr>
            <w:tcW w:type="dxa" w:w="41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8"/>
              </w:rPr>
              <w:t>Cannot be counted as coverage. Implement the stated oracle and gate before claiming the capability.</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8"/>
              </w:rPr>
              <w:t>Diagnostic expected-F</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Deliberately exposes an unresolved algorithmic or convergence limitation in the present list.</w:t>
            </w:r>
          </w:p>
        </w:tc>
        <w:tc>
          <w:tcPr>
            <w:tcW w:type="dxa" w:w="4104"/>
            <w:vAlign w:val="top"/>
            <w:tcMar>
              <w:top w:w="80" w:type="dxa"/>
              <w:start w:w="90" w:type="dxa"/>
              <w:bottom w:w="80" w:type="dxa"/>
              <w:end w:w="90" w:type="dxa"/>
            </w:tcMar>
          </w:tcPr>
          <w:p>
            <w:pPr>
              <w:spacing w:before="0" w:after="40" w:line="245" w:lineRule="auto"/>
            </w:pPr>
            <w:r>
              <w:rPr>
                <w:rFonts w:ascii="Aptos" w:hAnsi="Aptos"/>
                <w:b w:val="0"/>
                <w:color w:val="24343D"/>
                <w:sz w:val="18"/>
              </w:rPr>
              <w:t>Do not relabel as pass or weaken the metric; close the production defect first.</w:t>
            </w:r>
          </w:p>
        </w:tc>
      </w:tr>
    </w:tbl>
    <w:p>
      <w:pPr>
        <w:spacing w:after="0"/>
      </w:pPr>
    </w:p>
    <w:p>
      <w:pPr>
        <w:pStyle w:val="ListBullet"/>
        <w:spacing w:after="40" w:line="247" w:lineRule="auto"/>
      </w:pPr>
      <w:r>
        <w:t>Run commands from the AMPS repository root. The exact active parameterizations and expected P/F state are controlled by srcEarth/test/list.</w:t>
      </w:r>
    </w:p>
    <w:p>
      <w:pPr>
        <w:pStyle w:val="ListBullet"/>
        <w:spacing w:after="40" w:line="247" w:lineRule="auto"/>
      </w:pPr>
      <w:r>
        <w:t>Run one suite directly with its command below; run the registered set with python3 srcEarth/test/test_runner.py. Use --update-last-pass only when intentionally accepting the current run. To commit a completed cached run without rerunning, use python3 srcEarth/test/test_runner.py --commit-last-pass --commit-id COMMIT_ID --last-pass-results-file FILE.</w:t>
      </w:r>
    </w:p>
    <w:p>
      <w:pPr>
        <w:pStyle w:val="ListBullet"/>
        <w:spacing w:after="40" w:line="247" w:lineRule="auto"/>
      </w:pPr>
      <w:r>
        <w:t>A reference solution means an independently evaluable analytic solution, identity, published/frozen dataset, independent implementation, or reversible invariant. Self-consistency alone is identified as such and is never presented as independent validation.</w:t>
      </w:r>
    </w:p>
    <w:p>
      <w:pPr>
        <w:pStyle w:val="ListBullet"/>
        <w:spacing w:after="40" w:line="247" w:lineRule="auto"/>
      </w:pPr>
      <w:r>
        <w:t>Every linked result must retain command line, executable/source revision, input hashes, field/spectrum identity, MPI/OpenMP layout, output hashes, and the machine-readable comparison report.</w:t>
      </w:r>
    </w:p>
    <w:p>
      <w:pPr>
        <w:spacing w:after="120"/>
      </w:pPr>
      <w:r>
        <w:rPr>
          <w:b/>
        </w:rPr>
        <w:t xml:space="preserve">Numbering reconciliation. </w:t>
      </w:r>
      <w:r>
        <w:t>Section 6.1 predates the implemented Steps 2–9 registry. U-F02 remains reserved; relativistic transforms are U-F03; implemented directional-access gates occupy U-F14–U-F18. The originally proposed forward weights/estimators and dynamic mapping therefore use the non-conflicting future identifiers U-F19–U-F21.</w:t>
      </w:r>
    </w:p>
    <w:p>
      <w:pPr>
        <w:pStyle w:val="Heading2"/>
        <w:keepNext/>
      </w:pPr>
      <w:r>
        <w:t>D.2 Roadmap-to-test crosswalk</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22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Step</w:t>
            </w:r>
          </w:p>
        </w:tc>
        <w:tc>
          <w:tcPr>
            <w:tcW w:type="dxa" w:w="194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Implemented suite</w:t>
            </w:r>
          </w:p>
        </w:tc>
        <w:tc>
          <w:tcPr>
            <w:tcW w:type="dxa" w:w="352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Primary production capability</w:t>
            </w:r>
          </w:p>
        </w:tc>
        <w:tc>
          <w:tcPr>
            <w:tcW w:type="dxa" w:w="345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Reference class / exit evidence</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7"/>
              </w:rPr>
              <w:t>2</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UFluxNumerics</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Relativistic transforms, grids, quadrature, angular weights, termination bounds</w:t>
            </w:r>
          </w:p>
        </w:tc>
        <w:tc>
          <w:tcPr>
            <w:tcW w:type="dxa" w:w="3456"/>
            <w:vAlign w:val="top"/>
            <w:tcMar>
              <w:top w:w="80" w:type="dxa"/>
              <w:start w:w="90" w:type="dxa"/>
              <w:bottom w:w="80" w:type="dxa"/>
              <w:end w:w="90" w:type="dxa"/>
            </w:tcMar>
          </w:tcPr>
          <w:p>
            <w:pPr>
              <w:spacing w:before="0" w:after="40" w:line="245" w:lineRule="auto"/>
            </w:pPr>
            <w:r>
              <w:rPr>
                <w:rFonts w:ascii="Aptos" w:hAnsi="Aptos"/>
                <w:b w:val="0"/>
                <w:color w:val="24343D"/>
                <w:sz w:val="17"/>
              </w:rPr>
              <w:t>Closed-form identities and exact conservation; PASS report</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3</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UFieldProvider</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Immutable SI field snapshots and synchronized cutoff/flux field identity</w:t>
            </w:r>
          </w:p>
        </w:tc>
        <w:tc>
          <w:tcPr>
            <w:tcW w:type="dxa" w:w="345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Uniform/dipole analytic fields, fingerprints, concurrency invariance</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7"/>
              </w:rPr>
              <w:t>4</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UTrajectoryCore</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Relativistic motion, backward characteristics, events and retries</w:t>
            </w:r>
          </w:p>
        </w:tc>
        <w:tc>
          <w:tcPr>
            <w:tcW w:type="dxa" w:w="3456"/>
            <w:vAlign w:val="top"/>
            <w:tcMar>
              <w:top w:w="80" w:type="dxa"/>
              <w:start w:w="90" w:type="dxa"/>
              <w:bottom w:w="80" w:type="dxa"/>
              <w:end w:w="90" w:type="dxa"/>
            </w:tcMar>
          </w:tcPr>
          <w:p>
            <w:pPr>
              <w:spacing w:before="0" w:after="40" w:line="245" w:lineRule="auto"/>
            </w:pPr>
            <w:r>
              <w:rPr>
                <w:rFonts w:ascii="Aptos" w:hAnsi="Aptos"/>
                <w:b w:val="0"/>
                <w:color w:val="24343D"/>
                <w:sz w:val="17"/>
              </w:rPr>
              <w:t>Helix/reference convergence, Liouville and exact event geometry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5</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UDirectionalAccess</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Adaptive directional access and saved access-product reconstruction</w:t>
            </w:r>
          </w:p>
        </w:tc>
        <w:tc>
          <w:tcPr>
            <w:tcW w:type="dxa" w:w="345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Analytic masks, exact schema/order contracts, C8 physics references</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7"/>
              </w:rPr>
              <w:t>6</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UBoundaryProducts</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Boundary spectra, PAD/time/spatial factors, channels and detector folding</w:t>
            </w:r>
          </w:p>
        </w:tc>
        <w:tc>
          <w:tcPr>
            <w:tcW w:type="dxa" w:w="3456"/>
            <w:vAlign w:val="top"/>
            <w:tcMar>
              <w:top w:w="80" w:type="dxa"/>
              <w:start w:w="90" w:type="dxa"/>
              <w:bottom w:w="80" w:type="dxa"/>
              <w:end w:w="90" w:type="dxa"/>
            </w:tcMar>
          </w:tcPr>
          <w:p>
            <w:pPr>
              <w:spacing w:before="0" w:after="40" w:line="245" w:lineRule="auto"/>
            </w:pPr>
            <w:r>
              <w:rPr>
                <w:rFonts w:ascii="Aptos" w:hAnsi="Aptos"/>
                <w:b w:val="0"/>
                <w:color w:val="24343D"/>
                <w:sz w:val="17"/>
              </w:rPr>
              <w:t>Closed-form spectra, beta-function PAD means and exact integrals</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7</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UStandaloneProducts</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Standalone product/configuration/manifest contract</w:t>
            </w:r>
          </w:p>
        </w:tc>
        <w:tc>
          <w:tcPr>
            <w:tcW w:type="dxa" w:w="345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Exact aliases, units, epoch identity, schema and source isolation</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7"/>
              </w:rPr>
              <w:t>8</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UStandaloneCampaign</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Reproducible campaign orchestration and comparison adapters</w:t>
            </w:r>
          </w:p>
        </w:tc>
        <w:tc>
          <w:tcPr>
            <w:tcW w:type="dxa" w:w="3456"/>
            <w:vAlign w:val="top"/>
            <w:tcMar>
              <w:top w:w="80" w:type="dxa"/>
              <w:start w:w="90" w:type="dxa"/>
              <w:bottom w:w="80" w:type="dxa"/>
              <w:end w:w="90" w:type="dxa"/>
            </w:tcMar>
          </w:tcPr>
          <w:p>
            <w:pPr>
              <w:spacing w:before="0" w:after="40" w:line="245" w:lineRule="auto"/>
            </w:pPr>
            <w:r>
              <w:rPr>
                <w:rFonts w:ascii="Aptos" w:hAnsi="Aptos"/>
                <w:b w:val="0"/>
                <w:color w:val="24343D"/>
                <w:sz w:val="17"/>
              </w:rPr>
              <w:t>Frozen hashes, analytic cadence averages, fake-executable pass/restart/fail cases</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9</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USWMFSnapshot</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SWMF live/replay snapshot coupling and restart reproducibility</w:t>
            </w:r>
          </w:p>
        </w:tc>
        <w:tc>
          <w:tcPr>
            <w:tcW w:type="dxa" w:w="345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 = -u × B analytic snapshot, exact replay, corruption/fail-closed tests</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7"/>
              </w:rPr>
              <w:t>Cross-cutting</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UGeopackTilt</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Explicit GEOPACK context, IGRF/T05 tilt, deterministic threads</w:t>
            </w:r>
          </w:p>
        </w:tc>
        <w:tc>
          <w:tcPr>
            <w:tcW w:type="dxa" w:w="3456"/>
            <w:vAlign w:val="top"/>
            <w:tcMar>
              <w:top w:w="80" w:type="dxa"/>
              <w:start w:w="90" w:type="dxa"/>
              <w:bottom w:w="80" w:type="dxa"/>
              <w:end w:w="90" w:type="dxa"/>
            </w:tcMar>
          </w:tcPr>
          <w:p>
            <w:pPr>
              <w:spacing w:before="0" w:after="40" w:line="245" w:lineRule="auto"/>
            </w:pPr>
            <w:r>
              <w:rPr>
                <w:rFonts w:ascii="Aptos" w:hAnsi="Aptos"/>
                <w:b w:val="0"/>
                <w:color w:val="24343D"/>
                <w:sz w:val="17"/>
              </w:rPr>
              <w:t>Independent IGRF-13/SUN_08 references, interpolation and bitwise thread gates</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Cross-cutting</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UTestRunner</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Exclusive scheduling and transactional last-pass updates</w:t>
            </w:r>
          </w:p>
        </w:tc>
        <w:tc>
          <w:tcPr>
            <w:tcW w:type="dxa" w:w="345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Isolated temporary repositories, child-env handshake and stale-SHA rejection</w:t>
            </w:r>
          </w:p>
        </w:tc>
      </w:tr>
    </w:tbl>
    <w:p>
      <w:pPr>
        <w:spacing w:after="0"/>
      </w:pPr>
    </w:p>
    <w:p>
      <w:pPr>
        <w:pStyle w:val="Heading2"/>
        <w:keepNext/>
      </w:pPr>
      <w:r>
        <w:t>D.3 Implemented dependency-free and contract suites</w:t>
      </w:r>
    </w:p>
    <w:p>
      <w:pPr>
        <w:keepNext w:val="0"/>
        <w:spacing w:after="100" w:line="252" w:lineRule="auto"/>
      </w:pPr>
      <w:r>
        <w:t>The U suites compile or invoke the same production kernels used by linked runs wherever practical. They are fast gates, not replacements for C/F integration tests.</w:t>
      </w:r>
    </w:p>
    <w:p>
      <w:pPr>
        <w:pStyle w:val="Heading3"/>
        <w:keepNext/>
      </w:pPr>
      <w:r>
        <w:t>UFluxNumerics — Steps 2/3 numerical primitives</w:t>
      </w:r>
    </w:p>
    <w:p>
      <w:pPr>
        <w:pStyle w:val="SmallNote"/>
        <w:keepNext/>
        <w:spacing w:after="100" w:line="252" w:lineRule="auto"/>
      </w:pPr>
      <w:r>
        <w:t>Command: ./srcEarth/test/UFluxNumerics/run_test.sh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U-F03</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Relativistic energy, momentum, rigidity and speed</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Mutual inverse relations at 0.01–10⁵ MeV for protons/alpha particles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Inverse error ≤ 2×10⁻¹² relative + 1×10⁻¹¹ MeV absolute; speed &lt; c</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U-F04</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Linear/log grids and endpoints</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10/20/30/40/50-MeV linear and 1/10/100/1000/10000-MeV log nodes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Node error ≤ 1×10⁻¹² relative + absolute; requested endpoints exact and strictly monotone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U-F05</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Quadrature, channel clipping and bounds</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Constant-integrand trapezoid and analytically clipped channel integrals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Flux/channel error ≤ 1×10⁻¹² relative + absolute; invalid limits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U-F06</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Angular weights and deterministic subsampling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Σw = 4π; unit vectors; exact subset {0,3,6,9}</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4π relative error ≤ 2×10⁻¹⁴; unit norm ≤ 1×10⁻¹³ relative; subset exact</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U-F12</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Termination accounting and unresolved bounds</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Two allowed, one forbidden, one unresolved; all-unresolved case</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Nominal/lower/upper = 2/3, 1/2, 3/4; unresolved = 0.25; 0.20 gate fails and 0.25 passes; all-unresolved gives NaN and [0,1]</w:t>
            </w:r>
          </w:p>
        </w:tc>
      </w:tr>
    </w:tbl>
    <w:p>
      <w:pPr>
        <w:spacing w:after="0"/>
      </w:pPr>
    </w:p>
    <w:p>
      <w:pPr>
        <w:pStyle w:val="Heading3"/>
        <w:keepNext/>
      </w:pPr>
      <w:r>
        <w:t>UFieldProvider — Step 3 field snapshot contract</w:t>
      </w:r>
    </w:p>
    <w:p>
      <w:pPr>
        <w:pStyle w:val="SmallNote"/>
        <w:keepNext/>
        <w:spacing w:after="100" w:line="252" w:lineRule="auto"/>
      </w:pPr>
      <w:r>
        <w:t>Command: ./srcEarth/test/UFieldProvider/run_test.sh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U-P01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Snapshot identifier</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Fixed FNV-1a reference vector</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identifier match</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U-P02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Metadata/SI completeness</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Required-key and unit contract</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All keys present; SI units only</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U-P03</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Uniform field values</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Analytic constant E and B</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Component error ≤ 1×10⁻¹³ relative + 1×10⁻¹⁸ absolute</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U-P04</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Epoch/domain/non-finite handling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Deliberate stale epoch, out-of-domain and NaN inputs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All rejected; no silent fallback</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U-P05</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Snapshot immutability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Read before/after provider revision</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Old snapshot unchanged; new revision has a new identity</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U-P06</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Cutoff/flux synchronization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Matching and tampered field identifiers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Match accepted; mismatch rejected before product calculation</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U-P07</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Schema and unit rejection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Bad schema, nT-labelled SI payload and incomplete metadata</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Every malformed case fails closed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U-P08</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Dipole evaluator</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Closed-form equator, pole and tilted-axis values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Component/magnitude error ≤ 1×10⁻¹³ relative + 1×10⁻¹⁸ absolute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U-P09</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Revision/fingerprint stability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Repeated byte-identical snapshots and one-field perturbation</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Same input gives exact ID; perturbation changes ID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U-P10</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Concurrent readers</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Sixteen readers of one immutable snapshot</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Bitwise-identical results; no race or mutation</w:t>
            </w:r>
          </w:p>
        </w:tc>
      </w:tr>
    </w:tbl>
    <w:p>
      <w:pPr>
        <w:spacing w:after="0"/>
      </w:pPr>
    </w:p>
    <w:p>
      <w:pPr>
        <w:pStyle w:val="Heading3"/>
        <w:keepNext/>
      </w:pPr>
      <w:r>
        <w:t>UTrajectoryCore — Step 4 trajectory/event kernel</w:t>
      </w:r>
    </w:p>
    <w:p>
      <w:pPr>
        <w:pStyle w:val="SmallNote"/>
        <w:keepNext/>
        <w:spacing w:after="100" w:line="252" w:lineRule="auto"/>
      </w:pPr>
      <w:r>
        <w:t>Command: ./srcEarth/test/UTrajectoryCore/run_test.sh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U-F10</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Relativistic helix and mover convergence</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Uniform-B analytic helix for BORIS Δt=0.1/0.05/0.025 and RK4 0.2/0.1/0.05</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BORIS error ratios &gt; 1.8, finest error &lt; 5×10⁻⁴ and |Δp/p| &lt; 5×10⁻¹⁴; RK4 ratios &gt; 8 and finest error &lt; 1×10⁻⁶</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U-F11</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Backward characteristic and energy mapping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Uniform-E forward/backward cancellation and p² phase-space identity</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Momentum recovery absolute error ≤ 2×10⁻¹⁵; p² factor exactly 4 for the 2:1 reference; zero boundary momentum rejected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U-F12</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Termination and boundary event</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Known event fraction 0.25 with exact position, momentum, time, rigidity and pitch</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State error ≤ 1×10⁻¹² relative + absolute; pitch error ≤ 2×10⁻¹⁵; invalid fractions/fields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U-F13</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Retry/extension policy</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Synthetic sequence with known pass count and terminal state</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retry count, extension factor and final closure</w:t>
            </w:r>
          </w:p>
        </w:tc>
      </w:tr>
    </w:tbl>
    <w:p>
      <w:pPr>
        <w:spacing w:after="0"/>
      </w:pPr>
    </w:p>
    <w:p>
      <w:pPr>
        <w:pStyle w:val="Heading3"/>
        <w:keepNext/>
      </w:pPr>
      <w:r>
        <w:t>UDirectionalAccess — Step 5 directional access</w:t>
      </w:r>
    </w:p>
    <w:p>
      <w:pPr>
        <w:pStyle w:val="SmallNote"/>
        <w:keepNext/>
        <w:spacing w:after="100" w:line="252" w:lineRule="auto"/>
      </w:pPr>
      <w:r>
        <w:t>Command: ./srcEarth/test/UDirectionalAccess/run_test.sh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U-F14</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Adaptive access integration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Analytic 4-GV step, hidden pocket and five-transition masks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4π relative error ≤ 2×10⁻¹⁴; absolute bracket ≤ 0.01 GV; relative bracket ≤ 0.1 GV at 40 GV; five transitions exact; work/depth exhaustion fails explicitly</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U-F15</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Saved-product reconstruction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F/A/F/A/A and F/A/U/F/A/A saved-row references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First case lower/effective/upper = 2/3/4 GV; bounded case effective/lower/upper = 4.5/2.5/4.5 GV and unresolved support 0.4; error ≤ 1×10⁻¹² relative + absolute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U-F16</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Observation reader/schema</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Valid 45/54-column C19 rows plus malformed/append-order cases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Both schemas read exactly; bad rows rejected; writer remains append-only</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U-F17</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CLI contract</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Positive option round-trip and negative/mutually invalid inputs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Valid controls preserved; invalid values rejected with nonzero exit</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U-F18</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C8 cube and physics reference</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Complete synthetic cube plus sign-mirrored east/west cases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No missing cells; physical sign/orientation matches frozen reference</w:t>
            </w:r>
          </w:p>
        </w:tc>
      </w:tr>
    </w:tbl>
    <w:p>
      <w:pPr>
        <w:spacing w:after="0"/>
      </w:pPr>
    </w:p>
    <w:p>
      <w:pPr>
        <w:pStyle w:val="Heading3"/>
        <w:keepNext/>
      </w:pPr>
      <w:r>
        <w:t>UBoundaryProducts — Step 6 spectra and response kernels</w:t>
      </w:r>
    </w:p>
    <w:p>
      <w:pPr>
        <w:pStyle w:val="SmallNote"/>
        <w:keepNext/>
        <w:spacing w:after="100" w:line="252" w:lineRule="auto"/>
      </w:pPr>
      <w:r>
        <w:t>Command: ./srcEarth/test/UBoundaryProducts/run_test.sh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Boundary spectra, units and density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Closed-form power-law/top-hat values and independent unit conversions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Default analytic error ≤ 1×10⁻¹⁰ relative + 1×10⁻¹² absolute; unit round trips exercised to 1×10⁻¹³ relative</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U-F05</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Channel clipping and bounds</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Analytic partial-bin integrals and unresolved lower/upper envelopes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Clipped integral exact within quadrature gate; ordered bounds</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U-F07</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PAD normalization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Beta-function means for sin^n α/cosine/bidirectional models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Raw/normalized PAD error ≤ 1×10⁻¹³ relative + 1×10⁻¹⁴ absolute; normalized 4π mean is one</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U-F08</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Time-dependent spectrum</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log-time interpolation with HOLD/FAIL gap policies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Interpolated log flux exact; out-of-policy gaps rejected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U-F09</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Detector response folding</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Delta/top-hat response and analytic omni-to-planar relation</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Folded channel and geometric factors agree with analytic result</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Kernel</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Local phase-space mapping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Independent j–f–p² identity and species/charge bookkeeping</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unit-aware mapping within coded floating-point gate</w:t>
            </w:r>
          </w:p>
        </w:tc>
      </w:tr>
    </w:tbl>
    <w:p>
      <w:pPr>
        <w:spacing w:after="0"/>
      </w:pPr>
    </w:p>
    <w:p>
      <w:pPr>
        <w:pStyle w:val="Heading3"/>
        <w:keepNext/>
      </w:pPr>
      <w:r>
        <w:t>UStandaloneProducts — Step 7 executable product contract</w:t>
      </w:r>
    </w:p>
    <w:p>
      <w:pPr>
        <w:pStyle w:val="SmallNote"/>
        <w:keepNext/>
        <w:spacing w:after="100" w:line="252" w:lineRule="auto"/>
      </w:pPr>
      <w:r>
        <w:t>Command: ./srcEarth/test/UStandaloneProducts/run_test.sh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S7-C01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Model aliases and role selection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Frozen alias/role map</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Every accepted alias maps exactly; unknown alias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S7-C02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Driver-to-model mapping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Known driver rows and expected TS05 inputs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parameter order, epoch and units</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S7-C03</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Output units</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Dimension/unit manifest</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All required product units present and consistent</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S7-C04</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Product/domain selection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Known valid/invalid selector combinations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Valid combinations preserved; invalid combinations fail closed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S7-C05</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Snapshot epoch synchronization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Deliberate matching and stale snapshot epochs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Match succeeds; stale snapshot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S7-C06</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Manifest schema</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Frozen required fields and hashes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Complete deterministic manifest; no missing provenance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S7-W01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Production wiring</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Source-level contract for parser-to-product connections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All required production symbols and options wired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S7-W02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Standalone isolation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Source/dependency scan</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 hidden SWMF runtime dependency in standalone path</w:t>
            </w:r>
          </w:p>
        </w:tc>
      </w:tr>
    </w:tbl>
    <w:p>
      <w:pPr>
        <w:spacing w:after="0"/>
      </w:pPr>
    </w:p>
    <w:p>
      <w:pPr>
        <w:pStyle w:val="Heading3"/>
        <w:keepNext/>
      </w:pPr>
      <w:r>
        <w:t>UStandaloneCampaign — Step 8 campaign/restart contract</w:t>
      </w:r>
    </w:p>
    <w:p>
      <w:pPr>
        <w:pStyle w:val="SmallNote"/>
        <w:keepNext/>
        <w:spacing w:after="100" w:line="252" w:lineRule="auto"/>
      </w:pPr>
      <w:r>
        <w:t>Command: ./srcEarth/test/UStandaloneCampaign/run_test.sh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Manifest</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Hash/cache determinism</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Frozen manifest and one-byte perturbation</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cache hit for identical inputs; perturbation invalidates cache</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Policy</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 undocumented scaling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Network/platform normalization traps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Every unregistered scaling or network dependency rejected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Adapters</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O1/O2 data and detector schemas</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Frozen accepted/rejected rows including REPT and response tables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Valid rows exact; missing columns/units/provenance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Cadence</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Time aggregation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Analytic cadence-weighted average</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Mean and exposure match hand calculation</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Metrics</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Observation comparison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Synthetic vectors with hand-computed bias, RMSE, correlation and log metrics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metric values and missing-comparison failure</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Extractor</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Tecplot/result extraction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Minimal known-zone artifact</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variables, units, row count and ordering</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Lifecycle</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Pass, restart and failure</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Fake executable; interrupted/restarted run; unresolved fraction 0.02</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Pass/restart deterministic; 0.02 fails unchanged 0.01 gate; no comparison cannot pass</w:t>
            </w:r>
          </w:p>
        </w:tc>
      </w:tr>
    </w:tbl>
    <w:p>
      <w:pPr>
        <w:spacing w:after="0"/>
      </w:pPr>
    </w:p>
    <w:p>
      <w:pPr>
        <w:pStyle w:val="Heading3"/>
        <w:keepNext/>
      </w:pPr>
      <w:r>
        <w:t>USWMFSnapshot — Step 9 live/replay coupling</w:t>
      </w:r>
    </w:p>
    <w:p>
      <w:pPr>
        <w:pStyle w:val="SmallNote"/>
        <w:keepNext/>
        <w:spacing w:after="100" w:line="252" w:lineRule="auto"/>
      </w:pPr>
      <w:r>
        <w:t>Command: ./srcEarth/test/USWMFSnapshot/run_test.sh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S9-U01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Snapshot content identity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Fixed canonical payload and fingerprint</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hash and metadata</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S9-U02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Electric-field derivation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Analytic E = -u × B</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All components agree at roundoff</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S9-U03</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Write/read replay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Byte-stable serialization round trip</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values, shape, units and identity</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S9-U04</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Decomposition/order invariance</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Permuted ownership and traversal order</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Identical canonical snapshot/fingerprint</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S9-U05</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Restart identity/sensitivity</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Same restart and single-value perturbation</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Same state is exact; changed state gets new ID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S9-U06</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Corruption rejection</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Bad units, duplicate cells, NaN and truncation</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Every malformed snapshot rejected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S9-U07</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Live/replay tolerance</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Matching, 5×10⁻⁹ relative-B and deliberately larger perturbations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Relative ≤ 1×10⁻⁸ with absolutes: x 1×10⁻⁹ m, B 1×10⁻³⁰ T, u 1×10⁻⁹ m/s, E 1×10⁻¹⁸ V/m; 5×10⁻⁵ relative-B and 2×10⁻⁹ m displacement fail</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S9-U08</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Fail-closed status</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Unavailable/stale/corrupt provider states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 fallback product; explicit error status</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S9-S01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Production wiring</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Parser/coupler/snapshot/replay source contract</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All required paths connected to production symbols</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S9-S02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Regression-gate immutability</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Exact F4/C9/C19 gate strings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Thresholds unchanged; source scan fails on relaxation</w:t>
            </w:r>
          </w:p>
        </w:tc>
      </w:tr>
    </w:tbl>
    <w:p>
      <w:pPr>
        <w:spacing w:after="0"/>
      </w:pPr>
    </w:p>
    <w:p>
      <w:pPr>
        <w:pStyle w:val="Heading3"/>
        <w:keepNext/>
      </w:pPr>
      <w:r>
        <w:t>UGeopackTilt — GEOPACK/TS05 initialization and determinism</w:t>
      </w:r>
    </w:p>
    <w:p>
      <w:pPr>
        <w:pStyle w:val="SmallNote"/>
        <w:keepNext/>
        <w:spacing w:after="100" w:line="252" w:lineRule="auto"/>
      </w:pPr>
      <w:r>
        <w:t>Command: ./srcEarth/test/UGeopackTilt/run_test.sh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G-T01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Use-before-initialization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Deliberate uninitialized call</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Rejected with explicit status</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G-T02–05</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IGRF-13/SUN_08 dipole tilt</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Four independent frozen epochs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Absolute tilt error ≤ 1.0×10⁻⁴ rad</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G-T06</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A/B/A context restoration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Two epochs with return to A</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A states bitwise identical; generation counter exact</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G-T07</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T05 binding</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Context and driver binding contract</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Requested epoch/tilt is the epoch/tilt used by T05</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G-T08</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Invalid/stale context</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NaN, stale same-epoch and incomplete state</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Every case rejected; no reuse of stale globals</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G-T09</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Context versus legacy IGRF</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Same epoch/position through both implementations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|ΔB| ≤ 1.0×10⁻¹⁰ nT + 1.0×10⁻¹³ max|B|</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G-T10</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Thread determinism</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Sixteen concurrent evaluations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Bitwise-identical field and tilt</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G-T11</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Generated reference table</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Generator provenance and interpolation sweep</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Derived files exact; maximum interpolation error ≤ 2.0×10⁻⁵ rad</w:t>
            </w:r>
          </w:p>
        </w:tc>
      </w:tr>
    </w:tbl>
    <w:p>
      <w:pPr>
        <w:spacing w:after="0"/>
      </w:pPr>
    </w:p>
    <w:p>
      <w:pPr>
        <w:pStyle w:val="Heading3"/>
        <w:keepNext/>
      </w:pPr>
      <w:r>
        <w:t>UTestRunner — transactional runner behavior</w:t>
      </w:r>
    </w:p>
    <w:p>
      <w:pPr>
        <w:pStyle w:val="SmallNote"/>
        <w:keepNext/>
        <w:spacing w:after="100" w:line="252" w:lineRule="auto"/>
      </w:pPr>
      <w:r>
        <w:t>Command: ./srcEarth/test/UTestRunner/run_test.sh</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08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381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Independent reference / procedure</w:t>
            </w:r>
          </w:p>
        </w:tc>
        <w:tc>
          <w:tcPr>
            <w:tcW w:type="dxa" w:w="259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UTR-F01</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Exclusive parser</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Synthetic list with valid/invalid exclusivity controls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parse; malformed combinations rejected</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UTR-F02</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Exclusive resource pool</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Competing mock jobs</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 overlap for exclusive jobs; normal jobs retain legal concurrency</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UTR-F03</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Child environment handshake</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Mock child reports inherited contract</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Exact expected environment and resource values</w:t>
            </w:r>
          </w:p>
        </w:tc>
      </w:tr>
      <w:tr>
        <w:trPr>
          <w:cantSplit/>
          <w:trHeight w:hRule="atLeast"/>
        </w:trPr>
        <w:tc>
          <w:tcPr>
            <w:tcW w:type="dxa" w:w="108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UTR-F04</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C19 resource contract</w:t>
            </w:r>
          </w:p>
        </w:tc>
        <w:tc>
          <w:tcPr>
            <w:tcW w:type="dxa" w:w="381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Registered C19 invocation and invalid oversubscription case</w:t>
            </w:r>
          </w:p>
        </w:tc>
        <w:tc>
          <w:tcPr>
            <w:tcW w:type="dxa" w:w="259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Required exclusivity accepted; invalid layout rejected before execution</w:t>
            </w:r>
          </w:p>
        </w:tc>
      </w:tr>
      <w:tr>
        <w:trPr>
          <w:cantSplit/>
          <w:trHeight w:hRule="atLeast"/>
        </w:trPr>
        <w:tc>
          <w:tcPr>
            <w:tcW w:type="dxa" w:w="1080"/>
            <w:vAlign w:val="top"/>
            <w:tcMar>
              <w:top w:w="80" w:type="dxa"/>
              <w:start w:w="90" w:type="dxa"/>
              <w:bottom w:w="80" w:type="dxa"/>
              <w:end w:w="90" w:type="dxa"/>
            </w:tcMar>
          </w:tcPr>
          <w:p>
            <w:pPr>
              <w:spacing w:before="0" w:after="40" w:line="245" w:lineRule="auto"/>
            </w:pPr>
            <w:r>
              <w:rPr>
                <w:rFonts w:ascii="Aptos" w:hAnsi="Aptos"/>
                <w:b w:val="0"/>
                <w:color w:val="24343D"/>
                <w:sz w:val="16"/>
              </w:rPr>
              <w:t>UTR-F05</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6"/>
              </w:rPr>
              <w:t>Deferred last-pass transaction</w:t>
            </w:r>
          </w:p>
        </w:tc>
        <w:tc>
          <w:tcPr>
            <w:tcW w:type="dxa" w:w="3816"/>
            <w:vAlign w:val="top"/>
            <w:tcMar>
              <w:top w:w="80" w:type="dxa"/>
              <w:start w:w="90" w:type="dxa"/>
              <w:bottom w:w="80" w:type="dxa"/>
              <w:end w:w="90" w:type="dxa"/>
            </w:tcMar>
          </w:tcPr>
          <w:p>
            <w:pPr>
              <w:spacing w:before="0" w:after="40" w:line="245" w:lineRule="auto"/>
            </w:pPr>
            <w:r>
              <w:rPr>
                <w:rFonts w:ascii="Aptos" w:hAnsi="Aptos"/>
                <w:b w:val="0"/>
                <w:color w:val="24343D"/>
                <w:sz w:val="16"/>
              </w:rPr>
              <w:t>Temporary repository, cached result, commit, stale SHA and immediate-update cases</w:t>
            </w:r>
          </w:p>
        </w:tc>
        <w:tc>
          <w:tcPr>
            <w:tcW w:type="dxa" w:w="2592"/>
            <w:vAlign w:val="top"/>
            <w:tcMar>
              <w:top w:w="80" w:type="dxa"/>
              <w:start w:w="90" w:type="dxa"/>
              <w:bottom w:w="80" w:type="dxa"/>
              <w:end w:w="90" w:type="dxa"/>
            </w:tcMar>
          </w:tcPr>
          <w:p>
            <w:pPr>
              <w:spacing w:before="0" w:after="40" w:line="245" w:lineRule="auto"/>
            </w:pPr>
            <w:r>
              <w:rPr>
                <w:rFonts w:ascii="Aptos" w:hAnsi="Aptos"/>
                <w:b w:val="0"/>
                <w:color w:val="24343D"/>
                <w:sz w:val="16"/>
              </w:rPr>
              <w:t>Cached commit exact; stale/foreign result rejected; no rerun during --commit-last-pass</w:t>
            </w:r>
          </w:p>
        </w:tc>
      </w:tr>
    </w:tbl>
    <w:p>
      <w:pPr>
        <w:spacing w:after="0"/>
      </w:pPr>
    </w:p>
    <w:p>
      <w:pPr>
        <w:pStyle w:val="Heading2"/>
        <w:keepNext/>
      </w:pPr>
      <w:r>
        <w:t>D.4 Current C-series physics and integration tests</w:t>
      </w:r>
    </w:p>
    <w:p>
      <w:pPr>
        <w:keepNext w:val="0"/>
        <w:spacing w:after="100" w:line="252" w:lineRule="auto"/>
      </w:pPr>
      <w:r>
        <w:t>The command column names the canonical runner. Active variants, MPI/OpenMP layouts and expected status are the exact entries in srcEarth/test/list. A runner existing on disk does not imply that every profile is release-ready.</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22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Test / status</w:t>
            </w:r>
          </w:p>
        </w:tc>
        <w:tc>
          <w:tcPr>
            <w:tcW w:type="dxa" w:w="208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230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Reference</w:t>
            </w:r>
          </w:p>
        </w:tc>
        <w:tc>
          <w:tcPr>
            <w:tcW w:type="dxa" w:w="338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Unchanged hard gate</w:t>
            </w:r>
          </w:p>
        </w:tc>
        <w:tc>
          <w:tcPr>
            <w:tcW w:type="dxa" w:w="144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Runner</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Størmer vertical cutoff in dipole; gridless and Mode3D analytic/mesh</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Analytic Rc = R0 cos⁴λ/r²</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Mid: mean/max 0.02/0.05; high-lat analytic 0.15/0.25. Mesh: 0.05/0.10 and 0.25/0.35.</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python3 srcEarth/test/C1/run_C1.py [registered mode]</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C2</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Longitude and north/south symmetry</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centered-dipole symmetry</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Mid relative error ≤ 1×10⁻²; high latitude ≤ 5×10⁻².</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…/C2/run_C2.py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C3</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High-latitude penumbra and UPPER_SCAN</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Størmer cutoff plus scan refinement</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UPPER_SCAN relative error ≤ 0.25; BINARY retained as diagnostic collapse detector.</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…/C3/run_C3.py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C4</w:t>
              <w:br/>
              <w:t>Linked + expected-F diagnostics</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Allowed/forbidden trajectory classification and rigidity invariant</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Dipole cases R/Rc = 0.5 and 2</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|ΔR/R| ≤ 1×10⁻⁶. Momentum-axis diagnostic gate 1×10⁻⁵ when enabled.</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…/C4/run_C4.py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C5</w:t>
              <w:br/>
              <w:t>Diagnostic expected-F</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Mode3D mesh convergence</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Analytic dipole baseline and refinement trend</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Analytic mid/high 0.02/0.15; finest mid/high 0.05/0.25; longitude 0.10; improvement ≥ 0.05.</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…/C5/run_C5.py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C6</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Global IGRF cutoff map</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Published Smart–Shea, CARI-7 and Gerontidou reference tables</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Valid ≥ 0.98; pass ≥ 0.85; RMSE ≤ 0.60 GV; point tolerance max(0.50 GV, 0.15·max(ref,0.25)).</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…/C6/run_C6.py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C7</w:t>
              <w:br/>
              <w:t>External reference</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T96/T05 cutoff maps</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Frozen IZMIRAN/GeoMagSphere results with provenance</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Matched/valid ≥ 0.95; pass ≥ 0.85; RMSE ≤ 0.50 GV; point tol max(0.20 GV, 1.5 scan steps, 10% ref).</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…/C7/run_C7.py or run_C7_izmiran.py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C8</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T96/T05 directional east/west access cube</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Frozen C8-R01–06 physics cases and exact cube schema</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High-R allowed ≥ 0.98; unresolved ≤ 0.02; D ≥ 0.01 east and ≤ -0.01 mirrored west; model mismatch ≤ 0.15; exit RMS ≤ 5 mrad where present; overall/lobe unresolved ≤ 0.25/0.20.</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…/C8/run_C8.py --profile ROUTINE</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C9</w:t>
              <w:br/>
              <w:t>Linked + observation</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PAMELA December 2006 T50</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Frozen PAMELA transition latitude data; FULL_SCAN/DIRECT_ACCESS cross-check</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Valid ≥ 0.85; RMSE ≤ 3°; |bias| ≤ 2°; corr ≥ 0.80; state agreement ≥ 0.999; unresolved ≤ 0.01; resolved-longitude ≥ 0.80.</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…/C9/run_C9.py [FULL_SCAN|DIRECT_ACCESS]</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C10</w:t>
              <w:br/>
              <w:t>Linked + observation</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POES/MetOp access boundary</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Frozen MEPED boundary table; FULL_SCAN/DIRECT_ACCESS cross-check</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Valid ≥ 0.85; RMSE ≤ 3°; |bias| ≤ 2°; corr ≥ 0.80; profile resolved ≥ 0.66; agreement ≥ 0.999; unresolved ≤ 0.01; expansion 4–12°.</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…/C10/run_C10.py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C11</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Binary-collapse signature and UPPER_SCAN recovery</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Størmer solution and deliberately aliased scan</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UPPER_SCAN relative error ≤ 0.25; Rmin relative error ≤ 1×10⁻³; collapse signature must be detected.</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…/C11/run_C11.py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C12</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Mover accuracy/convergence in dipole</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Størmer cutoffs and cross-mover convergence</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Størmer abs/rel 0.005 GV/0.05; low-order 0.15; high-lat 0.25. Cross-mover abs/rel 0.003 GV/0.03 (high-lat 0.10); convergence ratio ≥ 1.25 with 0.01 GV slack.</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…/C12/run_C12.py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C13</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Gridless MPI scheduler/load invariance</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DIPOLE analytic plus exact T05 scheduler parity</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T05 rel/abs ≤ 1×10⁻⁷/1×10⁻¹² GV. Størmer abs/rel ≤ 0.10 GV/0.05; valid/pass ≥ 0.95; exact task closure.</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…/C13/run_C13.py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C14</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Mode3D/gridless parity</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Analytic dipole and cross-solver equality</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Mid 0.01; high analytic 0.05; high mesh 0.15. Analytic mid/high 0.05/0.25; box-rotation 0.03 (mesh 0.15); N/S 0.03 (mesh 0.10).</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…/C14/run_C14.py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C15</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T05 driver interpolation and epoch repeat</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Frozen field/cutoff references, midpoint interpolation and exact replay</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Field rel/abs 5×10⁻¹²/1×10⁻¹⁵; cutoff 1×10⁻⁸/1×10⁻¹⁰; midpoint L2 1×10⁻⁷ and RMS 1×10⁻⁵; access ≥ 0.95; unresolved ≤ 0.05; sensitivity ≥ 1×10⁻⁴; curvature ≤ 0.25; step ratio ≤ 3.</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…/C15/run_C15.py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C16</w:t>
              <w:br/>
              <w:t>Linked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Termination/access mapping</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synthetic termination table and extended-budget stability</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fatal codes 6–8; resolved states stable under longer budgets; profile unresolved within registered limits; probe target ≥ 0.90.</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…/C16/run_C16.py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C17</w:t>
              <w:br/>
              <w:t>Linked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Charge/reflection symmetry</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Analytic symmetry transformation and legacy cutoff baseline</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Direct mismatch ≤ 0.01; one-sided unresolved ≤ 0.05; stable sample ≥ 0.20; legacy Rc rel ≤ 0.20, abs ≤ 1×10⁻⁸; pass ≥ 0.90; transmission mismatch ≤ 0.03.</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…/C17/run_C17.py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C18</w:t>
              <w:br/>
              <w:t>Linked determinism</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Serial/thread field initialization</w:t>
            </w:r>
          </w:p>
        </w:tc>
        <w:tc>
          <w:tcPr>
            <w:tcW w:type="dxa" w:w="230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cross-thread fingerprints for DIPOLE/IGRF/T96/T05</w:t>
            </w:r>
          </w:p>
        </w:tc>
        <w:tc>
          <w:tcPr>
            <w:tcW w:type="dxa" w:w="33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Workers 1/2/4/8/16, two repeats: exact field/access fingerprints. Physical truth remains covered by C6/C7/C9/C10/UGeopackTilt.</w:t>
            </w:r>
          </w:p>
        </w:tc>
        <w:tc>
          <w:tcPr>
            <w:tcW w:type="dxa" w:w="144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…/C18/run_C18.py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C19</w:t>
              <w:br/>
              <w:t>Linked + observation</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5"/>
              </w:rPr>
              <w:t>GOES EPEAD east/west event, 17 May 2012</w:t>
            </w:r>
          </w:p>
        </w:tc>
        <w:tc>
          <w:tcPr>
            <w:tcW w:type="dxa" w:w="2304"/>
            <w:vAlign w:val="top"/>
            <w:tcMar>
              <w:top w:w="80" w:type="dxa"/>
              <w:start w:w="90" w:type="dxa"/>
              <w:bottom w:w="80" w:type="dxa"/>
              <w:end w:w="90" w:type="dxa"/>
            </w:tcMar>
          </w:tcPr>
          <w:p>
            <w:pPr>
              <w:spacing w:before="0" w:after="40" w:line="245" w:lineRule="auto"/>
            </w:pPr>
            <w:r>
              <w:rPr>
                <w:rFonts w:ascii="Aptos" w:hAnsi="Aptos"/>
                <w:b w:val="0"/>
                <w:color w:val="24343D"/>
                <w:sz w:val="15"/>
              </w:rPr>
              <w:t>Frozen response/observations; staged execution, fold and comparison</w:t>
            </w:r>
          </w:p>
        </w:tc>
        <w:tc>
          <w:tcPr>
            <w:tcW w:type="dxa" w:w="3384"/>
            <w:vAlign w:val="top"/>
            <w:tcMar>
              <w:top w:w="80" w:type="dxa"/>
              <w:start w:w="90" w:type="dxa"/>
              <w:bottom w:w="80" w:type="dxa"/>
              <w:end w:w="90" w:type="dxa"/>
            </w:tcMar>
          </w:tcPr>
          <w:p>
            <w:pPr>
              <w:spacing w:before="0" w:after="40" w:line="245" w:lineRule="auto"/>
            </w:pPr>
            <w:r>
              <w:rPr>
                <w:rFonts w:ascii="Aptos" w:hAnsi="Aptos"/>
                <w:b w:val="0"/>
                <w:color w:val="24343D"/>
                <w:sz w:val="15"/>
              </w:rPr>
              <w:t>Aperture unresolved ≤ 0.05; valid ≥ 0.85; sign ≥ 0.90; corr ≥ 0.60; MAElog ≤ 0.20; RMSElog ≤ 0.30; no platform scale. Missing comparison is failure.</w:t>
            </w:r>
          </w:p>
        </w:tc>
        <w:tc>
          <w:tcPr>
            <w:tcW w:type="dxa" w:w="1440"/>
            <w:vAlign w:val="top"/>
            <w:tcMar>
              <w:top w:w="80" w:type="dxa"/>
              <w:start w:w="90" w:type="dxa"/>
              <w:bottom w:w="80" w:type="dxa"/>
              <w:end w:w="90" w:type="dxa"/>
            </w:tcMar>
          </w:tcPr>
          <w:p>
            <w:pPr>
              <w:spacing w:before="0" w:after="40" w:line="245" w:lineRule="auto"/>
            </w:pPr>
            <w:r>
              <w:rPr>
                <w:rFonts w:ascii="Aptos" w:hAnsi="Aptos"/>
                <w:b w:val="0"/>
                <w:color w:val="24343D"/>
                <w:sz w:val="15"/>
              </w:rPr>
              <w:t>…/C19/run_C19.py [SMOKE|ROUTINE]</w:t>
            </w:r>
          </w:p>
        </w:tc>
      </w:tr>
    </w:tbl>
    <w:p>
      <w:pPr>
        <w:spacing w:after="0"/>
      </w:pPr>
    </w:p>
    <w:p>
      <w:pPr>
        <w:pStyle w:val="Heading2"/>
        <w:keepNext/>
      </w:pPr>
      <w:r>
        <w:t>D.5 F-series flux/product tests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22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Test / status</w:t>
            </w:r>
          </w:p>
        </w:tc>
        <w:tc>
          <w:tcPr>
            <w:tcW w:type="dxa" w:w="194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2520"/>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Reference solution</w:t>
            </w:r>
          </w:p>
        </w:tc>
        <w:tc>
          <w:tcPr>
            <w:tcW w:type="dxa" w:w="316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Immutable acceptance</w:t>
            </w:r>
          </w:p>
        </w:tc>
        <w:tc>
          <w:tcPr>
            <w:tcW w:type="dxa" w:w="158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Command</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F1</w:t>
              <w:br/>
              <w:t>Implemented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Zero field/open boundary</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Exact T=1, local=boundary spectrum, 4π angular integral, analytic density and spatial uniformity</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All exact identities within roundoff; unresolved fraction zero.</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python3 srcEarth/test/F1/run_F1.py -np 4 -nt 16</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F2</w:t>
              <w:br/>
              <w:t>Implemented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Power-law spectrum and channels</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Closed-form differential and energy-integrated power-law solution</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Every bin/channel within the existing analytic tolerance; unit tags exact.</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…/F2/run_F2.py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F3</w:t>
              <w:br/>
              <w:t>Implemented linked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Dipole cutoff-filtered flux</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Størmer hard-cutoff/open-sky approximation plus symmetry/closure</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Existing cutoff/flux error and unresolved ≤ 0.01; registered high-resolution case unchanged.</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…/F3/run_F3.py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F4</w:t>
              <w:br/>
              <w:t>Implemented linked + unit self-tests</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Flux reconstruction and uncertainty bounds</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Hand-computed Jlocal, n, F and channels from synthetic access rows</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reconstruction; lower ≤ nominal ≤ upper; nominal NaN when no direction resolves.</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…/F4/run_F4.py; …/F4/tests/run_self_tests.py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F5</w:t>
              <w:br/>
              <w:t>Implemented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Anisotropic spectrum</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sin²α + cos²α identity and semi-analytic PAD integral</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Identity and normalized angular integral at coded tolerance.</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…/F5/run_F5.py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F6</w:t>
              <w:br/>
              <w:t>Planned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Energy/angular convergence</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Nested grid sequence against highest-resolution reference</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Observed order and tolerance frozen before campaign; unresolved reported separately.</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F7</w:t>
              <w:br/>
              <w:t>Planned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Gridless/Mode3D product parity</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Same immutable field snapshot and source distribution</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Flux/spectrum differences within preregistered discretization envelope; exact metadata identity.</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F8</w:t>
              <w:br/>
              <w:t>Planned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GOES spectral/time response</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Frozen GOES response and observation interval</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O-series amplitude, slope, timing and coverage gates; no fitted platform scale.</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F9</w:t>
              <w:br/>
              <w:t>Planned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PAMELA flux</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Frozen PAMELA spectra/access observations</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O-series comparison gates plus C9 access gate.</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F10</w:t>
              <w:br/>
              <w:t>Planned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POES/MetOp flux</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Frozen MEPED response and boundary/flux data</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O-series comparison gates plus C10 access gate.</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F11</w:t>
              <w:br/>
              <w:t>Implemented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PAD aliases and normalization</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n=0 equality and exact cosine/bidirectional alias relation</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Exact alias relation and normalized mean at roundoff.</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…/F11/run_F11.py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F12</w:t>
              <w:br/>
              <w:t>Implemented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Day/night spatial dependence</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configured spatial factors at known points</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Factor and resulting spectrum exact within roundoff.</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…/F12/run_F12.py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F13</w:t>
              <w:br/>
              <w:t>Planned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Parallel reproducibility</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Serial/MPI/thread result fingerprints</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Exact discrete states; floating products within a frozen reduction tolerance.</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F14</w:t>
              <w:br/>
              <w:t>Planned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Adaptive/direct/scan product parity</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Analytic masks and converged full scan</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Same flux/channel result within preregistered quadrature error; no hidden pocket missed.</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F15</w:t>
              <w:br/>
              <w:t>Implemented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Relativistic top-hat spectrum</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Closed-form density and integral flux</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Density/flux within analytic tolerance and exact support limits.</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…/F15/run_F15.py</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F16</w:t>
              <w:br/>
              <w:t>Implemented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Completely blocked access</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Exact zero transmitted flux with nonzero incident spectrum</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Every product zero, incident diagnostic nonzero, and no false NaN/pass.</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…/F16/run_F16.py</w:t>
            </w:r>
          </w:p>
        </w:tc>
      </w:tr>
      <w:tr>
        <w:trPr>
          <w:cantSplit/>
          <w:trHeight w:hRule="atLeast"/>
        </w:trPr>
        <w:tc>
          <w:tcPr>
            <w:tcW w:type="dxa" w:w="1224"/>
            <w:vAlign w:val="top"/>
            <w:tcMar>
              <w:top w:w="80" w:type="dxa"/>
              <w:start w:w="90" w:type="dxa"/>
              <w:bottom w:w="80" w:type="dxa"/>
              <w:end w:w="90" w:type="dxa"/>
            </w:tcMar>
          </w:tcPr>
          <w:p>
            <w:pPr>
              <w:spacing w:before="0" w:after="40" w:line="245" w:lineRule="auto"/>
            </w:pPr>
            <w:r>
              <w:rPr>
                <w:rFonts w:ascii="Aptos" w:hAnsi="Aptos"/>
                <w:b w:val="0"/>
                <w:color w:val="24343D"/>
                <w:sz w:val="15"/>
              </w:rPr>
              <w:t>F17</w:t>
              <w:br/>
              <w:t>Planned</w:t>
            </w:r>
          </w:p>
        </w:tc>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5"/>
              </w:rPr>
              <w:t>Multi-instrument closure</w:t>
            </w:r>
          </w:p>
        </w:tc>
        <w:tc>
          <w:tcPr>
            <w:tcW w:type="dxa" w:w="2520"/>
            <w:vAlign w:val="top"/>
            <w:tcMar>
              <w:top w:w="80" w:type="dxa"/>
              <w:start w:w="90" w:type="dxa"/>
              <w:bottom w:w="80" w:type="dxa"/>
              <w:end w:w="90" w:type="dxa"/>
            </w:tcMar>
          </w:tcPr>
          <w:p>
            <w:pPr>
              <w:spacing w:before="0" w:after="40" w:line="245" w:lineRule="auto"/>
            </w:pPr>
            <w:r>
              <w:rPr>
                <w:rFonts w:ascii="Aptos" w:hAnsi="Aptos"/>
                <w:b w:val="0"/>
                <w:color w:val="24343D"/>
                <w:sz w:val="15"/>
              </w:rPr>
              <w:t>One physical event observed by independently calibrated instruments</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5"/>
              </w:rPr>
              <w:t>Each instrument and joint residual pass O-series gates without per-platform scaling.</w:t>
            </w:r>
          </w:p>
        </w:tc>
        <w:tc>
          <w:tcPr>
            <w:tcW w:type="dxa" w:w="1584"/>
            <w:vAlign w:val="top"/>
            <w:tcMar>
              <w:top w:w="80" w:type="dxa"/>
              <w:start w:w="90" w:type="dxa"/>
              <w:bottom w:w="80" w:type="dxa"/>
              <w:end w:w="90" w:type="dxa"/>
            </w:tcMar>
          </w:tcPr>
          <w:p>
            <w:pPr>
              <w:spacing w:before="0" w:after="40" w:line="245" w:lineRule="auto"/>
            </w:pPr>
            <w:r>
              <w:rPr>
                <w:rFonts w:ascii="Aptos" w:hAnsi="Aptos"/>
                <w:b w:val="0"/>
                <w:color w:val="24343D"/>
                <w:sz w:val="15"/>
              </w:rPr>
              <w:t>No release command yet</w:t>
            </w:r>
          </w:p>
        </w:tc>
      </w:tr>
      <w:tr>
        <w:trPr>
          <w:cantSplit/>
          <w:trHeight w:hRule="atLeast"/>
        </w:trPr>
        <w:tc>
          <w:tcPr>
            <w:tcW w:type="dxa" w:w="12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F18+</w:t>
              <w:br/>
              <w:t>Planned</w:t>
            </w:r>
          </w:p>
        </w:tc>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Dynamic fields, forward/trapped populations, loss and species extensions</w:t>
            </w:r>
          </w:p>
        </w:tc>
        <w:tc>
          <w:tcPr>
            <w:tcW w:type="dxa" w:w="2520"/>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Reversible dynamic-field cases, conservation laws and independent transport references</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Use new non-conflicting IDs U-F19–U-F21 for forward weights/estimators/dynamic mapping; gates frozen before implementation.</w:t>
            </w:r>
          </w:p>
        </w:tc>
        <w:tc>
          <w:tcPr>
            <w:tcW w:type="dxa" w:w="158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5"/>
              </w:rPr>
              <w:t>No release command yet</w:t>
            </w:r>
          </w:p>
        </w:tc>
      </w:tr>
    </w:tbl>
    <w:p>
      <w:pPr>
        <w:spacing w:after="0"/>
      </w:pPr>
    </w:p>
    <w:p>
      <w:pPr>
        <w:pStyle w:val="Heading2"/>
        <w:keepNext/>
      </w:pPr>
      <w:r>
        <w:t>D.6 Linked standalone and SWMF integration tests (I-F01–I-F10)</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36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ID / status</w:t>
            </w:r>
          </w:p>
        </w:tc>
        <w:tc>
          <w:tcPr>
            <w:tcW w:type="dxa" w:w="208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Purpose</w:t>
            </w:r>
          </w:p>
        </w:tc>
        <w:tc>
          <w:tcPr>
            <w:tcW w:type="dxa" w:w="237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Reference</w:t>
            </w:r>
          </w:p>
        </w:tc>
        <w:tc>
          <w:tcPr>
            <w:tcW w:type="dxa" w:w="309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Required gate</w:t>
            </w:r>
          </w:p>
        </w:tc>
        <w:tc>
          <w:tcPr>
            <w:tcW w:type="dxa" w:w="151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6"/>
              </w:rPr>
              <w:t>Current execution</w:t>
            </w:r>
          </w:p>
        </w:tc>
      </w:tr>
      <w:tr>
        <w:trPr>
          <w:cantSplit/>
          <w:trHeight w:hRule="atLeast"/>
        </w:trPr>
        <w:tc>
          <w:tcPr>
            <w:tcW w:type="dxa" w:w="1368"/>
            <w:vAlign w:val="top"/>
            <w:tcMar>
              <w:top w:w="80" w:type="dxa"/>
              <w:start w:w="90" w:type="dxa"/>
              <w:bottom w:w="80" w:type="dxa"/>
              <w:end w:w="90" w:type="dxa"/>
            </w:tcMar>
          </w:tcPr>
          <w:p>
            <w:pPr>
              <w:spacing w:before="0" w:after="40" w:line="245" w:lineRule="auto"/>
            </w:pPr>
            <w:r>
              <w:rPr>
                <w:rFonts w:ascii="Aptos" w:hAnsi="Aptos"/>
                <w:b w:val="0"/>
                <w:color w:val="24343D"/>
                <w:sz w:val="16"/>
              </w:rPr>
              <w:t>I-F01</w:t>
              <w:br/>
              <w:t>Current coverage</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6"/>
              </w:rPr>
              <w:t>Gridless zero-field end to end</w:t>
            </w:r>
          </w:p>
        </w:tc>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6"/>
              </w:rPr>
              <w:t>F1 and U-F01/U-F05 identities</w:t>
            </w:r>
          </w:p>
        </w:tc>
        <w:tc>
          <w:tcPr>
            <w:tcW w:type="dxa" w:w="3096"/>
            <w:vAlign w:val="top"/>
            <w:tcMar>
              <w:top w:w="80" w:type="dxa"/>
              <w:start w:w="90" w:type="dxa"/>
              <w:bottom w:w="80" w:type="dxa"/>
              <w:end w:w="90" w:type="dxa"/>
            </w:tcMar>
          </w:tcPr>
          <w:p>
            <w:pPr>
              <w:spacing w:before="0" w:after="40" w:line="245" w:lineRule="auto"/>
            </w:pPr>
            <w:r>
              <w:rPr>
                <w:rFonts w:ascii="Aptos" w:hAnsi="Aptos"/>
                <w:b w:val="0"/>
                <w:color w:val="24343D"/>
                <w:sz w:val="16"/>
              </w:rPr>
              <w:t>Exact open-sky products, units and manifest; no unresolved sample.</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F1 + UBoundaryProducts</w:t>
            </w:r>
          </w:p>
        </w:tc>
      </w:tr>
      <w:tr>
        <w:trPr>
          <w:cantSplit/>
          <w:trHeight w:hRule="atLeast"/>
        </w:trPr>
        <w:tc>
          <w:tcPr>
            <w:tcW w:type="dxa" w:w="13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I-F02</w:t>
              <w:br/>
              <w:t>Current coverage</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Mode3D zero/uniform field end to end</w:t>
            </w:r>
          </w:p>
        </w:tc>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Uniform-field analytic motion and open-sky flux</w:t>
            </w:r>
          </w:p>
        </w:tc>
        <w:tc>
          <w:tcPr>
            <w:tcW w:type="dxa" w:w="309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Same product as I-F01 within discretization tolerance; field ID exact.</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C1/C14 + planned dedicated profile</w:t>
            </w:r>
          </w:p>
        </w:tc>
      </w:tr>
      <w:tr>
        <w:trPr>
          <w:cantSplit/>
          <w:trHeight w:hRule="atLeast"/>
        </w:trPr>
        <w:tc>
          <w:tcPr>
            <w:tcW w:type="dxa" w:w="1368"/>
            <w:vAlign w:val="top"/>
            <w:tcMar>
              <w:top w:w="80" w:type="dxa"/>
              <w:start w:w="90" w:type="dxa"/>
              <w:bottom w:w="80" w:type="dxa"/>
              <w:end w:w="90" w:type="dxa"/>
            </w:tcMar>
          </w:tcPr>
          <w:p>
            <w:pPr>
              <w:spacing w:before="0" w:after="40" w:line="245" w:lineRule="auto"/>
            </w:pPr>
            <w:r>
              <w:rPr>
                <w:rFonts w:ascii="Aptos" w:hAnsi="Aptos"/>
                <w:b w:val="0"/>
                <w:color w:val="24343D"/>
                <w:sz w:val="16"/>
              </w:rPr>
              <w:t>I-F03</w:t>
              <w:br/>
              <w:t>Partial</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6"/>
              </w:rPr>
              <w:t>Gridless/Mode3D backend parity</w:t>
            </w:r>
          </w:p>
        </w:tc>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6"/>
              </w:rPr>
              <w:t>Same snapshot/source, independent backends</w:t>
            </w:r>
          </w:p>
        </w:tc>
        <w:tc>
          <w:tcPr>
            <w:tcW w:type="dxa" w:w="3096"/>
            <w:vAlign w:val="top"/>
            <w:tcMar>
              <w:top w:w="80" w:type="dxa"/>
              <w:start w:w="90" w:type="dxa"/>
              <w:bottom w:w="80" w:type="dxa"/>
              <w:end w:w="90" w:type="dxa"/>
            </w:tcMar>
          </w:tcPr>
          <w:p>
            <w:pPr>
              <w:spacing w:before="0" w:after="40" w:line="245" w:lineRule="auto"/>
            </w:pPr>
            <w:r>
              <w:rPr>
                <w:rFonts w:ascii="Aptos" w:hAnsi="Aptos"/>
                <w:b w:val="0"/>
                <w:color w:val="24343D"/>
                <w:sz w:val="16"/>
              </w:rPr>
              <w:t>Cutoff, access and product parity within frozen mesh/quadrature envelopes.</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C14; complete product profile planned</w:t>
            </w:r>
          </w:p>
        </w:tc>
      </w:tr>
      <w:tr>
        <w:trPr>
          <w:cantSplit/>
          <w:trHeight w:hRule="atLeast"/>
        </w:trPr>
        <w:tc>
          <w:tcPr>
            <w:tcW w:type="dxa" w:w="13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I-F04</w:t>
              <w:br/>
              <w:t>Partial</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Mesh convergence</w:t>
            </w:r>
          </w:p>
        </w:tc>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Analytic dipole and finest mesh</w:t>
            </w:r>
          </w:p>
        </w:tc>
        <w:tc>
          <w:tcPr>
            <w:tcW w:type="dxa" w:w="309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C5 thresholds unchanged; add flux/channel convergence without replacing cutoff gates.</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C5; product extension planned</w:t>
            </w:r>
          </w:p>
        </w:tc>
      </w:tr>
      <w:tr>
        <w:trPr>
          <w:cantSplit/>
          <w:trHeight w:hRule="atLeast"/>
        </w:trPr>
        <w:tc>
          <w:tcPr>
            <w:tcW w:type="dxa" w:w="1368"/>
            <w:vAlign w:val="top"/>
            <w:tcMar>
              <w:top w:w="80" w:type="dxa"/>
              <w:start w:w="90" w:type="dxa"/>
              <w:bottom w:w="80" w:type="dxa"/>
              <w:end w:w="90" w:type="dxa"/>
            </w:tcMar>
          </w:tcPr>
          <w:p>
            <w:pPr>
              <w:spacing w:before="0" w:after="40" w:line="245" w:lineRule="auto"/>
            </w:pPr>
            <w:r>
              <w:rPr>
                <w:rFonts w:ascii="Aptos" w:hAnsi="Aptos"/>
                <w:b w:val="0"/>
                <w:color w:val="24343D"/>
                <w:sz w:val="16"/>
              </w:rPr>
              <w:t>I-F05</w:t>
              <w:br/>
              <w:t>Current coverage</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6"/>
              </w:rPr>
              <w:t>Mover/time-step convergence</w:t>
            </w:r>
          </w:p>
        </w:tc>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6"/>
              </w:rPr>
              <w:t>Analytic helix, Størmer and cross-mover</w:t>
            </w:r>
          </w:p>
        </w:tc>
        <w:tc>
          <w:tcPr>
            <w:tcW w:type="dxa" w:w="3096"/>
            <w:vAlign w:val="top"/>
            <w:tcMar>
              <w:top w:w="80" w:type="dxa"/>
              <w:start w:w="90" w:type="dxa"/>
              <w:bottom w:w="80" w:type="dxa"/>
              <w:end w:w="90" w:type="dxa"/>
            </w:tcMar>
          </w:tcPr>
          <w:p>
            <w:pPr>
              <w:spacing w:before="0" w:after="40" w:line="245" w:lineRule="auto"/>
            </w:pPr>
            <w:r>
              <w:rPr>
                <w:rFonts w:ascii="Aptos" w:hAnsi="Aptos"/>
                <w:b w:val="0"/>
                <w:color w:val="24343D"/>
                <w:sz w:val="16"/>
              </w:rPr>
              <w:t>U-F10/C12 gates unchanged; product convergence added before release.</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UTrajectoryCore + C12</w:t>
            </w:r>
          </w:p>
        </w:tc>
      </w:tr>
      <w:tr>
        <w:trPr>
          <w:cantSplit/>
          <w:trHeight w:hRule="atLeast"/>
        </w:trPr>
        <w:tc>
          <w:tcPr>
            <w:tcW w:type="dxa" w:w="13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I-F06</w:t>
              <w:br/>
              <w:t>Partial</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MPI/thread reproducibility</w:t>
            </w:r>
          </w:p>
        </w:tc>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Serial fingerprint and repeated layouts</w:t>
            </w:r>
          </w:p>
        </w:tc>
        <w:tc>
          <w:tcPr>
            <w:tcW w:type="dxa" w:w="309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C13/C18 discrete-state identity; flux reductions must meet frozen tolerance.</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C13 + C18; F13 planned</w:t>
            </w:r>
          </w:p>
        </w:tc>
      </w:tr>
      <w:tr>
        <w:trPr>
          <w:cantSplit/>
          <w:trHeight w:hRule="atLeast"/>
        </w:trPr>
        <w:tc>
          <w:tcPr>
            <w:tcW w:type="dxa" w:w="1368"/>
            <w:vAlign w:val="top"/>
            <w:tcMar>
              <w:top w:w="80" w:type="dxa"/>
              <w:start w:w="90" w:type="dxa"/>
              <w:bottom w:w="80" w:type="dxa"/>
              <w:end w:w="90" w:type="dxa"/>
            </w:tcMar>
          </w:tcPr>
          <w:p>
            <w:pPr>
              <w:spacing w:before="0" w:after="40" w:line="245" w:lineRule="auto"/>
            </w:pPr>
            <w:r>
              <w:rPr>
                <w:rFonts w:ascii="Aptos" w:hAnsi="Aptos"/>
                <w:b w:val="0"/>
                <w:color w:val="24343D"/>
                <w:sz w:val="16"/>
              </w:rPr>
              <w:t>I-F07</w:t>
              <w:br/>
              <w:t>Current coverage</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6"/>
              </w:rPr>
              <w:t>Field/source epoch synchronization</w:t>
            </w:r>
          </w:p>
        </w:tc>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6"/>
              </w:rPr>
              <w:t>Immutable IDs and deliberate stale inputs</w:t>
            </w:r>
          </w:p>
        </w:tc>
        <w:tc>
          <w:tcPr>
            <w:tcW w:type="dxa" w:w="3096"/>
            <w:vAlign w:val="top"/>
            <w:tcMar>
              <w:top w:w="80" w:type="dxa"/>
              <w:start w:w="90" w:type="dxa"/>
              <w:bottom w:w="80" w:type="dxa"/>
              <w:end w:w="90" w:type="dxa"/>
            </w:tcMar>
          </w:tcPr>
          <w:p>
            <w:pPr>
              <w:spacing w:before="0" w:after="40" w:line="245" w:lineRule="auto"/>
            </w:pPr>
            <w:r>
              <w:rPr>
                <w:rFonts w:ascii="Aptos" w:hAnsi="Aptos"/>
                <w:b w:val="0"/>
                <w:color w:val="24343D"/>
                <w:sz w:val="16"/>
              </w:rPr>
              <w:t>Stale/mismatched IDs rejected; same IDs reproduce exact result.</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UFieldProvider + C15 + USWMFSnapshot</w:t>
            </w:r>
          </w:p>
        </w:tc>
      </w:tr>
      <w:tr>
        <w:trPr>
          <w:cantSplit/>
          <w:trHeight w:hRule="atLeast"/>
        </w:trPr>
        <w:tc>
          <w:tcPr>
            <w:tcW w:type="dxa" w:w="13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I-F08</w:t>
              <w:br/>
              <w:t>Planned</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Backward/forward closure</w:t>
            </w:r>
          </w:p>
        </w:tc>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Reversible static-field characteristics</w:t>
            </w:r>
          </w:p>
        </w:tc>
        <w:tc>
          <w:tcPr>
            <w:tcW w:type="dxa" w:w="309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Recovered boundary/local state and phase-space density within preregistered tolerance.</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Future U-F19/U-F20 and linked profile</w:t>
            </w:r>
          </w:p>
        </w:tc>
      </w:tr>
      <w:tr>
        <w:trPr>
          <w:cantSplit/>
          <w:trHeight w:hRule="atLeast"/>
        </w:trPr>
        <w:tc>
          <w:tcPr>
            <w:tcW w:type="dxa" w:w="1368"/>
            <w:vAlign w:val="top"/>
            <w:tcMar>
              <w:top w:w="80" w:type="dxa"/>
              <w:start w:w="90" w:type="dxa"/>
              <w:bottom w:w="80" w:type="dxa"/>
              <w:end w:w="90" w:type="dxa"/>
            </w:tcMar>
          </w:tcPr>
          <w:p>
            <w:pPr>
              <w:spacing w:before="0" w:after="40" w:line="245" w:lineRule="auto"/>
            </w:pPr>
            <w:r>
              <w:rPr>
                <w:rFonts w:ascii="Aptos" w:hAnsi="Aptos"/>
                <w:b w:val="0"/>
                <w:color w:val="24343D"/>
                <w:sz w:val="16"/>
              </w:rPr>
              <w:t>I-F09</w:t>
              <w:br/>
              <w:t>Planned</w:t>
            </w:r>
          </w:p>
        </w:tc>
        <w:tc>
          <w:tcPr>
            <w:tcW w:type="dxa" w:w="2088"/>
            <w:vAlign w:val="top"/>
            <w:tcMar>
              <w:top w:w="80" w:type="dxa"/>
              <w:start w:w="90" w:type="dxa"/>
              <w:bottom w:w="80" w:type="dxa"/>
              <w:end w:w="90" w:type="dxa"/>
            </w:tcMar>
          </w:tcPr>
          <w:p>
            <w:pPr>
              <w:spacing w:before="0" w:after="40" w:line="245" w:lineRule="auto"/>
            </w:pPr>
            <w:r>
              <w:rPr>
                <w:rFonts w:ascii="Aptos" w:hAnsi="Aptos"/>
                <w:b w:val="0"/>
                <w:color w:val="24343D"/>
                <w:sz w:val="16"/>
              </w:rPr>
              <w:t>Dynamic E/B reversible mapping</w:t>
            </w:r>
          </w:p>
        </w:tc>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6"/>
              </w:rPr>
              <w:t>Manufactured time-dependent field with analytic/reversible characteristic</w:t>
            </w:r>
          </w:p>
        </w:tc>
        <w:tc>
          <w:tcPr>
            <w:tcW w:type="dxa" w:w="3096"/>
            <w:vAlign w:val="top"/>
            <w:tcMar>
              <w:top w:w="80" w:type="dxa"/>
              <w:start w:w="90" w:type="dxa"/>
              <w:bottom w:w="80" w:type="dxa"/>
              <w:end w:w="90" w:type="dxa"/>
            </w:tcMar>
          </w:tcPr>
          <w:p>
            <w:pPr>
              <w:spacing w:before="0" w:after="40" w:line="245" w:lineRule="auto"/>
            </w:pPr>
            <w:r>
              <w:rPr>
                <w:rFonts w:ascii="Aptos" w:hAnsi="Aptos"/>
                <w:b w:val="0"/>
                <w:color w:val="24343D"/>
                <w:sz w:val="16"/>
              </w:rPr>
              <w:t>Energy/time mapping and Liouville invariant within preregistered tolerance.</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Future U-F21 and linked SWMF replay profile</w:t>
            </w:r>
          </w:p>
        </w:tc>
      </w:tr>
      <w:tr>
        <w:trPr>
          <w:cantSplit/>
          <w:trHeight w:hRule="atLeast"/>
        </w:trPr>
        <w:tc>
          <w:tcPr>
            <w:tcW w:type="dxa" w:w="13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I-F10</w:t>
              <w:br/>
              <w:t>Partial</w:t>
            </w:r>
          </w:p>
        </w:tc>
        <w:tc>
          <w:tcPr>
            <w:tcW w:type="dxa" w:w="208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Instrument response adapter</w:t>
            </w:r>
          </w:p>
        </w:tc>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Delta/top-hat analytic folds and frozen GOES/POES/PAMELA/REPT schemas</w:t>
            </w:r>
          </w:p>
        </w:tc>
        <w:tc>
          <w:tcPr>
            <w:tcW w:type="dxa" w:w="309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U-F09 exact folds; observation campaigns must also pass without missing comparisons.</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UBoundaryProducts + UStandaloneCampaign + C19</w:t>
            </w:r>
          </w:p>
        </w:tc>
      </w:tr>
    </w:tbl>
    <w:p>
      <w:pPr>
        <w:spacing w:after="0"/>
      </w:pPr>
    </w:p>
    <w:p>
      <w:pPr>
        <w:pStyle w:val="Heading2"/>
        <w:keepNext/>
      </w:pPr>
      <w:r>
        <w:t>D.7 Observation campaigns and independent comparisons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93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Campaign</w:t>
            </w:r>
          </w:p>
        </w:tc>
        <w:tc>
          <w:tcPr>
            <w:tcW w:type="dxa" w:w="151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Interval</w:t>
            </w:r>
          </w:p>
        </w:tc>
        <w:tc>
          <w:tcPr>
            <w:tcW w:type="dxa" w:w="280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Independent observations</w:t>
            </w:r>
          </w:p>
        </w:tc>
        <w:tc>
          <w:tcPr>
            <w:tcW w:type="dxa" w:w="316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Purpose</w:t>
            </w:r>
          </w:p>
        </w:tc>
        <w:tc>
          <w:tcPr>
            <w:tcW w:type="dxa" w:w="1512"/>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Execution status</w:t>
            </w:r>
          </w:p>
        </w:tc>
      </w:tr>
      <w:tr>
        <w:trPr>
          <w:cantSplit/>
          <w:trHeight w:hRule="atLeast"/>
        </w:trPr>
        <w:tc>
          <w:tcPr>
            <w:tcW w:type="dxa" w:w="936"/>
            <w:vAlign w:val="top"/>
            <w:tcMar>
              <w:top w:w="80" w:type="dxa"/>
              <w:start w:w="90" w:type="dxa"/>
              <w:bottom w:w="80" w:type="dxa"/>
              <w:end w:w="90" w:type="dxa"/>
            </w:tcMar>
          </w:tcPr>
          <w:p>
            <w:pPr>
              <w:spacing w:before="0" w:after="40" w:line="245" w:lineRule="auto"/>
            </w:pPr>
            <w:r>
              <w:rPr>
                <w:rFonts w:ascii="Aptos" w:hAnsi="Aptos"/>
                <w:b w:val="0"/>
                <w:color w:val="24343D"/>
                <w:sz w:val="16"/>
              </w:rPr>
              <w:t>O1</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December 2006</w:t>
            </w:r>
          </w:p>
        </w:tc>
        <w:tc>
          <w:tcPr>
            <w:tcW w:type="dxa" w:w="2808"/>
            <w:vAlign w:val="top"/>
            <w:tcMar>
              <w:top w:w="80" w:type="dxa"/>
              <w:start w:w="90" w:type="dxa"/>
              <w:bottom w:w="80" w:type="dxa"/>
              <w:end w:w="90" w:type="dxa"/>
            </w:tcMar>
          </w:tcPr>
          <w:p>
            <w:pPr>
              <w:spacing w:before="0" w:after="40" w:line="245" w:lineRule="auto"/>
            </w:pPr>
            <w:r>
              <w:rPr>
                <w:rFonts w:ascii="Aptos" w:hAnsi="Aptos"/>
                <w:b w:val="0"/>
                <w:color w:val="24343D"/>
                <w:sz w:val="16"/>
              </w:rPr>
              <w:t>PAMELA cutoff/flux, POES/MetOp and GOES</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6"/>
              </w:rPr>
              <w:t>Calibrate no platform scale; exercise quiet-to-disturbed access and multi-altitude consistency.</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C9/C10 plus planned F8–F10</w:t>
            </w:r>
          </w:p>
        </w:tc>
      </w:tr>
      <w:tr>
        <w:trPr>
          <w:cantSplit/>
          <w:trHeight w:hRule="atLeast"/>
        </w:trPr>
        <w:tc>
          <w:tcPr>
            <w:tcW w:type="dxa" w:w="93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O2</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17 May 2012</w:t>
            </w:r>
          </w:p>
        </w:tc>
        <w:tc>
          <w:tcPr>
            <w:tcW w:type="dxa" w:w="280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GOES-13 EPEAD east/west channels and response</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Directional asymmetry, response folding and event-time behavior.</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C19; implemented linked comparison</w:t>
            </w:r>
          </w:p>
        </w:tc>
      </w:tr>
      <w:tr>
        <w:trPr>
          <w:cantSplit/>
          <w:trHeight w:hRule="atLeast"/>
        </w:trPr>
        <w:tc>
          <w:tcPr>
            <w:tcW w:type="dxa" w:w="936"/>
            <w:vAlign w:val="top"/>
            <w:tcMar>
              <w:top w:w="80" w:type="dxa"/>
              <w:start w:w="90" w:type="dxa"/>
              <w:bottom w:w="80" w:type="dxa"/>
              <w:end w:w="90" w:type="dxa"/>
            </w:tcMar>
          </w:tcPr>
          <w:p>
            <w:pPr>
              <w:spacing w:before="0" w:after="40" w:line="245" w:lineRule="auto"/>
            </w:pPr>
            <w:r>
              <w:rPr>
                <w:rFonts w:ascii="Aptos" w:hAnsi="Aptos"/>
                <w:b w:val="0"/>
                <w:color w:val="24343D"/>
                <w:sz w:val="16"/>
              </w:rPr>
              <w:t>O3</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September 2017</w:t>
            </w:r>
          </w:p>
        </w:tc>
        <w:tc>
          <w:tcPr>
            <w:tcW w:type="dxa" w:w="2808"/>
            <w:vAlign w:val="top"/>
            <w:tcMar>
              <w:top w:w="80" w:type="dxa"/>
              <w:start w:w="90" w:type="dxa"/>
              <w:bottom w:w="80" w:type="dxa"/>
              <w:end w:w="90" w:type="dxa"/>
            </w:tcMar>
          </w:tcPr>
          <w:p>
            <w:pPr>
              <w:spacing w:before="0" w:after="40" w:line="245" w:lineRule="auto"/>
            </w:pPr>
            <w:r>
              <w:rPr>
                <w:rFonts w:ascii="Aptos" w:hAnsi="Aptos"/>
                <w:b w:val="0"/>
                <w:color w:val="24343D"/>
                <w:sz w:val="16"/>
              </w:rPr>
              <w:t>GOES-16 SGPS and Van Allen Probes REPT</w:t>
            </w:r>
          </w:p>
        </w:tc>
        <w:tc>
          <w:tcPr>
            <w:tcW w:type="dxa" w:w="3168"/>
            <w:vAlign w:val="top"/>
            <w:tcMar>
              <w:top w:w="80" w:type="dxa"/>
              <w:start w:w="90" w:type="dxa"/>
              <w:bottom w:w="80" w:type="dxa"/>
              <w:end w:w="90" w:type="dxa"/>
            </w:tcMar>
          </w:tcPr>
          <w:p>
            <w:pPr>
              <w:spacing w:before="0" w:after="40" w:line="245" w:lineRule="auto"/>
            </w:pPr>
            <w:r>
              <w:rPr>
                <w:rFonts w:ascii="Aptos" w:hAnsi="Aptos"/>
                <w:b w:val="0"/>
                <w:color w:val="24343D"/>
                <w:sz w:val="16"/>
              </w:rPr>
              <w:t>Independent high-energy spectrum, radial/temporal structure and cross-instrument closure.</w:t>
            </w:r>
          </w:p>
        </w:tc>
        <w:tc>
          <w:tcPr>
            <w:tcW w:type="dxa" w:w="1512"/>
            <w:vAlign w:val="top"/>
            <w:tcMar>
              <w:top w:w="80" w:type="dxa"/>
              <w:start w:w="90" w:type="dxa"/>
              <w:bottom w:w="80" w:type="dxa"/>
              <w:end w:w="90" w:type="dxa"/>
            </w:tcMar>
          </w:tcPr>
          <w:p>
            <w:pPr>
              <w:spacing w:before="0" w:after="40" w:line="245" w:lineRule="auto"/>
            </w:pPr>
            <w:r>
              <w:rPr>
                <w:rFonts w:ascii="Aptos" w:hAnsi="Aptos"/>
                <w:b w:val="0"/>
                <w:color w:val="24343D"/>
                <w:sz w:val="16"/>
              </w:rPr>
              <w:t>Planned; adapter/schema tests implemented</w:t>
            </w:r>
          </w:p>
        </w:tc>
      </w:tr>
      <w:tr>
        <w:trPr>
          <w:cantSplit/>
          <w:trHeight w:hRule="atLeast"/>
        </w:trPr>
        <w:tc>
          <w:tcPr>
            <w:tcW w:type="dxa" w:w="93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O4</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Frozen holdout</w:t>
            </w:r>
          </w:p>
        </w:tc>
        <w:tc>
          <w:tcPr>
            <w:tcW w:type="dxa" w:w="280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One event selected and hashed before final tuning</w:t>
            </w:r>
          </w:p>
        </w:tc>
        <w:tc>
          <w:tcPr>
            <w:tcW w:type="dxa" w:w="31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No parameter retuning; all preregistered gates apply exactly.</w:t>
            </w:r>
          </w:p>
        </w:tc>
        <w:tc>
          <w:tcPr>
            <w:tcW w:type="dxa" w:w="1512"/>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6"/>
              </w:rPr>
              <w:t>Planned release gate</w:t>
            </w:r>
          </w:p>
        </w:tc>
      </w:tr>
    </w:tbl>
    <w:p>
      <w:pPr>
        <w:spacing w:after="0"/>
      </w:pPr>
    </w:p>
    <w:p>
      <w:pPr>
        <w:keepNext/>
        <w:spacing w:after="100" w:line="252" w:lineRule="auto"/>
      </w:pPr>
      <w:r>
        <w:t>Global observation release gates</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Metric</w:t>
            </w:r>
          </w:p>
        </w:tc>
        <w:tc>
          <w:tcPr>
            <w:tcW w:type="dxa" w:w="352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Required gate</w:t>
            </w:r>
          </w:p>
        </w:tc>
        <w:tc>
          <w:tcPr>
            <w:tcW w:type="dxa" w:w="374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Interpretation</w:t>
            </w:r>
          </w:p>
        </w:tc>
      </w:tr>
      <w:tr>
        <w:trPr>
          <w:cantSplit/>
          <w:trHeight w:hRule="atLeast"/>
        </w:trPr>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7"/>
              </w:rPr>
              <w:t>Amplitude</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median |log10(model/observation)| ≤ 0.30</w:t>
            </w:r>
          </w:p>
        </w:tc>
        <w:tc>
          <w:tcPr>
            <w:tcW w:type="dxa" w:w="3744"/>
            <w:vAlign w:val="top"/>
            <w:tcMar>
              <w:top w:w="80" w:type="dxa"/>
              <w:start w:w="90" w:type="dxa"/>
              <w:bottom w:w="80" w:type="dxa"/>
              <w:end w:w="90" w:type="dxa"/>
            </w:tcMar>
          </w:tcPr>
          <w:p>
            <w:pPr>
              <w:spacing w:before="0" w:after="40" w:line="245" w:lineRule="auto"/>
            </w:pPr>
            <w:r>
              <w:rPr>
                <w:rFonts w:ascii="Aptos" w:hAnsi="Aptos"/>
                <w:b w:val="0"/>
                <w:color w:val="24343D"/>
                <w:sz w:val="17"/>
              </w:rPr>
              <w:t>Median prediction within a factor of two.</w:t>
            </w:r>
          </w:p>
        </w:tc>
      </w:tr>
      <w:tr>
        <w:trPr>
          <w:cantSplit/>
          <w:trHeight w:hRule="atLeast"/>
        </w:trPr>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Spectral slope</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absolute slope difference ≤ 0.5</w:t>
            </w:r>
          </w:p>
        </w:tc>
        <w:tc>
          <w:tcPr>
            <w:tcW w:type="dxa" w:w="37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Applied on the preregistered common energy interval.</w:t>
            </w:r>
          </w:p>
        </w:tc>
      </w:tr>
      <w:tr>
        <w:trPr>
          <w:cantSplit/>
          <w:trHeight w:hRule="atLeast"/>
        </w:trPr>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7"/>
              </w:rPr>
              <w:t>Bin coverage</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 70% of all bins within factor two; each instrument ≥ 60%</w:t>
            </w:r>
          </w:p>
        </w:tc>
        <w:tc>
          <w:tcPr>
            <w:tcW w:type="dxa" w:w="3744"/>
            <w:vAlign w:val="top"/>
            <w:tcMar>
              <w:top w:w="80" w:type="dxa"/>
              <w:start w:w="90" w:type="dxa"/>
              <w:bottom w:w="80" w:type="dxa"/>
              <w:end w:w="90" w:type="dxa"/>
            </w:tcMar>
          </w:tcPr>
          <w:p>
            <w:pPr>
              <w:spacing w:before="0" w:after="40" w:line="245" w:lineRule="auto"/>
            </w:pPr>
            <w:r>
              <w:rPr>
                <w:rFonts w:ascii="Aptos" w:hAnsi="Aptos"/>
                <w:b w:val="0"/>
                <w:color w:val="24343D"/>
                <w:sz w:val="17"/>
              </w:rPr>
              <w:t>Prevents a strong platform from hiding a failed platform.</w:t>
            </w:r>
          </w:p>
        </w:tc>
      </w:tr>
      <w:tr>
        <w:trPr>
          <w:cantSplit/>
          <w:trHeight w:hRule="atLeast"/>
        </w:trPr>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Uncertainty coverage</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80–98% of observations inside reported 90% interval</w:t>
            </w:r>
          </w:p>
        </w:tc>
        <w:tc>
          <w:tcPr>
            <w:tcW w:type="dxa" w:w="37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Both under- and over-dispersed uncertainty fail.</w:t>
            </w:r>
          </w:p>
        </w:tc>
      </w:tr>
      <w:tr>
        <w:trPr>
          <w:cantSplit/>
          <w:trHeight w:hRule="atLeast"/>
        </w:trPr>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7"/>
              </w:rPr>
              <w:t>LEO boundary</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MAE ≤ 2° and |bias| ≤ 1°</w:t>
            </w:r>
          </w:p>
        </w:tc>
        <w:tc>
          <w:tcPr>
            <w:tcW w:type="dxa" w:w="3744"/>
            <w:vAlign w:val="top"/>
            <w:tcMar>
              <w:top w:w="80" w:type="dxa"/>
              <w:start w:w="90" w:type="dxa"/>
              <w:bottom w:w="80" w:type="dxa"/>
              <w:end w:w="90" w:type="dxa"/>
            </w:tcMar>
          </w:tcPr>
          <w:p>
            <w:pPr>
              <w:spacing w:before="0" w:after="40" w:line="245" w:lineRule="auto"/>
            </w:pPr>
            <w:r>
              <w:rPr>
                <w:rFonts w:ascii="Aptos" w:hAnsi="Aptos"/>
                <w:b w:val="0"/>
                <w:color w:val="24343D"/>
                <w:sz w:val="17"/>
              </w:rPr>
              <w:t>Future observation release gate; C9/C10 current 3°/2° gates also remain required.</w:t>
            </w:r>
          </w:p>
        </w:tc>
      </w:tr>
      <w:tr>
        <w:trPr>
          <w:cantSplit/>
          <w:trHeight w:hRule="atLeast"/>
        </w:trPr>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Inner-magnetosphere radial structure</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median |ΔL| ≤ 0.3</w:t>
            </w:r>
          </w:p>
        </w:tc>
        <w:tc>
          <w:tcPr>
            <w:tcW w:type="dxa" w:w="37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For intervals with independent L-resolved data.</w:t>
            </w:r>
          </w:p>
        </w:tc>
      </w:tr>
      <w:tr>
        <w:trPr>
          <w:cantSplit/>
          <w:trHeight w:hRule="atLeast"/>
        </w:trPr>
        <w:tc>
          <w:tcPr>
            <w:tcW w:type="dxa" w:w="2376"/>
            <w:vAlign w:val="top"/>
            <w:tcMar>
              <w:top w:w="80" w:type="dxa"/>
              <w:start w:w="90" w:type="dxa"/>
              <w:bottom w:w="80" w:type="dxa"/>
              <w:end w:w="90" w:type="dxa"/>
            </w:tcMar>
          </w:tcPr>
          <w:p>
            <w:pPr>
              <w:spacing w:before="0" w:after="40" w:line="245" w:lineRule="auto"/>
            </w:pPr>
            <w:r>
              <w:rPr>
                <w:rFonts w:ascii="Aptos" w:hAnsi="Aptos"/>
                <w:b w:val="0"/>
                <w:color w:val="24343D"/>
                <w:sz w:val="17"/>
              </w:rPr>
              <w:t>Timing</w:t>
            </w:r>
          </w:p>
        </w:tc>
        <w:tc>
          <w:tcPr>
            <w:tcW w:type="dxa" w:w="3528"/>
            <w:vAlign w:val="top"/>
            <w:tcMar>
              <w:top w:w="80" w:type="dxa"/>
              <w:start w:w="90" w:type="dxa"/>
              <w:bottom w:w="80" w:type="dxa"/>
              <w:end w:w="90" w:type="dxa"/>
            </w:tcMar>
          </w:tcPr>
          <w:p>
            <w:pPr>
              <w:spacing w:before="0" w:after="40" w:line="245" w:lineRule="auto"/>
            </w:pPr>
            <w:r>
              <w:rPr>
                <w:rFonts w:ascii="Aptos" w:hAnsi="Aptos"/>
                <w:b w:val="0"/>
                <w:color w:val="24343D"/>
                <w:sz w:val="17"/>
              </w:rPr>
              <w:t>error ≤ one cadence or 10 min, whichever is larger</w:t>
            </w:r>
          </w:p>
        </w:tc>
        <w:tc>
          <w:tcPr>
            <w:tcW w:type="dxa" w:w="3744"/>
            <w:vAlign w:val="top"/>
            <w:tcMar>
              <w:top w:w="80" w:type="dxa"/>
              <w:start w:w="90" w:type="dxa"/>
              <w:bottom w:w="80" w:type="dxa"/>
              <w:end w:w="90" w:type="dxa"/>
            </w:tcMar>
          </w:tcPr>
          <w:p>
            <w:pPr>
              <w:spacing w:before="0" w:after="40" w:line="245" w:lineRule="auto"/>
            </w:pPr>
            <w:r>
              <w:rPr>
                <w:rFonts w:ascii="Aptos" w:hAnsi="Aptos"/>
                <w:b w:val="0"/>
                <w:color w:val="24343D"/>
                <w:sz w:val="17"/>
              </w:rPr>
              <w:t>Uses frozen time alignment; no post-hoc shifting.</w:t>
            </w:r>
          </w:p>
        </w:tc>
      </w:tr>
      <w:tr>
        <w:trPr>
          <w:cantSplit/>
          <w:trHeight w:hRule="atLeast"/>
        </w:trPr>
        <w:tc>
          <w:tcPr>
            <w:tcW w:type="dxa" w:w="2376"/>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Directional ratio</w:t>
            </w:r>
          </w:p>
        </w:tc>
        <w:tc>
          <w:tcPr>
            <w:tcW w:type="dxa" w:w="352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log-ratio RMSE ≤ 0.30 and sign agreement ≥ 80%</w:t>
            </w:r>
          </w:p>
        </w:tc>
        <w:tc>
          <w:tcPr>
            <w:tcW w:type="dxa" w:w="37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No undocumented platform normalization.</w:t>
            </w:r>
          </w:p>
        </w:tc>
      </w:tr>
    </w:tbl>
    <w:p>
      <w:pPr>
        <w:spacing w:after="0"/>
      </w:pPr>
    </w:p>
    <w:p>
      <w:pPr>
        <w:pStyle w:val="Heading2"/>
        <w:keepNext/>
      </w:pPr>
      <w:r>
        <w:t>D.8 Evidence, failure interpretation and non-relaxation rule</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Evidence item</w:t>
            </w:r>
          </w:p>
        </w:tc>
        <w:tc>
          <w:tcPr>
            <w:tcW w:type="dxa" w:w="4968"/>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Required content</w:t>
            </w:r>
          </w:p>
        </w:tc>
        <w:tc>
          <w:tcPr>
            <w:tcW w:type="dxa" w:w="3024"/>
            <w:vAlign w:val="center"/>
            <w:shd w:fill="17394D" w:val="clear"/>
            <w:tcMar>
              <w:top w:w="95" w:type="dxa"/>
              <w:start w:w="90" w:type="dxa"/>
              <w:bottom w:w="95" w:type="dxa"/>
              <w:end w:w="90" w:type="dxa"/>
            </w:tcMar>
          </w:tcPr>
          <w:p>
            <w:pPr>
              <w:spacing w:before="0" w:after="40" w:line="245" w:lineRule="auto"/>
            </w:pPr>
            <w:r>
              <w:rPr>
                <w:rFonts w:ascii="Aptos" w:hAnsi="Aptos"/>
                <w:b/>
                <w:color w:val="FFFFFF"/>
                <w:sz w:val="17"/>
              </w:rPr>
              <w:t>Failure condition</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Run identity</w:t>
            </w:r>
          </w:p>
        </w:tc>
        <w:tc>
          <w:tcPr>
            <w:tcW w:type="dxa" w:w="4968"/>
            <w:vAlign w:val="top"/>
            <w:tcMar>
              <w:top w:w="80" w:type="dxa"/>
              <w:start w:w="90" w:type="dxa"/>
              <w:bottom w:w="80" w:type="dxa"/>
              <w:end w:w="90" w:type="dxa"/>
            </w:tcMar>
          </w:tcPr>
          <w:p>
            <w:pPr>
              <w:spacing w:before="0" w:after="40" w:line="245" w:lineRule="auto"/>
            </w:pPr>
            <w:r>
              <w:rPr>
                <w:rFonts w:ascii="Aptos" w:hAnsi="Aptos"/>
                <w:b w:val="0"/>
                <w:color w:val="24343D"/>
                <w:sz w:val="17"/>
              </w:rPr>
              <w:t>Git SHA, dirty-state marker, compiler/build options, executable hash and UTC interval</w:t>
            </w:r>
          </w:p>
        </w:tc>
        <w:tc>
          <w:tcPr>
            <w:tcW w:type="dxa" w:w="3024"/>
            <w:vAlign w:val="top"/>
            <w:tcMar>
              <w:top w:w="80" w:type="dxa"/>
              <w:start w:w="90" w:type="dxa"/>
              <w:bottom w:w="80" w:type="dxa"/>
              <w:end w:w="90" w:type="dxa"/>
            </w:tcMar>
          </w:tcPr>
          <w:p>
            <w:pPr>
              <w:spacing w:before="0" w:after="40" w:line="245" w:lineRule="auto"/>
            </w:pPr>
            <w:r>
              <w:rPr>
                <w:rFonts w:ascii="Aptos" w:hAnsi="Aptos"/>
                <w:b w:val="0"/>
                <w:color w:val="24343D"/>
                <w:sz w:val="17"/>
              </w:rPr>
              <w:t>Any missing identity field or stale executable.</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Inputs</w:t>
            </w:r>
          </w:p>
        </w:tc>
        <w:tc>
          <w:tcPr>
            <w:tcW w:type="dxa" w:w="49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Configuration, field/snapshot ID, driver/spectrum/response/reference hashes and declared units</w:t>
            </w:r>
          </w:p>
        </w:tc>
        <w:tc>
          <w:tcPr>
            <w:tcW w:type="dxa" w:w="30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Unhashed input, ambiguous unit or mismatched epoch.</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Resources</w:t>
            </w:r>
          </w:p>
        </w:tc>
        <w:tc>
          <w:tcPr>
            <w:tcW w:type="dxa" w:w="4968"/>
            <w:vAlign w:val="top"/>
            <w:tcMar>
              <w:top w:w="80" w:type="dxa"/>
              <w:start w:w="90" w:type="dxa"/>
              <w:bottom w:w="80" w:type="dxa"/>
              <w:end w:w="90" w:type="dxa"/>
            </w:tcMar>
          </w:tcPr>
          <w:p>
            <w:pPr>
              <w:spacing w:before="0" w:after="40" w:line="245" w:lineRule="auto"/>
            </w:pPr>
            <w:r>
              <w:rPr>
                <w:rFonts w:ascii="Aptos" w:hAnsi="Aptos"/>
                <w:b w:val="0"/>
                <w:color w:val="24343D"/>
                <w:sz w:val="17"/>
              </w:rPr>
              <w:t>MPI ranks, threads, host allocation, exclusivity state and deterministic seed/order</w:t>
            </w:r>
          </w:p>
        </w:tc>
        <w:tc>
          <w:tcPr>
            <w:tcW w:type="dxa" w:w="3024"/>
            <w:vAlign w:val="top"/>
            <w:tcMar>
              <w:top w:w="80" w:type="dxa"/>
              <w:start w:w="90" w:type="dxa"/>
              <w:bottom w:w="80" w:type="dxa"/>
              <w:end w:w="90" w:type="dxa"/>
            </w:tcMar>
          </w:tcPr>
          <w:p>
            <w:pPr>
              <w:spacing w:before="0" w:after="40" w:line="245" w:lineRule="auto"/>
            </w:pPr>
            <w:r>
              <w:rPr>
                <w:rFonts w:ascii="Aptos" w:hAnsi="Aptos"/>
                <w:b w:val="0"/>
                <w:color w:val="24343D"/>
                <w:sz w:val="17"/>
              </w:rPr>
              <w:t>Oversubscription, undocumented layout or nondeterministic discrete state.</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Numerical comparison</w:t>
            </w:r>
          </w:p>
        </w:tc>
        <w:tc>
          <w:tcPr>
            <w:tcW w:type="dxa" w:w="49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Per-case reference, computed value, error metric, threshold and pass flag</w:t>
            </w:r>
          </w:p>
        </w:tc>
        <w:tc>
          <w:tcPr>
            <w:tcW w:type="dxa" w:w="30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Empty comparison table, zero matched rows, NaN metric, or metric outside gate.</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Access accounting</w:t>
            </w:r>
          </w:p>
        </w:tc>
        <w:tc>
          <w:tcPr>
            <w:tcW w:type="dxa" w:w="4968"/>
            <w:vAlign w:val="top"/>
            <w:tcMar>
              <w:top w:w="80" w:type="dxa"/>
              <w:start w:w="90" w:type="dxa"/>
              <w:bottom w:w="80" w:type="dxa"/>
              <w:end w:w="90" w:type="dxa"/>
            </w:tcMar>
          </w:tcPr>
          <w:p>
            <w:pPr>
              <w:spacing w:before="0" w:after="40" w:line="245" w:lineRule="auto"/>
            </w:pPr>
            <w:r>
              <w:rPr>
                <w:rFonts w:ascii="Aptos" w:hAnsi="Aptos"/>
                <w:b w:val="0"/>
                <w:color w:val="24343D"/>
                <w:sz w:val="17"/>
              </w:rPr>
              <w:t>Allowed, forbidden, trapped, unresolved and invalid counts/fractions with closure</w:t>
            </w:r>
          </w:p>
        </w:tc>
        <w:tc>
          <w:tcPr>
            <w:tcW w:type="dxa" w:w="3024"/>
            <w:vAlign w:val="top"/>
            <w:tcMar>
              <w:top w:w="80" w:type="dxa"/>
              <w:start w:w="90" w:type="dxa"/>
              <w:bottom w:w="80" w:type="dxa"/>
              <w:end w:w="90" w:type="dxa"/>
            </w:tcMar>
          </w:tcPr>
          <w:p>
            <w:pPr>
              <w:spacing w:before="0" w:after="40" w:line="245" w:lineRule="auto"/>
            </w:pPr>
            <w:r>
              <w:rPr>
                <w:rFonts w:ascii="Aptos" w:hAnsi="Aptos"/>
                <w:b w:val="0"/>
                <w:color w:val="24343D"/>
                <w:sz w:val="17"/>
              </w:rPr>
              <w:t>Counts do not close or unresolved exceeds the stated limit.</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Products</w:t>
            </w:r>
          </w:p>
        </w:tc>
        <w:tc>
          <w:tcPr>
            <w:tcW w:type="dxa" w:w="49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Cutoff, directional access, local spectrum, density, flux/channels and lower/upper bounds as applicable</w:t>
            </w:r>
          </w:p>
        </w:tc>
        <w:tc>
          <w:tcPr>
            <w:tcW w:type="dxa" w:w="30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Missing mandatory product, inconsistent units, or unordered uncertainty bounds.</w:t>
            </w:r>
          </w:p>
        </w:tc>
      </w:tr>
      <w:tr>
        <w:trPr>
          <w:cantSplit/>
          <w:trHeight w:hRule="atLeast"/>
        </w:trPr>
        <w:tc>
          <w:tcPr>
            <w:tcW w:type="dxa" w:w="1944"/>
            <w:vAlign w:val="top"/>
            <w:tcMar>
              <w:top w:w="80" w:type="dxa"/>
              <w:start w:w="90" w:type="dxa"/>
              <w:bottom w:w="80" w:type="dxa"/>
              <w:end w:w="90" w:type="dxa"/>
            </w:tcMar>
          </w:tcPr>
          <w:p>
            <w:pPr>
              <w:spacing w:before="0" w:after="40" w:line="245" w:lineRule="auto"/>
            </w:pPr>
            <w:r>
              <w:rPr>
                <w:rFonts w:ascii="Aptos" w:hAnsi="Aptos"/>
                <w:b w:val="0"/>
                <w:color w:val="24343D"/>
                <w:sz w:val="17"/>
              </w:rPr>
              <w:t>Observation provenance</w:t>
            </w:r>
          </w:p>
        </w:tc>
        <w:tc>
          <w:tcPr>
            <w:tcW w:type="dxa" w:w="4968"/>
            <w:vAlign w:val="top"/>
            <w:tcMar>
              <w:top w:w="80" w:type="dxa"/>
              <w:start w:w="90" w:type="dxa"/>
              <w:bottom w:w="80" w:type="dxa"/>
              <w:end w:w="90" w:type="dxa"/>
            </w:tcMar>
          </w:tcPr>
          <w:p>
            <w:pPr>
              <w:spacing w:before="0" w:after="40" w:line="245" w:lineRule="auto"/>
            </w:pPr>
            <w:r>
              <w:rPr>
                <w:rFonts w:ascii="Aptos" w:hAnsi="Aptos"/>
                <w:b w:val="0"/>
                <w:color w:val="24343D"/>
                <w:sz w:val="17"/>
              </w:rPr>
              <w:t>Dataset/version/DOI or frozen file hash, selection mask, cadence and response version</w:t>
            </w:r>
          </w:p>
        </w:tc>
        <w:tc>
          <w:tcPr>
            <w:tcW w:type="dxa" w:w="3024"/>
            <w:vAlign w:val="top"/>
            <w:tcMar>
              <w:top w:w="80" w:type="dxa"/>
              <w:start w:w="90" w:type="dxa"/>
              <w:bottom w:w="80" w:type="dxa"/>
              <w:end w:w="90" w:type="dxa"/>
            </w:tcMar>
          </w:tcPr>
          <w:p>
            <w:pPr>
              <w:spacing w:before="0" w:after="40" w:line="245" w:lineRule="auto"/>
            </w:pPr>
            <w:r>
              <w:rPr>
                <w:rFonts w:ascii="Aptos" w:hAnsi="Aptos"/>
                <w:b w:val="0"/>
                <w:color w:val="24343D"/>
                <w:sz w:val="17"/>
              </w:rPr>
              <w:t>Reference cannot be reproduced or comparison silently omitted.</w:t>
            </w:r>
          </w:p>
        </w:tc>
      </w:tr>
      <w:tr>
        <w:trPr>
          <w:cantSplit/>
          <w:trHeight w:hRule="atLeast"/>
        </w:trPr>
        <w:tc>
          <w:tcPr>
            <w:tcW w:type="dxa" w:w="194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Runner result</w:t>
            </w:r>
          </w:p>
        </w:tc>
        <w:tc>
          <w:tcPr>
            <w:tcW w:type="dxa" w:w="4968"/>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Exit status, test-list expected/actual status, log path and deferred-last-pass result when used</w:t>
            </w:r>
          </w:p>
        </w:tc>
        <w:tc>
          <w:tcPr>
            <w:tcW w:type="dxa" w:w="3024"/>
            <w:vAlign w:val="top"/>
            <w:tcMar>
              <w:top w:w="80" w:type="dxa"/>
              <w:start w:w="90" w:type="dxa"/>
              <w:bottom w:w="80" w:type="dxa"/>
              <w:end w:w="90" w:type="dxa"/>
            </w:tcMar>
            <w:shd w:fill="F6F8F9" w:val="clear"/>
          </w:tcPr>
          <w:p>
            <w:pPr>
              <w:spacing w:before="0" w:after="40" w:line="245" w:lineRule="auto"/>
            </w:pPr>
            <w:r>
              <w:rPr>
                <w:rFonts w:ascii="Aptos" w:hAnsi="Aptos"/>
                <w:b w:val="0"/>
                <w:color w:val="24343D"/>
                <w:sz w:val="17"/>
              </w:rPr>
              <w:t>Expected P reports F, or a P is claimed from a cached result for another SHA/list entry.</w:t>
            </w:r>
          </w:p>
        </w:tc>
      </w:tr>
    </w:tbl>
    <w:p>
      <w:pPr>
        <w:spacing w:after="0"/>
      </w:pPr>
    </w:p>
    <w:p>
      <w:pPr>
        <w:keepNext w:val="0"/>
        <w:spacing w:after="100" w:line="252" w:lineRule="auto"/>
      </w:pPr>
      <w:r>
        <w:t>Non-relaxation rule. A failed gate triggers investigation of production code, inputs, reference provenance, initialization, concurrency, or the test implementation. The acceptance value and comparison population remain unchanged unless a separately reviewed scientific requirement change is approved before examining the affected result. Missing comparisons, skipped rows, excessive unresolved fractions, or silently substituted synthetic observations can never be converted into a pass.</w:t>
      </w:r>
    </w:p>
    <w:p>
      <w:pPr>
        <w:keepNext w:val="0"/>
        <w:spacing w:after="100" w:line="252" w:lineRule="auto"/>
      </w:pPr>
      <w:r>
        <w:t>Completion criterion. The program exits with working standalone and SWMF-coupled code only when all implemented dependency-free suites pass, every registered expected-P linked test produces its actual comparison and passes its unchanged gate, planned capabilities have executable tests with frozen oracles, and the observation campaigns—including the untouched O4 holdout—satisfy their preregistered metrics with complete provenance.</w:t>
      </w:r>
    </w:p>
    <w:sectPr w:rsidR="00FC693F" w:rsidRPr="0006063C" w:rsidSect="00034616">
      <w:headerReference w:type="default" r:id="rId9"/>
      <w:footerReference w:type="default" r:id="rId10"/>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973"/>
        <w:sz w:val="15"/>
      </w:rPr>
      <w:t>SEP-in-Geospace  |  Flux and energy-spectrum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F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54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D6F8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5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35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1D6F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Aptos" w:hAnsi="Aptos"/>
      <w:color w:val="5B6973"/>
      <w:sz w:val="16"/>
    </w:rPr>
  </w:style>
  <w:style w:type="paragraph" w:customStyle="1" w:styleId="EquationPlain">
    <w:name w:val="Equation Plain"/>
    <w:pPr>
      <w:spacing w:before="40" w:after="100"/>
      <w:ind w:left="360"/>
    </w:pPr>
    <w:rPr>
      <w:rFonts w:ascii="Cambria Math" w:hAnsi="Cambria Math"/>
      <w:color w:val="1F2D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29/2021JA029107" TargetMode="External"/><Relationship Id="rId12" Type="http://schemas.openxmlformats.org/officeDocument/2006/relationships/hyperlink" Target="https://arxiv.org/abs/1602.05509" TargetMode="External"/><Relationship Id="rId13" Type="http://schemas.openxmlformats.org/officeDocument/2006/relationships/hyperlink" Target="https://arxiv.org/abs/1708.05641" TargetMode="External"/><Relationship Id="rId14" Type="http://schemas.openxmlformats.org/officeDocument/2006/relationships/hyperlink" Target="https://doi.org/10.1029/2010GL042531" TargetMode="External"/><Relationship Id="rId15" Type="http://schemas.openxmlformats.org/officeDocument/2006/relationships/hyperlink" Target="https://www.ncei.noaa.gov/products/poes-metop-space-environment-monitor" TargetMode="External"/><Relationship Id="rId16" Type="http://schemas.openxmlformats.org/officeDocument/2006/relationships/hyperlink" Target="https://omniweb.gsfc.nasa.gov/" TargetMode="External"/><Relationship Id="rId17" Type="http://schemas.openxmlformats.org/officeDocument/2006/relationships/hyperlink" Target="https://doi.org/10.1016/j.asr.2013.08.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SEP-in-Geospace Flux &amp; Energy-Spectrum Development and Validation Program</dc:title>
  <dc:subject>Roadmap and complete cutoff/flux/spectrum test specifications</dc:subject>
  <dc:creator>OpenAI</dc:creator>
  <cp:keywords>SEP, geomagnetic cutoff, particle flux, energy spectrum, magnetosphere, validation</cp:keywords>
  <dc:description>Updated through Step 9; includes implemented, linked, planned and observation validation contracts.</dc:description>
  <cp:lastModifiedBy/>
  <cp:revision>1</cp:revision>
  <dcterms:created xsi:type="dcterms:W3CDTF">2013-12-23T23:15:00Z</dcterms:created>
  <dcterms:modified xsi:type="dcterms:W3CDTF">2013-12-23T23:15:00Z</dcterms:modified>
  <cp:category/>
</cp:coreProperties>
</file>