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0"/>
        <w:jc w:val="left"/>
      </w:pPr>
      <w:r>
        <w:t>SWCME Observational and Cross Model Validation Plan</w:t>
      </w:r>
    </w:p>
    <w:p>
      <w:pPr>
        <w:pStyle w:val="Subtitle"/>
        <w:spacing w:before="280"/>
        <w:jc w:val="left"/>
      </w:pPr>
      <w:r>
        <w:t>A staged campaign for background solar wind CME shock connectivity and coupled SEP transport</w:t>
      </w:r>
    </w:p>
    <w:p>
      <w:pPr>
        <w:spacing w:before="800"/>
      </w:pPr>
      <w:r>
        <w:rPr>
          <w:b/>
          <w:sz w:val="22"/>
        </w:rPr>
        <w:t>Purpose</w:t>
      </w:r>
      <w:r>
        <w:br/>
        <w:t>Define auditable comparisons of SWCME and SWCME plus AMPS output with observations and independent models, and state exactly what each comparison can and cannot validate.</w:t>
      </w:r>
    </w:p>
    <w:p>
      <w:pPr>
        <w:spacing w:before="440"/>
      </w:pPr>
      <w:r>
        <w:rPr>
          <w:b/>
        </w:rPr>
        <w:t xml:space="preserve">Prepared for </w:t>
      </w:r>
      <w:r>
        <w:t>SWCME model development and release validation</w:t>
      </w:r>
      <w:r>
        <w:rPr>
          <w:b/>
        </w:rPr>
        <w:br/>
        <w:t xml:space="preserve">Version </w:t>
      </w:r>
      <w:r>
        <w:t>1.0</w:t>
      </w:r>
      <w:r>
        <w:rPr>
          <w:b/>
        </w:rPr>
        <w:br/>
        <w:t xml:space="preserve">Date </w:t>
      </w:r>
      <w:r>
        <w:t>2026-09-12</w:t>
      </w:r>
      <w:r>
        <w:rPr>
          <w:b/>
        </w:rPr>
        <w:br/>
        <w:t xml:space="preserve">Status </w:t>
      </w:r>
      <w:r>
        <w:t>Proposed validation protocol</w:t>
      </w:r>
    </w:p>
    <w:p>
      <w:r>
        <w:br w:type="page"/>
      </w:r>
    </w:p>
    <w:p>
      <w:pPr>
        <w:pStyle w:val="Heading1"/>
        <w:keepNext/>
      </w:pPr>
      <w:r>
        <w:t>Executive summary</w:t>
      </w:r>
    </w:p>
    <w:p>
      <w:r>
        <w:t>The validation campaign should proceed from quantities owned by SWCME to quantities produced only by the coupled SWCME plus AMPS system. The governing rule is that downstream agreement cannot repair an upstream failure. A particle-flux match obtained with a biased density, incorrect shock timing, or altered source record is a compensated result rather than validated physics.</w:t>
      </w:r>
    </w:p>
    <w:p>
      <w:r>
        <w:t>Sixteen validation tests are defined. VP01-VP03 validate the background solar wind and Parker field. VP04-VP05 validate apex propagation and arrival. VP06-VP07 validate the local shock jump and normal. VP08-VP09 validate global geometry and reduced CME regions. VP10-VP11 validate magnetic mapping and connectivity histories. VP12-VP15 validate the SWCME-to-AMPS source handoff and coupled SEP transport. VP16 evaluates held-out multi-event skill.</w:t>
      </w:r>
    </w:p>
    <w:p>
      <w:r>
        <w:t>Each test separates model-to-observation skill, model-to-model spread, numerical convergence, and data uncertainty. Thresholds in this plan are proposed starting values aligned with the implemented V1-V6 campaign gates; they must be frozen before the held-out campaign and revised only through a documented protocol change.</w:t>
      </w:r>
    </w:p>
    <w:p>
      <w:pPr>
        <w:pStyle w:val="Heading2"/>
        <w:keepNext/>
      </w:pPr>
      <w:r>
        <w:t>Validation ladder and dependencies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rPr>
          <w:tblHeader w:val="true"/>
          <w:cantSplit/>
        </w:trPr>
        <w:tc>
          <w:tcPr>
            <w:tcW w:type="dxa" w:w="1224"/>
            <w:shd w:fill="17365D"/>
            <w:tcMar>
              <w:top w:w="100" w:type="dxa"/>
              <w:start w:w="120" w:type="dxa"/>
              <w:bottom w:w="100" w:type="dxa"/>
              <w:end w:w="120" w:type="dxa"/>
            </w:tcMar>
            <w:vAlign w:val="center"/>
          </w:tcPr>
          <w:p>
            <w:pPr>
              <w:spacing w:after="20" w:line="252" w:lineRule="auto"/>
            </w:pPr>
            <w:r>
              <w:rPr>
                <w:b/>
                <w:color w:val="FFFFFF"/>
                <w:sz w:val="18"/>
              </w:rPr>
              <w:t>Layer</w:t>
            </w:r>
          </w:p>
        </w:tc>
        <w:tc>
          <w:tcPr>
            <w:tcW w:type="dxa" w:w="1512"/>
            <w:shd w:fill="17365D"/>
            <w:tcMar>
              <w:top w:w="100" w:type="dxa"/>
              <w:start w:w="120" w:type="dxa"/>
              <w:bottom w:w="100" w:type="dxa"/>
              <w:end w:w="120" w:type="dxa"/>
            </w:tcMar>
            <w:vAlign w:val="center"/>
          </w:tcPr>
          <w:p>
            <w:pPr>
              <w:spacing w:after="20" w:line="252" w:lineRule="auto"/>
            </w:pPr>
            <w:r>
              <w:rPr>
                <w:b/>
                <w:color w:val="FFFFFF"/>
                <w:sz w:val="18"/>
              </w:rPr>
              <w:t>Tests</w:t>
            </w:r>
          </w:p>
        </w:tc>
        <w:tc>
          <w:tcPr>
            <w:tcW w:type="dxa" w:w="3600"/>
            <w:shd w:fill="17365D"/>
            <w:tcMar>
              <w:top w:w="100" w:type="dxa"/>
              <w:start w:w="120" w:type="dxa"/>
              <w:bottom w:w="100" w:type="dxa"/>
              <w:end w:w="120" w:type="dxa"/>
            </w:tcMar>
            <w:vAlign w:val="center"/>
          </w:tcPr>
          <w:p>
            <w:pPr>
              <w:spacing w:after="20" w:line="252" w:lineRule="auto"/>
            </w:pPr>
            <w:r>
              <w:rPr>
                <w:b/>
                <w:color w:val="FFFFFF"/>
                <w:sz w:val="18"/>
              </w:rPr>
              <w:t>Question answered</w:t>
            </w:r>
          </w:p>
        </w:tc>
        <w:tc>
          <w:tcPr>
            <w:tcW w:type="dxa" w:w="3816"/>
            <w:shd w:fill="17365D"/>
            <w:tcMar>
              <w:top w:w="100" w:type="dxa"/>
              <w:start w:w="120" w:type="dxa"/>
              <w:bottom w:w="100" w:type="dxa"/>
              <w:end w:w="120" w:type="dxa"/>
            </w:tcMar>
            <w:vAlign w:val="center"/>
          </w:tcPr>
          <w:p>
            <w:pPr>
              <w:spacing w:after="20" w:line="252" w:lineRule="auto"/>
            </w:pPr>
            <w:r>
              <w:rPr>
                <w:b/>
                <w:color w:val="FFFFFF"/>
                <w:sz w:val="18"/>
              </w:rPr>
              <w:t>Blocking rule</w:t>
            </w:r>
          </w:p>
        </w:tc>
      </w:tr>
      <w:tr>
        <w:trPr>
          <w:cantSplit/>
        </w:trPr>
        <w:tc>
          <w:tcPr>
            <w:tcW w:type="dxa" w:w="1224"/>
            <w:tcMar>
              <w:top w:w="100" w:type="dxa"/>
              <w:start w:w="120" w:type="dxa"/>
              <w:bottom w:w="100" w:type="dxa"/>
              <w:end w:w="120" w:type="dxa"/>
            </w:tcMar>
            <w:vAlign w:val="center"/>
          </w:tcPr>
          <w:p>
            <w:pPr>
              <w:spacing w:after="20" w:line="252" w:lineRule="auto"/>
            </w:pPr>
            <w:r>
              <w:rPr>
                <w:sz w:val="17"/>
              </w:rPr>
              <w:t>V1</w:t>
            </w:r>
          </w:p>
        </w:tc>
        <w:tc>
          <w:tcPr>
            <w:tcW w:type="dxa" w:w="1512"/>
            <w:tcMar>
              <w:top w:w="100" w:type="dxa"/>
              <w:start w:w="120" w:type="dxa"/>
              <w:bottom w:w="100" w:type="dxa"/>
              <w:end w:w="120" w:type="dxa"/>
            </w:tcMar>
            <w:vAlign w:val="center"/>
          </w:tcPr>
          <w:p>
            <w:pPr>
              <w:spacing w:after="20" w:line="252" w:lineRule="auto"/>
            </w:pPr>
            <w:r>
              <w:rPr>
                <w:sz w:val="17"/>
              </w:rPr>
              <w:t>VP01-03</w:t>
            </w:r>
          </w:p>
        </w:tc>
        <w:tc>
          <w:tcPr>
            <w:tcW w:type="dxa" w:w="3600"/>
            <w:tcMar>
              <w:top w:w="100" w:type="dxa"/>
              <w:start w:w="120" w:type="dxa"/>
              <w:bottom w:w="100" w:type="dxa"/>
              <w:end w:w="120" w:type="dxa"/>
            </w:tcMar>
            <w:vAlign w:val="center"/>
          </w:tcPr>
          <w:p>
            <w:pPr>
              <w:spacing w:after="20" w:line="252" w:lineRule="auto"/>
            </w:pPr>
            <w:r>
              <w:rPr>
                <w:sz w:val="17"/>
              </w:rPr>
              <w:t>Is the upstream density field and thermodynamic state credible?</w:t>
            </w:r>
          </w:p>
        </w:tc>
        <w:tc>
          <w:tcPr>
            <w:tcW w:type="dxa" w:w="3816"/>
            <w:tcMar>
              <w:top w:w="100" w:type="dxa"/>
              <w:start w:w="120" w:type="dxa"/>
              <w:bottom w:w="100" w:type="dxa"/>
              <w:end w:w="120" w:type="dxa"/>
            </w:tcMar>
            <w:vAlign w:val="center"/>
          </w:tcPr>
          <w:p>
            <w:pPr>
              <w:spacing w:after="20" w:line="252" w:lineRule="auto"/>
            </w:pPr>
            <w:r>
              <w:rPr>
                <w:sz w:val="17"/>
              </w:rPr>
              <w:t>Failure blocks physical shock-strength attribution.</w:t>
            </w:r>
          </w:p>
        </w:tc>
      </w:tr>
      <w:tr>
        <w:trPr>
          <w:cantSplit/>
        </w:trPr>
        <w:tc>
          <w:tcPr>
            <w:tcW w:type="dxa" w:w="1224"/>
            <w:tcMar>
              <w:top w:w="100" w:type="dxa"/>
              <w:start w:w="120" w:type="dxa"/>
              <w:bottom w:w="100" w:type="dxa"/>
              <w:end w:w="120" w:type="dxa"/>
            </w:tcMar>
            <w:vAlign w:val="center"/>
            <w:shd w:fill="EAF1F8"/>
          </w:tcPr>
          <w:p>
            <w:pPr>
              <w:spacing w:after="20" w:line="252" w:lineRule="auto"/>
            </w:pPr>
            <w:r>
              <w:rPr>
                <w:sz w:val="17"/>
              </w:rPr>
              <w:t>V2</w:t>
            </w:r>
          </w:p>
        </w:tc>
        <w:tc>
          <w:tcPr>
            <w:tcW w:type="dxa" w:w="1512"/>
            <w:tcMar>
              <w:top w:w="100" w:type="dxa"/>
              <w:start w:w="120" w:type="dxa"/>
              <w:bottom w:w="100" w:type="dxa"/>
              <w:end w:w="120" w:type="dxa"/>
            </w:tcMar>
            <w:vAlign w:val="center"/>
            <w:shd w:fill="EAF1F8"/>
          </w:tcPr>
          <w:p>
            <w:pPr>
              <w:spacing w:after="20" w:line="252" w:lineRule="auto"/>
            </w:pPr>
            <w:r>
              <w:rPr>
                <w:sz w:val="17"/>
              </w:rPr>
              <w:t>VP04-05</w:t>
            </w:r>
          </w:p>
        </w:tc>
        <w:tc>
          <w:tcPr>
            <w:tcW w:type="dxa" w:w="3600"/>
            <w:tcMar>
              <w:top w:w="100" w:type="dxa"/>
              <w:start w:w="120" w:type="dxa"/>
              <w:bottom w:w="100" w:type="dxa"/>
              <w:end w:w="120" w:type="dxa"/>
            </w:tcMar>
            <w:vAlign w:val="center"/>
            <w:shd w:fill="EAF1F8"/>
          </w:tcPr>
          <w:p>
            <w:pPr>
              <w:spacing w:after="20" w:line="252" w:lineRule="auto"/>
            </w:pPr>
            <w:r>
              <w:rPr>
                <w:sz w:val="17"/>
              </w:rPr>
              <w:t>Does the front propagate to the correct radius and observer time?</w:t>
            </w:r>
          </w:p>
        </w:tc>
        <w:tc>
          <w:tcPr>
            <w:tcW w:type="dxa" w:w="3816"/>
            <w:tcMar>
              <w:top w:w="100" w:type="dxa"/>
              <w:start w:w="120" w:type="dxa"/>
              <w:bottom w:w="100" w:type="dxa"/>
              <w:end w:w="120" w:type="dxa"/>
            </w:tcMar>
            <w:vAlign w:val="center"/>
            <w:shd w:fill="EAF1F8"/>
          </w:tcPr>
          <w:p>
            <w:pPr>
              <w:spacing w:after="20" w:line="252" w:lineRule="auto"/>
            </w:pPr>
            <w:r>
              <w:rPr>
                <w:sz w:val="17"/>
              </w:rPr>
              <w:t>Failure blocks event-timed shock and SEP comparisons.</w:t>
            </w:r>
          </w:p>
        </w:tc>
      </w:tr>
      <w:tr>
        <w:trPr>
          <w:cantSplit/>
        </w:trPr>
        <w:tc>
          <w:tcPr>
            <w:tcW w:type="dxa" w:w="1224"/>
            <w:tcMar>
              <w:top w:w="100" w:type="dxa"/>
              <w:start w:w="120" w:type="dxa"/>
              <w:bottom w:w="100" w:type="dxa"/>
              <w:end w:w="120" w:type="dxa"/>
            </w:tcMar>
            <w:vAlign w:val="center"/>
          </w:tcPr>
          <w:p>
            <w:pPr>
              <w:spacing w:after="20" w:line="252" w:lineRule="auto"/>
            </w:pPr>
            <w:r>
              <w:rPr>
                <w:sz w:val="17"/>
              </w:rPr>
              <w:t>V3</w:t>
            </w:r>
          </w:p>
        </w:tc>
        <w:tc>
          <w:tcPr>
            <w:tcW w:type="dxa" w:w="1512"/>
            <w:tcMar>
              <w:top w:w="100" w:type="dxa"/>
              <w:start w:w="120" w:type="dxa"/>
              <w:bottom w:w="100" w:type="dxa"/>
              <w:end w:w="120" w:type="dxa"/>
            </w:tcMar>
            <w:vAlign w:val="center"/>
          </w:tcPr>
          <w:p>
            <w:pPr>
              <w:spacing w:after="20" w:line="252" w:lineRule="auto"/>
            </w:pPr>
            <w:r>
              <w:rPr>
                <w:sz w:val="17"/>
              </w:rPr>
              <w:t>VP06-07</w:t>
            </w:r>
          </w:p>
        </w:tc>
        <w:tc>
          <w:tcPr>
            <w:tcW w:type="dxa" w:w="3600"/>
            <w:tcMar>
              <w:top w:w="100" w:type="dxa"/>
              <w:start w:w="120" w:type="dxa"/>
              <w:bottom w:w="100" w:type="dxa"/>
              <w:end w:w="120" w:type="dxa"/>
            </w:tcMar>
            <w:vAlign w:val="center"/>
          </w:tcPr>
          <w:p>
            <w:pPr>
              <w:spacing w:after="20" w:line="252" w:lineRule="auto"/>
            </w:pPr>
            <w:r>
              <w:rPr>
                <w:sz w:val="17"/>
              </w:rPr>
              <w:t>Is the local shock conservative admissible and correctly oriented?</w:t>
            </w:r>
          </w:p>
        </w:tc>
        <w:tc>
          <w:tcPr>
            <w:tcW w:type="dxa" w:w="3816"/>
            <w:tcMar>
              <w:top w:w="100" w:type="dxa"/>
              <w:start w:w="120" w:type="dxa"/>
              <w:bottom w:w="100" w:type="dxa"/>
              <w:end w:w="120" w:type="dxa"/>
            </w:tcMar>
            <w:vAlign w:val="center"/>
          </w:tcPr>
          <w:p>
            <w:pPr>
              <w:spacing w:after="20" w:line="252" w:lineRule="auto"/>
            </w:pPr>
            <w:r>
              <w:rPr>
                <w:sz w:val="17"/>
              </w:rPr>
              <w:t>Failure blocks acceleration/source claims.</w:t>
            </w:r>
          </w:p>
        </w:tc>
      </w:tr>
      <w:tr>
        <w:trPr>
          <w:cantSplit/>
        </w:trPr>
        <w:tc>
          <w:tcPr>
            <w:tcW w:type="dxa" w:w="1224"/>
            <w:tcMar>
              <w:top w:w="100" w:type="dxa"/>
              <w:start w:w="120" w:type="dxa"/>
              <w:bottom w:w="100" w:type="dxa"/>
              <w:end w:w="120" w:type="dxa"/>
            </w:tcMar>
            <w:vAlign w:val="center"/>
            <w:shd w:fill="EAF1F8"/>
          </w:tcPr>
          <w:p>
            <w:pPr>
              <w:spacing w:after="20" w:line="252" w:lineRule="auto"/>
            </w:pPr>
            <w:r>
              <w:rPr>
                <w:sz w:val="17"/>
              </w:rPr>
              <w:t>V4</w:t>
            </w:r>
          </w:p>
        </w:tc>
        <w:tc>
          <w:tcPr>
            <w:tcW w:type="dxa" w:w="1512"/>
            <w:tcMar>
              <w:top w:w="100" w:type="dxa"/>
              <w:start w:w="120" w:type="dxa"/>
              <w:bottom w:w="100" w:type="dxa"/>
              <w:end w:w="120" w:type="dxa"/>
            </w:tcMar>
            <w:vAlign w:val="center"/>
            <w:shd w:fill="EAF1F8"/>
          </w:tcPr>
          <w:p>
            <w:pPr>
              <w:spacing w:after="20" w:line="252" w:lineRule="auto"/>
            </w:pPr>
            <w:r>
              <w:rPr>
                <w:sz w:val="17"/>
              </w:rPr>
              <w:t>VP08-09</w:t>
            </w:r>
          </w:p>
        </w:tc>
        <w:tc>
          <w:tcPr>
            <w:tcW w:type="dxa" w:w="3600"/>
            <w:tcMar>
              <w:top w:w="100" w:type="dxa"/>
              <w:start w:w="120" w:type="dxa"/>
              <w:bottom w:w="100" w:type="dxa"/>
              <w:end w:w="120" w:type="dxa"/>
            </w:tcMar>
            <w:vAlign w:val="center"/>
            <w:shd w:fill="EAF1F8"/>
          </w:tcPr>
          <w:p>
            <w:pPr>
              <w:spacing w:after="20" w:line="252" w:lineRule="auto"/>
            </w:pPr>
            <w:r>
              <w:rPr>
                <w:sz w:val="17"/>
              </w:rPr>
              <w:t>Does the 3-D front hit the correct observers and represent regions?</w:t>
            </w:r>
          </w:p>
        </w:tc>
        <w:tc>
          <w:tcPr>
            <w:tcW w:type="dxa" w:w="3816"/>
            <w:tcMar>
              <w:top w:w="100" w:type="dxa"/>
              <w:start w:w="120" w:type="dxa"/>
              <w:bottom w:w="100" w:type="dxa"/>
              <w:end w:w="120" w:type="dxa"/>
            </w:tcMar>
            <w:vAlign w:val="center"/>
            <w:shd w:fill="EAF1F8"/>
          </w:tcPr>
          <w:p>
            <w:pPr>
              <w:spacing w:after="20" w:line="252" w:lineRule="auto"/>
            </w:pPr>
            <w:r>
              <w:rPr>
                <w:sz w:val="17"/>
              </w:rPr>
              <w:t>Failure blocks global source-surface and encounter claims.</w:t>
            </w:r>
          </w:p>
        </w:tc>
      </w:tr>
      <w:tr>
        <w:trPr>
          <w:cantSplit/>
        </w:trPr>
        <w:tc>
          <w:tcPr>
            <w:tcW w:type="dxa" w:w="1224"/>
            <w:tcMar>
              <w:top w:w="100" w:type="dxa"/>
              <w:start w:w="120" w:type="dxa"/>
              <w:bottom w:w="100" w:type="dxa"/>
              <w:end w:w="120" w:type="dxa"/>
            </w:tcMar>
            <w:vAlign w:val="center"/>
          </w:tcPr>
          <w:p>
            <w:pPr>
              <w:spacing w:after="20" w:line="252" w:lineRule="auto"/>
            </w:pPr>
            <w:r>
              <w:rPr>
                <w:sz w:val="17"/>
              </w:rPr>
              <w:t>V5</w:t>
            </w:r>
          </w:p>
        </w:tc>
        <w:tc>
          <w:tcPr>
            <w:tcW w:type="dxa" w:w="1512"/>
            <w:tcMar>
              <w:top w:w="100" w:type="dxa"/>
              <w:start w:w="120" w:type="dxa"/>
              <w:bottom w:w="100" w:type="dxa"/>
              <w:end w:w="120" w:type="dxa"/>
            </w:tcMar>
            <w:vAlign w:val="center"/>
          </w:tcPr>
          <w:p>
            <w:pPr>
              <w:spacing w:after="20" w:line="252" w:lineRule="auto"/>
            </w:pPr>
            <w:r>
              <w:rPr>
                <w:sz w:val="17"/>
              </w:rPr>
              <w:t>VP10-11</w:t>
            </w:r>
          </w:p>
        </w:tc>
        <w:tc>
          <w:tcPr>
            <w:tcW w:type="dxa" w:w="3600"/>
            <w:tcMar>
              <w:top w:w="100" w:type="dxa"/>
              <w:start w:w="120" w:type="dxa"/>
              <w:bottom w:w="100" w:type="dxa"/>
              <w:end w:w="120" w:type="dxa"/>
            </w:tcMar>
            <w:vAlign w:val="center"/>
          </w:tcPr>
          <w:p>
            <w:pPr>
              <w:spacing w:after="20" w:line="252" w:lineRule="auto"/>
            </w:pPr>
            <w:r>
              <w:rPr>
                <w:sz w:val="17"/>
              </w:rPr>
              <w:t>Are path quantities and connection histories credible?</w:t>
            </w:r>
          </w:p>
        </w:tc>
        <w:tc>
          <w:tcPr>
            <w:tcW w:type="dxa" w:w="3816"/>
            <w:tcMar>
              <w:top w:w="100" w:type="dxa"/>
              <w:start w:w="120" w:type="dxa"/>
              <w:bottom w:w="100" w:type="dxa"/>
              <w:end w:w="120" w:type="dxa"/>
            </w:tcMar>
            <w:vAlign w:val="center"/>
          </w:tcPr>
          <w:p>
            <w:pPr>
              <w:spacing w:after="20" w:line="252" w:lineRule="auto"/>
            </w:pPr>
            <w:r>
              <w:rPr>
                <w:sz w:val="17"/>
              </w:rPr>
              <w:t>Failure blocks connectivity-based transport attribution.</w:t>
            </w:r>
          </w:p>
        </w:tc>
      </w:tr>
      <w:tr>
        <w:trPr>
          <w:cantSplit/>
        </w:trPr>
        <w:tc>
          <w:tcPr>
            <w:tcW w:type="dxa" w:w="1224"/>
            <w:tcMar>
              <w:top w:w="100" w:type="dxa"/>
              <w:start w:w="120" w:type="dxa"/>
              <w:bottom w:w="100" w:type="dxa"/>
              <w:end w:w="120" w:type="dxa"/>
            </w:tcMar>
            <w:vAlign w:val="center"/>
            <w:shd w:fill="EAF1F8"/>
          </w:tcPr>
          <w:p>
            <w:pPr>
              <w:spacing w:after="20" w:line="252" w:lineRule="auto"/>
            </w:pPr>
            <w:r>
              <w:rPr>
                <w:sz w:val="17"/>
              </w:rPr>
              <w:t>V6</w:t>
            </w:r>
          </w:p>
        </w:tc>
        <w:tc>
          <w:tcPr>
            <w:tcW w:type="dxa" w:w="1512"/>
            <w:tcMar>
              <w:top w:w="100" w:type="dxa"/>
              <w:start w:w="120" w:type="dxa"/>
              <w:bottom w:w="100" w:type="dxa"/>
              <w:end w:w="120" w:type="dxa"/>
            </w:tcMar>
            <w:vAlign w:val="center"/>
            <w:shd w:fill="EAF1F8"/>
          </w:tcPr>
          <w:p>
            <w:pPr>
              <w:spacing w:after="20" w:line="252" w:lineRule="auto"/>
            </w:pPr>
            <w:r>
              <w:rPr>
                <w:sz w:val="17"/>
              </w:rPr>
              <w:t>VP12-15</w:t>
            </w:r>
          </w:p>
        </w:tc>
        <w:tc>
          <w:tcPr>
            <w:tcW w:type="dxa" w:w="3600"/>
            <w:tcMar>
              <w:top w:w="100" w:type="dxa"/>
              <w:start w:w="120" w:type="dxa"/>
              <w:bottom w:w="100" w:type="dxa"/>
              <w:end w:w="120" w:type="dxa"/>
            </w:tcMar>
            <w:vAlign w:val="center"/>
            <w:shd w:fill="EAF1F8"/>
          </w:tcPr>
          <w:p>
            <w:pPr>
              <w:spacing w:after="20" w:line="252" w:lineRule="auto"/>
            </w:pPr>
            <w:r>
              <w:rPr>
                <w:sz w:val="17"/>
              </w:rPr>
              <w:t>Is the source handoff exact and is coupled SEP transport skillful?</w:t>
            </w:r>
          </w:p>
        </w:tc>
        <w:tc>
          <w:tcPr>
            <w:tcW w:type="dxa" w:w="3816"/>
            <w:tcMar>
              <w:top w:w="100" w:type="dxa"/>
              <w:start w:w="120" w:type="dxa"/>
              <w:bottom w:w="100" w:type="dxa"/>
              <w:end w:w="120" w:type="dxa"/>
            </w:tcMar>
            <w:vAlign w:val="center"/>
            <w:shd w:fill="EAF1F8"/>
          </w:tcPr>
          <w:p>
            <w:pPr>
              <w:spacing w:after="20" w:line="252" w:lineRule="auto"/>
            </w:pPr>
            <w:r>
              <w:rPr>
                <w:sz w:val="17"/>
              </w:rPr>
              <w:t>Requires V1-V5; coupled agreement cannot override them.</w:t>
            </w:r>
          </w:p>
        </w:tc>
      </w:tr>
      <w:tr>
        <w:trPr>
          <w:cantSplit/>
        </w:trPr>
        <w:tc>
          <w:tcPr>
            <w:tcW w:type="dxa" w:w="1224"/>
            <w:tcMar>
              <w:top w:w="100" w:type="dxa"/>
              <w:start w:w="120" w:type="dxa"/>
              <w:bottom w:w="100" w:type="dxa"/>
              <w:end w:w="120" w:type="dxa"/>
            </w:tcMar>
            <w:vAlign w:val="center"/>
          </w:tcPr>
          <w:p>
            <w:pPr>
              <w:spacing w:after="20" w:line="252" w:lineRule="auto"/>
            </w:pPr>
            <w:r>
              <w:rPr>
                <w:sz w:val="17"/>
              </w:rPr>
              <w:t>Campaign</w:t>
            </w:r>
          </w:p>
        </w:tc>
        <w:tc>
          <w:tcPr>
            <w:tcW w:type="dxa" w:w="1512"/>
            <w:tcMar>
              <w:top w:w="100" w:type="dxa"/>
              <w:start w:w="120" w:type="dxa"/>
              <w:bottom w:w="100" w:type="dxa"/>
              <w:end w:w="120" w:type="dxa"/>
            </w:tcMar>
            <w:vAlign w:val="center"/>
          </w:tcPr>
          <w:p>
            <w:pPr>
              <w:spacing w:after="20" w:line="252" w:lineRule="auto"/>
            </w:pPr>
            <w:r>
              <w:rPr>
                <w:sz w:val="17"/>
              </w:rPr>
              <w:t>VP16</w:t>
            </w:r>
          </w:p>
        </w:tc>
        <w:tc>
          <w:tcPr>
            <w:tcW w:type="dxa" w:w="3600"/>
            <w:tcMar>
              <w:top w:w="100" w:type="dxa"/>
              <w:start w:w="120" w:type="dxa"/>
              <w:bottom w:w="100" w:type="dxa"/>
              <w:end w:w="120" w:type="dxa"/>
            </w:tcMar>
            <w:vAlign w:val="center"/>
          </w:tcPr>
          <w:p>
            <w:pPr>
              <w:spacing w:after="20" w:line="252" w:lineRule="auto"/>
            </w:pPr>
            <w:r>
              <w:rPr>
                <w:sz w:val="17"/>
              </w:rPr>
              <w:t>Does a frozen configuration generalize across held-out events?</w:t>
            </w:r>
          </w:p>
        </w:tc>
        <w:tc>
          <w:tcPr>
            <w:tcW w:type="dxa" w:w="3816"/>
            <w:tcMar>
              <w:top w:w="100" w:type="dxa"/>
              <w:start w:w="120" w:type="dxa"/>
              <w:bottom w:w="100" w:type="dxa"/>
              <w:end w:w="120" w:type="dxa"/>
            </w:tcMar>
            <w:vAlign w:val="center"/>
          </w:tcPr>
          <w:p>
            <w:pPr>
              <w:spacing w:after="20" w:line="252" w:lineRule="auto"/>
            </w:pPr>
            <w:r>
              <w:rPr>
                <w:sz w:val="17"/>
              </w:rPr>
              <w:t>Required for release-level skill claims.</w:t>
            </w:r>
          </w:p>
        </w:tc>
      </w:tr>
    </w:tbl>
    <w:p>
      <w:pPr>
        <w:pStyle w:val="Heading1"/>
        <w:pageBreakBefore/>
        <w:keepNext/>
      </w:pPr>
      <w:r>
        <w:t>Contents</w:t>
      </w:r>
    </w:p>
    <w:p>
      <w:r>
        <w:t>Program level sections</w:t>
      </w:r>
    </w:p>
    <w:p>
      <w:pPr>
        <w:pStyle w:val="ListBullet"/>
      </w:pPr>
      <w:r>
        <w:t>1 Validation purpose and decision rules</w:t>
      </w:r>
    </w:p>
    <w:p>
      <w:pPr>
        <w:pStyle w:val="ListBullet"/>
      </w:pPr>
      <w:r>
        <w:t>2 Campaign data and event strategy</w:t>
      </w:r>
    </w:p>
    <w:p>
      <w:pPr>
        <w:pStyle w:val="ListBullet"/>
      </w:pPr>
      <w:r>
        <w:t>3 Common comparison protocol</w:t>
      </w:r>
    </w:p>
    <w:p>
      <w:pPr>
        <w:pStyle w:val="ListBullet"/>
      </w:pPr>
      <w:r>
        <w:t>4 Validation test specifications</w:t>
      </w:r>
    </w:p>
    <w:p>
      <w:pPr>
        <w:pStyle w:val="ListBullet"/>
      </w:pPr>
      <w:r>
        <w:t>5 Campaign execution and release decision</w:t>
      </w:r>
    </w:p>
    <w:p>
      <w:pPr>
        <w:pStyle w:val="ListBullet"/>
      </w:pPr>
      <w:r>
        <w:t>6 Data sources models and references</w:t>
      </w:r>
    </w:p>
    <w:p>
      <w:r>
        <w:t>Validation test sections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cantSplit/>
        </w:trPr>
        <w:tc>
          <w:tcPr>
            <w:tcW w:type="dxa" w:w="936"/>
            <w:shd w:fill="17365D"/>
            <w:tcMar>
              <w:top w:w="100" w:type="dxa"/>
              <w:start w:w="120" w:type="dxa"/>
              <w:bottom w:w="100" w:type="dxa"/>
              <w:end w:w="120" w:type="dxa"/>
            </w:tcMar>
            <w:vAlign w:val="center"/>
          </w:tcPr>
          <w:p>
            <w:pPr>
              <w:spacing w:after="20" w:line="252" w:lineRule="auto"/>
            </w:pPr>
            <w:r>
              <w:rPr>
                <w:b/>
                <w:color w:val="FFFFFF"/>
                <w:sz w:val="18"/>
              </w:rPr>
              <w:t>ID</w:t>
            </w:r>
          </w:p>
        </w:tc>
        <w:tc>
          <w:tcPr>
            <w:tcW w:type="dxa" w:w="936"/>
            <w:shd w:fill="17365D"/>
            <w:tcMar>
              <w:top w:w="100" w:type="dxa"/>
              <w:start w:w="120" w:type="dxa"/>
              <w:bottom w:w="100" w:type="dxa"/>
              <w:end w:w="120" w:type="dxa"/>
            </w:tcMar>
            <w:vAlign w:val="center"/>
          </w:tcPr>
          <w:p>
            <w:pPr>
              <w:spacing w:after="20" w:line="252" w:lineRule="auto"/>
            </w:pPr>
            <w:r>
              <w:rPr>
                <w:b/>
                <w:color w:val="FFFFFF"/>
                <w:sz w:val="18"/>
              </w:rPr>
              <w:t>Layer</w:t>
            </w:r>
          </w:p>
        </w:tc>
        <w:tc>
          <w:tcPr>
            <w:tcW w:type="dxa" w:w="8496"/>
            <w:shd w:fill="17365D"/>
            <w:tcMar>
              <w:top w:w="100" w:type="dxa"/>
              <w:start w:w="120" w:type="dxa"/>
              <w:bottom w:w="100" w:type="dxa"/>
              <w:end w:w="120" w:type="dxa"/>
            </w:tcMar>
            <w:vAlign w:val="center"/>
          </w:tcPr>
          <w:p>
            <w:pPr>
              <w:spacing w:after="20" w:line="252" w:lineRule="auto"/>
            </w:pPr>
            <w:r>
              <w:rPr>
                <w:b/>
                <w:color w:val="FFFFFF"/>
                <w:sz w:val="18"/>
              </w:rPr>
              <w:t>Validation test</w:t>
            </w:r>
          </w:p>
        </w:tc>
      </w:tr>
      <w:tr>
        <w:trPr>
          <w:cantSplit/>
        </w:trPr>
        <w:tc>
          <w:tcPr>
            <w:tcW w:type="dxa" w:w="936"/>
            <w:tcMar>
              <w:top w:w="100" w:type="dxa"/>
              <w:start w:w="120" w:type="dxa"/>
              <w:bottom w:w="100" w:type="dxa"/>
              <w:end w:w="120" w:type="dxa"/>
            </w:tcMar>
            <w:vAlign w:val="center"/>
          </w:tcPr>
          <w:p>
            <w:pPr>
              <w:spacing w:after="20" w:line="252" w:lineRule="auto"/>
            </w:pPr>
            <w:r>
              <w:rPr>
                <w:sz w:val="18"/>
              </w:rPr>
              <w:t>VP01</w:t>
            </w:r>
          </w:p>
        </w:tc>
        <w:tc>
          <w:tcPr>
            <w:tcW w:type="dxa" w:w="936"/>
            <w:tcMar>
              <w:top w:w="100" w:type="dxa"/>
              <w:start w:w="120" w:type="dxa"/>
              <w:bottom w:w="100" w:type="dxa"/>
              <w:end w:w="120" w:type="dxa"/>
            </w:tcMar>
            <w:vAlign w:val="center"/>
          </w:tcPr>
          <w:p>
            <w:pPr>
              <w:spacing w:after="20" w:line="252" w:lineRule="auto"/>
            </w:pPr>
            <w:r>
              <w:rPr>
                <w:sz w:val="18"/>
              </w:rPr>
              <w:t>V1</w:t>
            </w:r>
          </w:p>
        </w:tc>
        <w:tc>
          <w:tcPr>
            <w:tcW w:type="dxa" w:w="8496"/>
            <w:tcMar>
              <w:top w:w="100" w:type="dxa"/>
              <w:start w:w="120" w:type="dxa"/>
              <w:bottom w:w="100" w:type="dxa"/>
              <w:end w:w="120" w:type="dxa"/>
            </w:tcMar>
            <w:vAlign w:val="center"/>
          </w:tcPr>
          <w:p>
            <w:pPr>
              <w:spacing w:after="20" w:line="252" w:lineRule="auto"/>
            </w:pPr>
            <w:r>
              <w:rPr>
                <w:sz w:val="18"/>
              </w:rPr>
              <w:t>Radial solar wind density and Leblanc profile</w:t>
            </w:r>
          </w:p>
        </w:tc>
      </w:tr>
      <w:tr>
        <w:trPr>
          <w:cantSplit/>
        </w:trPr>
        <w:tc>
          <w:tcPr>
            <w:tcW w:type="dxa" w:w="936"/>
            <w:tcMar>
              <w:top w:w="100" w:type="dxa"/>
              <w:start w:w="120" w:type="dxa"/>
              <w:bottom w:w="100" w:type="dxa"/>
              <w:end w:w="120" w:type="dxa"/>
            </w:tcMar>
            <w:vAlign w:val="center"/>
            <w:shd w:fill="EAF1F8"/>
          </w:tcPr>
          <w:p>
            <w:pPr>
              <w:spacing w:after="20" w:line="252" w:lineRule="auto"/>
            </w:pPr>
            <w:r>
              <w:rPr>
                <w:sz w:val="18"/>
              </w:rPr>
              <w:t>VP02</w:t>
            </w:r>
          </w:p>
        </w:tc>
        <w:tc>
          <w:tcPr>
            <w:tcW w:type="dxa" w:w="936"/>
            <w:tcMar>
              <w:top w:w="100" w:type="dxa"/>
              <w:start w:w="120" w:type="dxa"/>
              <w:bottom w:w="100" w:type="dxa"/>
              <w:end w:w="120" w:type="dxa"/>
            </w:tcMar>
            <w:vAlign w:val="center"/>
            <w:shd w:fill="EAF1F8"/>
          </w:tcPr>
          <w:p>
            <w:pPr>
              <w:spacing w:after="20" w:line="252" w:lineRule="auto"/>
            </w:pPr>
            <w:r>
              <w:rPr>
                <w:sz w:val="18"/>
              </w:rPr>
              <w:t>V1</w:t>
            </w:r>
          </w:p>
        </w:tc>
        <w:tc>
          <w:tcPr>
            <w:tcW w:type="dxa" w:w="8496"/>
            <w:tcMar>
              <w:top w:w="100" w:type="dxa"/>
              <w:start w:w="120" w:type="dxa"/>
              <w:bottom w:w="100" w:type="dxa"/>
              <w:end w:w="120" w:type="dxa"/>
            </w:tcMar>
            <w:vAlign w:val="center"/>
            <w:shd w:fill="EAF1F8"/>
          </w:tcPr>
          <w:p>
            <w:pPr>
              <w:spacing w:after="20" w:line="252" w:lineRule="auto"/>
            </w:pPr>
            <w:r>
              <w:rPr>
                <w:sz w:val="18"/>
              </w:rPr>
              <w:t>Parker magnetic field vector spiral angle and polarity</w:t>
            </w:r>
          </w:p>
        </w:tc>
      </w:tr>
      <w:tr>
        <w:trPr>
          <w:cantSplit/>
        </w:trPr>
        <w:tc>
          <w:tcPr>
            <w:tcW w:type="dxa" w:w="936"/>
            <w:tcMar>
              <w:top w:w="100" w:type="dxa"/>
              <w:start w:w="120" w:type="dxa"/>
              <w:bottom w:w="100" w:type="dxa"/>
              <w:end w:w="120" w:type="dxa"/>
            </w:tcMar>
            <w:vAlign w:val="center"/>
          </w:tcPr>
          <w:p>
            <w:pPr>
              <w:spacing w:after="20" w:line="252" w:lineRule="auto"/>
            </w:pPr>
            <w:r>
              <w:rPr>
                <w:sz w:val="18"/>
              </w:rPr>
              <w:t>VP03</w:t>
            </w:r>
          </w:p>
        </w:tc>
        <w:tc>
          <w:tcPr>
            <w:tcW w:type="dxa" w:w="936"/>
            <w:tcMar>
              <w:top w:w="100" w:type="dxa"/>
              <w:start w:w="120" w:type="dxa"/>
              <w:bottom w:w="100" w:type="dxa"/>
              <w:end w:w="120" w:type="dxa"/>
            </w:tcMar>
            <w:vAlign w:val="center"/>
          </w:tcPr>
          <w:p>
            <w:pPr>
              <w:spacing w:after="20" w:line="252" w:lineRule="auto"/>
            </w:pPr>
            <w:r>
              <w:rPr>
                <w:sz w:val="18"/>
              </w:rPr>
              <w:t>V1</w:t>
            </w:r>
          </w:p>
        </w:tc>
        <w:tc>
          <w:tcPr>
            <w:tcW w:type="dxa" w:w="8496"/>
            <w:tcMar>
              <w:top w:w="100" w:type="dxa"/>
              <w:start w:w="120" w:type="dxa"/>
              <w:bottom w:w="100" w:type="dxa"/>
              <w:end w:w="120" w:type="dxa"/>
            </w:tcMar>
            <w:vAlign w:val="center"/>
          </w:tcPr>
          <w:p>
            <w:pPr>
              <w:spacing w:after="20" w:line="252" w:lineRule="auto"/>
            </w:pPr>
            <w:r>
              <w:rPr>
                <w:sz w:val="18"/>
              </w:rPr>
              <w:t>Background speed pressure sound speed and fast mode speed</w:t>
            </w:r>
          </w:p>
        </w:tc>
      </w:tr>
      <w:tr>
        <w:trPr>
          <w:cantSplit/>
        </w:trPr>
        <w:tc>
          <w:tcPr>
            <w:tcW w:type="dxa" w:w="936"/>
            <w:tcMar>
              <w:top w:w="100" w:type="dxa"/>
              <w:start w:w="120" w:type="dxa"/>
              <w:bottom w:w="100" w:type="dxa"/>
              <w:end w:w="120" w:type="dxa"/>
            </w:tcMar>
            <w:vAlign w:val="center"/>
            <w:shd w:fill="EAF1F8"/>
          </w:tcPr>
          <w:p>
            <w:pPr>
              <w:spacing w:after="20" w:line="252" w:lineRule="auto"/>
            </w:pPr>
            <w:r>
              <w:rPr>
                <w:sz w:val="18"/>
              </w:rPr>
              <w:t>VP04</w:t>
            </w:r>
          </w:p>
        </w:tc>
        <w:tc>
          <w:tcPr>
            <w:tcW w:type="dxa" w:w="936"/>
            <w:tcMar>
              <w:top w:w="100" w:type="dxa"/>
              <w:start w:w="120" w:type="dxa"/>
              <w:bottom w:w="100" w:type="dxa"/>
              <w:end w:w="120" w:type="dxa"/>
            </w:tcMar>
            <w:vAlign w:val="center"/>
            <w:shd w:fill="EAF1F8"/>
          </w:tcPr>
          <w:p>
            <w:pPr>
              <w:spacing w:after="20" w:line="252" w:lineRule="auto"/>
            </w:pPr>
            <w:r>
              <w:rPr>
                <w:sz w:val="18"/>
              </w:rPr>
              <w:t>V2</w:t>
            </w:r>
          </w:p>
        </w:tc>
        <w:tc>
          <w:tcPr>
            <w:tcW w:type="dxa" w:w="8496"/>
            <w:tcMar>
              <w:top w:w="100" w:type="dxa"/>
              <w:start w:w="120" w:type="dxa"/>
              <w:bottom w:w="100" w:type="dxa"/>
              <w:end w:w="120" w:type="dxa"/>
            </w:tcMar>
            <w:vAlign w:val="center"/>
            <w:shd w:fill="EAF1F8"/>
          </w:tcPr>
          <w:p>
            <w:pPr>
              <w:spacing w:after="20" w:line="252" w:lineRule="auto"/>
            </w:pPr>
            <w:r>
              <w:rPr>
                <w:sz w:val="18"/>
              </w:rPr>
              <w:t>CME and shock apex height time kinematics</w:t>
            </w:r>
          </w:p>
        </w:tc>
      </w:tr>
      <w:tr>
        <w:trPr>
          <w:cantSplit/>
        </w:trPr>
        <w:tc>
          <w:tcPr>
            <w:tcW w:type="dxa" w:w="936"/>
            <w:tcMar>
              <w:top w:w="100" w:type="dxa"/>
              <w:start w:w="120" w:type="dxa"/>
              <w:bottom w:w="100" w:type="dxa"/>
              <w:end w:w="120" w:type="dxa"/>
            </w:tcMar>
            <w:vAlign w:val="center"/>
          </w:tcPr>
          <w:p>
            <w:pPr>
              <w:spacing w:after="20" w:line="252" w:lineRule="auto"/>
            </w:pPr>
            <w:r>
              <w:rPr>
                <w:sz w:val="18"/>
              </w:rPr>
              <w:t>VP05</w:t>
            </w:r>
          </w:p>
        </w:tc>
        <w:tc>
          <w:tcPr>
            <w:tcW w:type="dxa" w:w="936"/>
            <w:tcMar>
              <w:top w:w="100" w:type="dxa"/>
              <w:start w:w="120" w:type="dxa"/>
              <w:bottom w:w="100" w:type="dxa"/>
              <w:end w:w="120" w:type="dxa"/>
            </w:tcMar>
            <w:vAlign w:val="center"/>
          </w:tcPr>
          <w:p>
            <w:pPr>
              <w:spacing w:after="20" w:line="252" w:lineRule="auto"/>
            </w:pPr>
            <w:r>
              <w:rPr>
                <w:sz w:val="18"/>
              </w:rPr>
              <w:t>V2</w:t>
            </w:r>
          </w:p>
        </w:tc>
        <w:tc>
          <w:tcPr>
            <w:tcW w:type="dxa" w:w="8496"/>
            <w:tcMar>
              <w:top w:w="100" w:type="dxa"/>
              <w:start w:w="120" w:type="dxa"/>
              <w:bottom w:w="100" w:type="dxa"/>
              <w:end w:w="120" w:type="dxa"/>
            </w:tcMar>
            <w:vAlign w:val="center"/>
          </w:tcPr>
          <w:p>
            <w:pPr>
              <w:spacing w:after="20" w:line="252" w:lineRule="auto"/>
            </w:pPr>
            <w:r>
              <w:rPr>
                <w:sz w:val="18"/>
              </w:rPr>
              <w:t>Multi spacecraft shock arrival time and arrival speed</w:t>
            </w:r>
          </w:p>
        </w:tc>
      </w:tr>
      <w:tr>
        <w:trPr>
          <w:cantSplit/>
        </w:trPr>
        <w:tc>
          <w:tcPr>
            <w:tcW w:type="dxa" w:w="936"/>
            <w:tcMar>
              <w:top w:w="100" w:type="dxa"/>
              <w:start w:w="120" w:type="dxa"/>
              <w:bottom w:w="100" w:type="dxa"/>
              <w:end w:w="120" w:type="dxa"/>
            </w:tcMar>
            <w:vAlign w:val="center"/>
            <w:shd w:fill="EAF1F8"/>
          </w:tcPr>
          <w:p>
            <w:pPr>
              <w:spacing w:after="20" w:line="252" w:lineRule="auto"/>
            </w:pPr>
            <w:r>
              <w:rPr>
                <w:sz w:val="18"/>
              </w:rPr>
              <w:t>VP06</w:t>
            </w:r>
          </w:p>
        </w:tc>
        <w:tc>
          <w:tcPr>
            <w:tcW w:type="dxa" w:w="936"/>
            <w:tcMar>
              <w:top w:w="100" w:type="dxa"/>
              <w:start w:w="120" w:type="dxa"/>
              <w:bottom w:w="100" w:type="dxa"/>
              <w:end w:w="120" w:type="dxa"/>
            </w:tcMar>
            <w:vAlign w:val="center"/>
            <w:shd w:fill="EAF1F8"/>
          </w:tcPr>
          <w:p>
            <w:pPr>
              <w:spacing w:after="20" w:line="252" w:lineRule="auto"/>
            </w:pPr>
            <w:r>
              <w:rPr>
                <w:sz w:val="18"/>
              </w:rPr>
              <w:t>V3</w:t>
            </w:r>
          </w:p>
        </w:tc>
        <w:tc>
          <w:tcPr>
            <w:tcW w:type="dxa" w:w="8496"/>
            <w:tcMar>
              <w:top w:w="100" w:type="dxa"/>
              <w:start w:w="120" w:type="dxa"/>
              <w:bottom w:w="100" w:type="dxa"/>
              <w:end w:w="120" w:type="dxa"/>
            </w:tcMar>
            <w:vAlign w:val="center"/>
            <w:shd w:fill="EAF1F8"/>
          </w:tcPr>
          <w:p>
            <w:pPr>
              <w:spacing w:after="20" w:line="252" w:lineRule="auto"/>
            </w:pPr>
            <w:r>
              <w:rPr>
                <w:sz w:val="18"/>
              </w:rPr>
              <w:t>In situ fast shock jump and conservation</w:t>
            </w:r>
          </w:p>
        </w:tc>
      </w:tr>
      <w:tr>
        <w:trPr>
          <w:cantSplit/>
        </w:trPr>
        <w:tc>
          <w:tcPr>
            <w:tcW w:type="dxa" w:w="936"/>
            <w:tcMar>
              <w:top w:w="100" w:type="dxa"/>
              <w:start w:w="120" w:type="dxa"/>
              <w:bottom w:w="100" w:type="dxa"/>
              <w:end w:w="120" w:type="dxa"/>
            </w:tcMar>
            <w:vAlign w:val="center"/>
          </w:tcPr>
          <w:p>
            <w:pPr>
              <w:spacing w:after="20" w:line="252" w:lineRule="auto"/>
            </w:pPr>
            <w:r>
              <w:rPr>
                <w:sz w:val="18"/>
              </w:rPr>
              <w:t>VP07</w:t>
            </w:r>
          </w:p>
        </w:tc>
        <w:tc>
          <w:tcPr>
            <w:tcW w:type="dxa" w:w="936"/>
            <w:tcMar>
              <w:top w:w="100" w:type="dxa"/>
              <w:start w:w="120" w:type="dxa"/>
              <w:bottom w:w="100" w:type="dxa"/>
              <w:end w:w="120" w:type="dxa"/>
            </w:tcMar>
            <w:vAlign w:val="center"/>
          </w:tcPr>
          <w:p>
            <w:pPr>
              <w:spacing w:after="20" w:line="252" w:lineRule="auto"/>
            </w:pPr>
            <w:r>
              <w:rPr>
                <w:sz w:val="18"/>
              </w:rPr>
              <w:t>V3</w:t>
            </w:r>
          </w:p>
        </w:tc>
        <w:tc>
          <w:tcPr>
            <w:tcW w:type="dxa" w:w="8496"/>
            <w:tcMar>
              <w:top w:w="100" w:type="dxa"/>
              <w:start w:w="120" w:type="dxa"/>
              <w:bottom w:w="100" w:type="dxa"/>
              <w:end w:w="120" w:type="dxa"/>
            </w:tcMar>
            <w:vAlign w:val="center"/>
          </w:tcPr>
          <w:p>
            <w:pPr>
              <w:spacing w:after="20" w:line="252" w:lineRule="auto"/>
            </w:pPr>
            <w:r>
              <w:rPr>
                <w:sz w:val="18"/>
              </w:rPr>
              <w:t>Shock normal obliquity and local acceleration geometry</w:t>
            </w:r>
          </w:p>
        </w:tc>
      </w:tr>
      <w:tr>
        <w:trPr>
          <w:cantSplit/>
        </w:trPr>
        <w:tc>
          <w:tcPr>
            <w:tcW w:type="dxa" w:w="936"/>
            <w:tcMar>
              <w:top w:w="100" w:type="dxa"/>
              <w:start w:w="120" w:type="dxa"/>
              <w:bottom w:w="100" w:type="dxa"/>
              <w:end w:w="120" w:type="dxa"/>
            </w:tcMar>
            <w:vAlign w:val="center"/>
            <w:shd w:fill="EAF1F8"/>
          </w:tcPr>
          <w:p>
            <w:pPr>
              <w:spacing w:after="20" w:line="252" w:lineRule="auto"/>
            </w:pPr>
            <w:r>
              <w:rPr>
                <w:sz w:val="18"/>
              </w:rPr>
              <w:t>VP08</w:t>
            </w:r>
          </w:p>
        </w:tc>
        <w:tc>
          <w:tcPr>
            <w:tcW w:type="dxa" w:w="936"/>
            <w:tcMar>
              <w:top w:w="100" w:type="dxa"/>
              <w:start w:w="120" w:type="dxa"/>
              <w:bottom w:w="100" w:type="dxa"/>
              <w:end w:w="120" w:type="dxa"/>
            </w:tcMar>
            <w:vAlign w:val="center"/>
            <w:shd w:fill="EAF1F8"/>
          </w:tcPr>
          <w:p>
            <w:pPr>
              <w:spacing w:after="20" w:line="252" w:lineRule="auto"/>
            </w:pPr>
            <w:r>
              <w:rPr>
                <w:sz w:val="18"/>
              </w:rPr>
              <w:t>V4</w:t>
            </w:r>
          </w:p>
        </w:tc>
        <w:tc>
          <w:tcPr>
            <w:tcW w:type="dxa" w:w="8496"/>
            <w:tcMar>
              <w:top w:w="100" w:type="dxa"/>
              <w:start w:w="120" w:type="dxa"/>
              <w:bottom w:w="100" w:type="dxa"/>
              <w:end w:w="120" w:type="dxa"/>
            </w:tcMar>
            <w:vAlign w:val="center"/>
            <w:shd w:fill="EAF1F8"/>
          </w:tcPr>
          <w:p>
            <w:pPr>
              <w:spacing w:after="20" w:line="252" w:lineRule="auto"/>
            </w:pPr>
            <w:r>
              <w:rPr>
                <w:sz w:val="18"/>
              </w:rPr>
              <w:t>Three dimensional shock front and multi observer encounters</w:t>
            </w:r>
          </w:p>
        </w:tc>
      </w:tr>
      <w:tr>
        <w:trPr>
          <w:cantSplit/>
        </w:trPr>
        <w:tc>
          <w:tcPr>
            <w:tcW w:type="dxa" w:w="936"/>
            <w:tcMar>
              <w:top w:w="100" w:type="dxa"/>
              <w:start w:w="120" w:type="dxa"/>
              <w:bottom w:w="100" w:type="dxa"/>
              <w:end w:w="120" w:type="dxa"/>
            </w:tcMar>
            <w:vAlign w:val="center"/>
          </w:tcPr>
          <w:p>
            <w:pPr>
              <w:spacing w:after="20" w:line="252" w:lineRule="auto"/>
            </w:pPr>
            <w:r>
              <w:rPr>
                <w:sz w:val="18"/>
              </w:rPr>
              <w:t>VP09</w:t>
            </w:r>
          </w:p>
        </w:tc>
        <w:tc>
          <w:tcPr>
            <w:tcW w:type="dxa" w:w="936"/>
            <w:tcMar>
              <w:top w:w="100" w:type="dxa"/>
              <w:start w:w="120" w:type="dxa"/>
              <w:bottom w:w="100" w:type="dxa"/>
              <w:end w:w="120" w:type="dxa"/>
            </w:tcMar>
            <w:vAlign w:val="center"/>
          </w:tcPr>
          <w:p>
            <w:pPr>
              <w:spacing w:after="20" w:line="252" w:lineRule="auto"/>
            </w:pPr>
            <w:r>
              <w:rPr>
                <w:sz w:val="18"/>
              </w:rPr>
              <w:t>V4</w:t>
            </w:r>
          </w:p>
        </w:tc>
        <w:tc>
          <w:tcPr>
            <w:tcW w:type="dxa" w:w="8496"/>
            <w:tcMar>
              <w:top w:w="100" w:type="dxa"/>
              <w:start w:w="120" w:type="dxa"/>
              <w:bottom w:w="100" w:type="dxa"/>
              <w:end w:w="120" w:type="dxa"/>
            </w:tcMar>
            <w:vAlign w:val="center"/>
          </w:tcPr>
          <w:p>
            <w:pPr>
              <w:spacing w:after="20" w:line="252" w:lineRule="auto"/>
            </w:pPr>
            <w:r>
              <w:rPr>
                <w:sz w:val="18"/>
              </w:rPr>
              <w:t>Sheath ejecta and region boundary profiles</w:t>
            </w:r>
          </w:p>
        </w:tc>
      </w:tr>
      <w:tr>
        <w:trPr>
          <w:cantSplit/>
        </w:trPr>
        <w:tc>
          <w:tcPr>
            <w:tcW w:type="dxa" w:w="936"/>
            <w:tcMar>
              <w:top w:w="100" w:type="dxa"/>
              <w:start w:w="120" w:type="dxa"/>
              <w:bottom w:w="100" w:type="dxa"/>
              <w:end w:w="120" w:type="dxa"/>
            </w:tcMar>
            <w:vAlign w:val="center"/>
            <w:shd w:fill="EAF1F8"/>
          </w:tcPr>
          <w:p>
            <w:pPr>
              <w:spacing w:after="20" w:line="252" w:lineRule="auto"/>
            </w:pPr>
            <w:r>
              <w:rPr>
                <w:sz w:val="18"/>
              </w:rPr>
              <w:t>VP10</w:t>
            </w:r>
          </w:p>
        </w:tc>
        <w:tc>
          <w:tcPr>
            <w:tcW w:type="dxa" w:w="936"/>
            <w:tcMar>
              <w:top w:w="100" w:type="dxa"/>
              <w:start w:w="120" w:type="dxa"/>
              <w:bottom w:w="100" w:type="dxa"/>
              <w:end w:w="120" w:type="dxa"/>
            </w:tcMar>
            <w:vAlign w:val="center"/>
            <w:shd w:fill="EAF1F8"/>
          </w:tcPr>
          <w:p>
            <w:pPr>
              <w:spacing w:after="20" w:line="252" w:lineRule="auto"/>
            </w:pPr>
            <w:r>
              <w:rPr>
                <w:sz w:val="18"/>
              </w:rPr>
              <w:t>V5</w:t>
            </w:r>
          </w:p>
        </w:tc>
        <w:tc>
          <w:tcPr>
            <w:tcW w:type="dxa" w:w="8496"/>
            <w:tcMar>
              <w:top w:w="100" w:type="dxa"/>
              <w:start w:w="120" w:type="dxa"/>
              <w:bottom w:w="100" w:type="dxa"/>
              <w:end w:w="120" w:type="dxa"/>
            </w:tcMar>
            <w:vAlign w:val="center"/>
            <w:shd w:fill="EAF1F8"/>
          </w:tcPr>
          <w:p>
            <w:pPr>
              <w:spacing w:after="20" w:line="252" w:lineRule="auto"/>
            </w:pPr>
            <w:r>
              <w:rPr>
                <w:sz w:val="18"/>
              </w:rPr>
              <w:t>Parker field line mapping path length and focusing</w:t>
            </w:r>
          </w:p>
        </w:tc>
      </w:tr>
      <w:tr>
        <w:trPr>
          <w:cantSplit/>
        </w:trPr>
        <w:tc>
          <w:tcPr>
            <w:tcW w:type="dxa" w:w="936"/>
            <w:tcMar>
              <w:top w:w="100" w:type="dxa"/>
              <w:start w:w="120" w:type="dxa"/>
              <w:bottom w:w="100" w:type="dxa"/>
              <w:end w:w="120" w:type="dxa"/>
            </w:tcMar>
            <w:vAlign w:val="center"/>
          </w:tcPr>
          <w:p>
            <w:pPr>
              <w:spacing w:after="20" w:line="252" w:lineRule="auto"/>
            </w:pPr>
            <w:r>
              <w:rPr>
                <w:sz w:val="18"/>
              </w:rPr>
              <w:t>VP11</w:t>
            </w:r>
          </w:p>
        </w:tc>
        <w:tc>
          <w:tcPr>
            <w:tcW w:type="dxa" w:w="936"/>
            <w:tcMar>
              <w:top w:w="100" w:type="dxa"/>
              <w:start w:w="120" w:type="dxa"/>
              <w:bottom w:w="100" w:type="dxa"/>
              <w:end w:w="120" w:type="dxa"/>
            </w:tcMar>
            <w:vAlign w:val="center"/>
          </w:tcPr>
          <w:p>
            <w:pPr>
              <w:spacing w:after="20" w:line="252" w:lineRule="auto"/>
            </w:pPr>
            <w:r>
              <w:rPr>
                <w:sz w:val="18"/>
              </w:rPr>
              <w:t>V5</w:t>
            </w:r>
          </w:p>
        </w:tc>
        <w:tc>
          <w:tcPr>
            <w:tcW w:type="dxa" w:w="8496"/>
            <w:tcMar>
              <w:top w:w="100" w:type="dxa"/>
              <w:start w:w="120" w:type="dxa"/>
              <w:bottom w:w="100" w:type="dxa"/>
              <w:end w:w="120" w:type="dxa"/>
            </w:tcMar>
            <w:vAlign w:val="center"/>
          </w:tcPr>
          <w:p>
            <w:pPr>
              <w:spacing w:after="20" w:line="252" w:lineRule="auto"/>
            </w:pPr>
            <w:r>
              <w:rPr>
                <w:sz w:val="18"/>
              </w:rPr>
              <w:t>Magnetic connectivity history and observed SEP access</w:t>
            </w:r>
          </w:p>
        </w:tc>
      </w:tr>
      <w:tr>
        <w:trPr>
          <w:cantSplit/>
        </w:trPr>
        <w:tc>
          <w:tcPr>
            <w:tcW w:type="dxa" w:w="936"/>
            <w:tcMar>
              <w:top w:w="100" w:type="dxa"/>
              <w:start w:w="120" w:type="dxa"/>
              <w:bottom w:w="100" w:type="dxa"/>
              <w:end w:w="120" w:type="dxa"/>
            </w:tcMar>
            <w:vAlign w:val="center"/>
            <w:shd w:fill="EAF1F8"/>
          </w:tcPr>
          <w:p>
            <w:pPr>
              <w:spacing w:after="20" w:line="252" w:lineRule="auto"/>
            </w:pPr>
            <w:r>
              <w:rPr>
                <w:sz w:val="18"/>
              </w:rPr>
              <w:t>VP12</w:t>
            </w:r>
          </w:p>
        </w:tc>
        <w:tc>
          <w:tcPr>
            <w:tcW w:type="dxa" w:w="936"/>
            <w:tcMar>
              <w:top w:w="100" w:type="dxa"/>
              <w:start w:w="120" w:type="dxa"/>
              <w:bottom w:w="100" w:type="dxa"/>
              <w:end w:w="120" w:type="dxa"/>
            </w:tcMar>
            <w:vAlign w:val="center"/>
            <w:shd w:fill="EAF1F8"/>
          </w:tcPr>
          <w:p>
            <w:pPr>
              <w:spacing w:after="20" w:line="252" w:lineRule="auto"/>
            </w:pPr>
            <w:r>
              <w:rPr>
                <w:sz w:val="18"/>
              </w:rPr>
              <w:t>V6</w:t>
            </w:r>
          </w:p>
        </w:tc>
        <w:tc>
          <w:tcPr>
            <w:tcW w:type="dxa" w:w="8496"/>
            <w:tcMar>
              <w:top w:w="100" w:type="dxa"/>
              <w:start w:w="120" w:type="dxa"/>
              <w:bottom w:w="100" w:type="dxa"/>
              <w:end w:w="120" w:type="dxa"/>
            </w:tcMar>
            <w:vAlign w:val="center"/>
            <w:shd w:fill="EAF1F8"/>
          </w:tcPr>
          <w:p>
            <w:pPr>
              <w:spacing w:after="20" w:line="252" w:lineRule="auto"/>
            </w:pPr>
            <w:r>
              <w:rPr>
                <w:sz w:val="18"/>
              </w:rPr>
              <w:t>SEP source record identity and near shock source spectrum</w:t>
            </w:r>
          </w:p>
        </w:tc>
      </w:tr>
      <w:tr>
        <w:trPr>
          <w:cantSplit/>
        </w:trPr>
        <w:tc>
          <w:tcPr>
            <w:tcW w:type="dxa" w:w="936"/>
            <w:tcMar>
              <w:top w:w="100" w:type="dxa"/>
              <w:start w:w="120" w:type="dxa"/>
              <w:bottom w:w="100" w:type="dxa"/>
              <w:end w:w="120" w:type="dxa"/>
            </w:tcMar>
            <w:vAlign w:val="center"/>
          </w:tcPr>
          <w:p>
            <w:pPr>
              <w:spacing w:after="20" w:line="252" w:lineRule="auto"/>
            </w:pPr>
            <w:r>
              <w:rPr>
                <w:sz w:val="18"/>
              </w:rPr>
              <w:t>VP13</w:t>
            </w:r>
          </w:p>
        </w:tc>
        <w:tc>
          <w:tcPr>
            <w:tcW w:type="dxa" w:w="936"/>
            <w:tcMar>
              <w:top w:w="100" w:type="dxa"/>
              <w:start w:w="120" w:type="dxa"/>
              <w:bottom w:w="100" w:type="dxa"/>
              <w:end w:w="120" w:type="dxa"/>
            </w:tcMar>
            <w:vAlign w:val="center"/>
          </w:tcPr>
          <w:p>
            <w:pPr>
              <w:spacing w:after="20" w:line="252" w:lineRule="auto"/>
            </w:pPr>
            <w:r>
              <w:rPr>
                <w:sz w:val="18"/>
              </w:rPr>
              <w:t>V6</w:t>
            </w:r>
          </w:p>
        </w:tc>
        <w:tc>
          <w:tcPr>
            <w:tcW w:type="dxa" w:w="8496"/>
            <w:tcMar>
              <w:top w:w="100" w:type="dxa"/>
              <w:start w:w="120" w:type="dxa"/>
              <w:bottom w:w="100" w:type="dxa"/>
              <w:end w:w="120" w:type="dxa"/>
            </w:tcMar>
            <w:vAlign w:val="center"/>
          </w:tcPr>
          <w:p>
            <w:pPr>
              <w:spacing w:after="20" w:line="252" w:lineRule="auto"/>
            </w:pPr>
            <w:r>
              <w:rPr>
                <w:sz w:val="18"/>
              </w:rPr>
              <w:t>Controlled one dimensional and three dimensional AMPS transport equivalence</w:t>
            </w:r>
          </w:p>
        </w:tc>
      </w:tr>
      <w:tr>
        <w:trPr>
          <w:cantSplit/>
        </w:trPr>
        <w:tc>
          <w:tcPr>
            <w:tcW w:type="dxa" w:w="936"/>
            <w:tcMar>
              <w:top w:w="100" w:type="dxa"/>
              <w:start w:w="120" w:type="dxa"/>
              <w:bottom w:w="100" w:type="dxa"/>
              <w:end w:w="120" w:type="dxa"/>
            </w:tcMar>
            <w:vAlign w:val="center"/>
            <w:shd w:fill="EAF1F8"/>
          </w:tcPr>
          <w:p>
            <w:pPr>
              <w:spacing w:after="20" w:line="252" w:lineRule="auto"/>
            </w:pPr>
            <w:r>
              <w:rPr>
                <w:sz w:val="18"/>
              </w:rPr>
              <w:t>VP14</w:t>
            </w:r>
          </w:p>
        </w:tc>
        <w:tc>
          <w:tcPr>
            <w:tcW w:type="dxa" w:w="936"/>
            <w:tcMar>
              <w:top w:w="100" w:type="dxa"/>
              <w:start w:w="120" w:type="dxa"/>
              <w:bottom w:w="100" w:type="dxa"/>
              <w:end w:w="120" w:type="dxa"/>
            </w:tcMar>
            <w:vAlign w:val="center"/>
            <w:shd w:fill="EAF1F8"/>
          </w:tcPr>
          <w:p>
            <w:pPr>
              <w:spacing w:after="20" w:line="252" w:lineRule="auto"/>
            </w:pPr>
            <w:r>
              <w:rPr>
                <w:sz w:val="18"/>
              </w:rPr>
              <w:t>V6</w:t>
            </w:r>
          </w:p>
        </w:tc>
        <w:tc>
          <w:tcPr>
            <w:tcW w:type="dxa" w:w="8496"/>
            <w:tcMar>
              <w:top w:w="100" w:type="dxa"/>
              <w:start w:w="120" w:type="dxa"/>
              <w:bottom w:w="100" w:type="dxa"/>
              <w:end w:w="120" w:type="dxa"/>
            </w:tcMar>
            <w:vAlign w:val="center"/>
            <w:shd w:fill="EAF1F8"/>
          </w:tcPr>
          <w:p>
            <w:pPr>
              <w:spacing w:after="20" w:line="252" w:lineRule="auto"/>
            </w:pPr>
            <w:r>
              <w:rPr>
                <w:sz w:val="18"/>
              </w:rPr>
              <w:t>Perpendicular diffusion and multi spacecraft SEP spread</w:t>
            </w:r>
          </w:p>
        </w:tc>
      </w:tr>
      <w:tr>
        <w:trPr>
          <w:cantSplit/>
        </w:trPr>
        <w:tc>
          <w:tcPr>
            <w:tcW w:type="dxa" w:w="936"/>
            <w:tcMar>
              <w:top w:w="100" w:type="dxa"/>
              <w:start w:w="120" w:type="dxa"/>
              <w:bottom w:w="100" w:type="dxa"/>
              <w:end w:w="120" w:type="dxa"/>
            </w:tcMar>
            <w:vAlign w:val="center"/>
          </w:tcPr>
          <w:p>
            <w:pPr>
              <w:spacing w:after="20" w:line="252" w:lineRule="auto"/>
            </w:pPr>
            <w:r>
              <w:rPr>
                <w:sz w:val="18"/>
              </w:rPr>
              <w:t>VP15</w:t>
            </w:r>
          </w:p>
        </w:tc>
        <w:tc>
          <w:tcPr>
            <w:tcW w:type="dxa" w:w="936"/>
            <w:tcMar>
              <w:top w:w="100" w:type="dxa"/>
              <w:start w:w="120" w:type="dxa"/>
              <w:bottom w:w="100" w:type="dxa"/>
              <w:end w:w="120" w:type="dxa"/>
            </w:tcMar>
            <w:vAlign w:val="center"/>
          </w:tcPr>
          <w:p>
            <w:pPr>
              <w:spacing w:after="20" w:line="252" w:lineRule="auto"/>
            </w:pPr>
            <w:r>
              <w:rPr>
                <w:sz w:val="18"/>
              </w:rPr>
              <w:t>V6</w:t>
            </w:r>
          </w:p>
        </w:tc>
        <w:tc>
          <w:tcPr>
            <w:tcW w:type="dxa" w:w="8496"/>
            <w:tcMar>
              <w:top w:w="100" w:type="dxa"/>
              <w:start w:w="120" w:type="dxa"/>
              <w:bottom w:w="100" w:type="dxa"/>
              <w:end w:w="120" w:type="dxa"/>
            </w:tcMar>
            <w:vAlign w:val="center"/>
          </w:tcPr>
          <w:p>
            <w:pPr>
              <w:spacing w:after="20" w:line="252" w:lineRule="auto"/>
            </w:pPr>
            <w:r>
              <w:rPr>
                <w:sz w:val="18"/>
              </w:rPr>
              <w:t>SEP intensity time profile spectrum peak and fluence</w:t>
            </w:r>
          </w:p>
        </w:tc>
      </w:tr>
      <w:tr>
        <w:trPr>
          <w:cantSplit/>
        </w:trPr>
        <w:tc>
          <w:tcPr>
            <w:tcW w:type="dxa" w:w="936"/>
            <w:tcMar>
              <w:top w:w="100" w:type="dxa"/>
              <w:start w:w="120" w:type="dxa"/>
              <w:bottom w:w="100" w:type="dxa"/>
              <w:end w:w="120" w:type="dxa"/>
            </w:tcMar>
            <w:vAlign w:val="center"/>
            <w:shd w:fill="EAF1F8"/>
          </w:tcPr>
          <w:p>
            <w:pPr>
              <w:spacing w:after="20" w:line="252" w:lineRule="auto"/>
            </w:pPr>
            <w:r>
              <w:rPr>
                <w:sz w:val="18"/>
              </w:rPr>
              <w:t>VP16</w:t>
            </w:r>
          </w:p>
        </w:tc>
        <w:tc>
          <w:tcPr>
            <w:tcW w:type="dxa" w:w="936"/>
            <w:tcMar>
              <w:top w:w="100" w:type="dxa"/>
              <w:start w:w="120" w:type="dxa"/>
              <w:bottom w:w="100" w:type="dxa"/>
              <w:end w:w="120" w:type="dxa"/>
            </w:tcMar>
            <w:vAlign w:val="center"/>
            <w:shd w:fill="EAF1F8"/>
          </w:tcPr>
          <w:p>
            <w:pPr>
              <w:spacing w:after="20" w:line="252" w:lineRule="auto"/>
            </w:pPr>
            <w:r>
              <w:rPr>
                <w:sz w:val="18"/>
              </w:rPr>
              <w:t>Campaign</w:t>
            </w:r>
          </w:p>
        </w:tc>
        <w:tc>
          <w:tcPr>
            <w:tcW w:type="dxa" w:w="8496"/>
            <w:tcMar>
              <w:top w:w="100" w:type="dxa"/>
              <w:start w:w="120" w:type="dxa"/>
              <w:bottom w:w="100" w:type="dxa"/>
              <w:end w:w="120" w:type="dxa"/>
            </w:tcMar>
            <w:vAlign w:val="center"/>
            <w:shd w:fill="EAF1F8"/>
          </w:tcPr>
          <w:p>
            <w:pPr>
              <w:spacing w:after="20" w:line="252" w:lineRule="auto"/>
            </w:pPr>
            <w:r>
              <w:rPr>
                <w:sz w:val="18"/>
              </w:rPr>
              <w:t>Held out multi event and cross model skill assessment</w:t>
            </w:r>
          </w:p>
        </w:tc>
      </w:tr>
    </w:tbl>
    <w:p>
      <w:pPr>
        <w:pStyle w:val="Heading1"/>
        <w:pageBreakBefore/>
        <w:keepNext/>
      </w:pPr>
      <w:r>
        <w:t>1 Validation purpose and decision rules</w:t>
      </w:r>
    </w:p>
    <w:p>
      <w:pPr>
        <w:pStyle w:val="Heading2"/>
        <w:keepNext/>
      </w:pPr>
      <w:r>
        <w:t>1.1 Purpose</w:t>
      </w:r>
    </w:p>
    <w:p>
      <w:r>
        <w:t>This plan converts the implemented V1-V6 campaign infrastructure into a scientific comparison program. It identifies the observation or independent model used for every comparison, the preprocessing required to make quantities commensurate, quantitative metrics, proposed acceptance thresholds, and the scientific conclusion supported by each result.</w:t>
      </w:r>
    </w:p>
    <w:p>
      <w:pPr>
        <w:pStyle w:val="Heading2"/>
        <w:keepNext/>
      </w:pPr>
      <w:r>
        <w:t>1.2 Result classes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rPr>
          <w:cantSplit/>
        </w:trPr>
        <w:tc>
          <w:tcPr>
            <w:tcW w:type="dxa" w:w="1944"/>
            <w:shd w:fill="17365D"/>
            <w:tcMar>
              <w:top w:w="100" w:type="dxa"/>
              <w:start w:w="120" w:type="dxa"/>
              <w:bottom w:w="100" w:type="dxa"/>
              <w:end w:w="120" w:type="dxa"/>
            </w:tcMar>
            <w:vAlign w:val="center"/>
          </w:tcPr>
          <w:p>
            <w:pPr>
              <w:spacing w:after="20" w:line="252" w:lineRule="auto"/>
            </w:pPr>
            <w:r>
              <w:rPr>
                <w:b/>
                <w:color w:val="FFFFFF"/>
              </w:rPr>
              <w:t>Class</w:t>
            </w:r>
          </w:p>
        </w:tc>
        <w:tc>
          <w:tcPr>
            <w:tcW w:type="dxa" w:w="8424"/>
            <w:shd w:fill="17365D"/>
            <w:tcMar>
              <w:top w:w="100" w:type="dxa"/>
              <w:start w:w="120" w:type="dxa"/>
              <w:bottom w:w="100" w:type="dxa"/>
              <w:end w:w="120" w:type="dxa"/>
            </w:tcMar>
            <w:vAlign w:val="center"/>
          </w:tcPr>
          <w:p>
            <w:pPr>
              <w:spacing w:after="20" w:line="252" w:lineRule="auto"/>
            </w:pPr>
            <w:r>
              <w:rPr>
                <w:b/>
                <w:color w:val="FFFFFF"/>
              </w:rPr>
              <w:t>Meaning</w:t>
            </w:r>
          </w:p>
        </w:tc>
      </w:tr>
      <w:tr>
        <w:trPr>
          <w:cantSplit/>
        </w:trPr>
        <w:tc>
          <w:tcPr>
            <w:tcW w:type="dxa" w:w="1944"/>
            <w:tcMar>
              <w:top w:w="100" w:type="dxa"/>
              <w:start w:w="120" w:type="dxa"/>
              <w:bottom w:w="100" w:type="dxa"/>
              <w:end w:w="120" w:type="dxa"/>
            </w:tcMar>
            <w:vAlign w:val="center"/>
          </w:tcPr>
          <w:p>
            <w:pPr>
              <w:spacing w:after="20" w:line="252" w:lineRule="auto"/>
            </w:pPr>
            <w:r>
              <w:t>PASS</w:t>
            </w:r>
          </w:p>
        </w:tc>
        <w:tc>
          <w:tcPr>
            <w:tcW w:type="dxa" w:w="8424"/>
            <w:tcMar>
              <w:top w:w="100" w:type="dxa"/>
              <w:start w:w="120" w:type="dxa"/>
              <w:bottom w:w="100" w:type="dxa"/>
              <w:end w:w="120" w:type="dxa"/>
            </w:tcMar>
            <w:vAlign w:val="center"/>
          </w:tcPr>
          <w:p>
            <w:pPr>
              <w:spacing w:after="20" w:line="252" w:lineRule="auto"/>
            </w:pPr>
            <w:r>
              <w:t>All mandatory evidence is present and every primary frozen threshold is met.</w:t>
            </w:r>
          </w:p>
        </w:tc>
      </w:tr>
      <w:tr>
        <w:trPr>
          <w:cantSplit/>
        </w:trPr>
        <w:tc>
          <w:tcPr>
            <w:tcW w:type="dxa" w:w="1944"/>
            <w:tcMar>
              <w:top w:w="100" w:type="dxa"/>
              <w:start w:w="120" w:type="dxa"/>
              <w:bottom w:w="100" w:type="dxa"/>
              <w:end w:w="120" w:type="dxa"/>
            </w:tcMar>
            <w:shd w:fill="F5F6F7"/>
            <w:vAlign w:val="center"/>
          </w:tcPr>
          <w:p>
            <w:pPr>
              <w:spacing w:after="20" w:line="252" w:lineRule="auto"/>
            </w:pPr>
            <w:r>
              <w:t>FAIL</w:t>
            </w:r>
          </w:p>
        </w:tc>
        <w:tc>
          <w:tcPr>
            <w:tcW w:type="dxa" w:w="8424"/>
            <w:tcMar>
              <w:top w:w="100" w:type="dxa"/>
              <w:start w:w="120" w:type="dxa"/>
              <w:bottom w:w="100" w:type="dxa"/>
              <w:end w:w="120" w:type="dxa"/>
            </w:tcMar>
            <w:shd w:fill="F5F6F7"/>
            <w:vAlign w:val="center"/>
          </w:tcPr>
          <w:p>
            <w:pPr>
              <w:spacing w:after="20" w:line="252" w:lineRule="auto"/>
            </w:pPr>
            <w:r>
              <w:t>Evidence is complete and at least one mandatory scientific or numerical threshold is violated.</w:t>
            </w:r>
          </w:p>
        </w:tc>
      </w:tr>
      <w:tr>
        <w:trPr>
          <w:cantSplit/>
        </w:trPr>
        <w:tc>
          <w:tcPr>
            <w:tcW w:type="dxa" w:w="1944"/>
            <w:tcMar>
              <w:top w:w="100" w:type="dxa"/>
              <w:start w:w="120" w:type="dxa"/>
              <w:bottom w:w="100" w:type="dxa"/>
              <w:end w:w="120" w:type="dxa"/>
            </w:tcMar>
            <w:vAlign w:val="center"/>
          </w:tcPr>
          <w:p>
            <w:pPr>
              <w:spacing w:after="20" w:line="252" w:lineRule="auto"/>
            </w:pPr>
            <w:r>
              <w:t>INCOMPLETE</w:t>
            </w:r>
          </w:p>
        </w:tc>
        <w:tc>
          <w:tcPr>
            <w:tcW w:type="dxa" w:w="8424"/>
            <w:tcMar>
              <w:top w:w="100" w:type="dxa"/>
              <w:start w:w="120" w:type="dxa"/>
              <w:bottom w:w="100" w:type="dxa"/>
              <w:end w:w="120" w:type="dxa"/>
            </w:tcMar>
            <w:vAlign w:val="center"/>
          </w:tcPr>
          <w:p>
            <w:pPr>
              <w:spacing w:after="20" w:line="252" w:lineRule="auto"/>
            </w:pPr>
            <w:r>
              <w:t>The test is understood but required data, uncertainty, convergence, or provenance is missing.</w:t>
            </w:r>
          </w:p>
        </w:tc>
      </w:tr>
      <w:tr>
        <w:trPr>
          <w:cantSplit/>
        </w:trPr>
        <w:tc>
          <w:tcPr>
            <w:tcW w:type="dxa" w:w="1944"/>
            <w:tcMar>
              <w:top w:w="100" w:type="dxa"/>
              <w:start w:w="120" w:type="dxa"/>
              <w:bottom w:w="100" w:type="dxa"/>
              <w:end w:w="120" w:type="dxa"/>
            </w:tcMar>
            <w:shd w:fill="F5F6F7"/>
            <w:vAlign w:val="center"/>
          </w:tcPr>
          <w:p>
            <w:pPr>
              <w:spacing w:after="20" w:line="252" w:lineRule="auto"/>
            </w:pPr>
            <w:r>
              <w:t>NOT APPLICABLE</w:t>
            </w:r>
          </w:p>
        </w:tc>
        <w:tc>
          <w:tcPr>
            <w:tcW w:type="dxa" w:w="8424"/>
            <w:tcMar>
              <w:top w:w="100" w:type="dxa"/>
              <w:start w:w="120" w:type="dxa"/>
              <w:bottom w:w="100" w:type="dxa"/>
              <w:end w:w="120" w:type="dxa"/>
            </w:tcMar>
            <w:shd w:fill="F5F6F7"/>
            <w:vAlign w:val="center"/>
          </w:tcPr>
          <w:p>
            <w:pPr>
              <w:spacing w:after="20" w:line="252" w:lineRule="auto"/>
            </w:pPr>
            <w:r>
              <w:t>A justified nonrelease test does not use the comparison; V1-V6 may not be omitted from release validation.</w:t>
            </w:r>
          </w:p>
        </w:tc>
      </w:tr>
      <w:tr>
        <w:trPr>
          <w:cantSplit/>
        </w:trPr>
        <w:tc>
          <w:tcPr>
            <w:tcW w:type="dxa" w:w="1944"/>
            <w:tcMar>
              <w:top w:w="100" w:type="dxa"/>
              <w:start w:w="120" w:type="dxa"/>
              <w:bottom w:w="100" w:type="dxa"/>
              <w:end w:w="120" w:type="dxa"/>
            </w:tcMar>
            <w:vAlign w:val="center"/>
          </w:tcPr>
          <w:p>
            <w:pPr>
              <w:spacing w:after="20" w:line="252" w:lineRule="auto"/>
            </w:pPr>
            <w:r>
              <w:t>ERROR</w:t>
            </w:r>
          </w:p>
        </w:tc>
        <w:tc>
          <w:tcPr>
            <w:tcW w:type="dxa" w:w="8424"/>
            <w:tcMar>
              <w:top w:w="100" w:type="dxa"/>
              <w:start w:w="120" w:type="dxa"/>
              <w:bottom w:w="100" w:type="dxa"/>
              <w:end w:w="120" w:type="dxa"/>
            </w:tcMar>
            <w:vAlign w:val="center"/>
          </w:tcPr>
          <w:p>
            <w:pPr>
              <w:spacing w:after="20" w:line="252" w:lineRule="auto"/>
            </w:pPr>
            <w:r>
              <w:t>Input schema, execution, parsing, units, provenance, or analysis failed, so no scientific result is assigned.</w:t>
            </w:r>
          </w:p>
        </w:tc>
      </w:tr>
    </w:tbl>
    <w:p>
      <w:pPr>
        <w:pStyle w:val="Heading2"/>
        <w:keepNext/>
      </w:pPr>
      <w:r>
        <w:t>1.3 Rules that prevent false validation</w:t>
      </w:r>
    </w:p>
    <w:p>
      <w:pPr>
        <w:pStyle w:val="ListBullet"/>
        <w:spacing w:after="60"/>
      </w:pPr>
      <w:r>
        <w:t>Freeze event selection, preprocessing, model configuration, primary metrics, and thresholds before held-out runs.</w:t>
      </w:r>
    </w:p>
    <w:p>
      <w:pPr>
        <w:pStyle w:val="ListBullet"/>
        <w:spacing w:after="60"/>
      </w:pPr>
      <w:r>
        <w:t>Never use the same observation both to construct a DATA_DRIVEN trajectory and to claim independent validation of that trajectory.</w:t>
      </w:r>
    </w:p>
    <w:p>
      <w:pPr>
        <w:pStyle w:val="ListBullet"/>
        <w:spacing w:after="60"/>
      </w:pPr>
      <w:r>
        <w:t>Compare like quantities: common coordinates, time convention, units, cadence, spatial position, particle species, energy response, and event definition.</w:t>
      </w:r>
    </w:p>
    <w:p>
      <w:pPr>
        <w:pStyle w:val="ListBullet"/>
        <w:spacing w:after="60"/>
      </w:pPr>
      <w:r>
        <w:t>Preserve observation uncertainty, catalog disagreement, instrument quality flags, and model numerical uncertainty as separate fields.</w:t>
      </w:r>
    </w:p>
    <w:p>
      <w:pPr>
        <w:pStyle w:val="ListBullet"/>
        <w:spacing w:after="60"/>
      </w:pPr>
      <w:r>
        <w:t>Report all required events and observers, including misses, non-detections, failed runs, and out-of-domain states.</w:t>
      </w:r>
    </w:p>
    <w:p>
      <w:pPr>
        <w:pStyle w:val="ListBullet"/>
        <w:spacing w:after="60"/>
      </w:pPr>
      <w:r>
        <w:t>Do not tune transport to compensate for failed background, shock, geometry, connectivity, or source-interface gates.</w:t>
      </w:r>
    </w:p>
    <w:p>
      <w:pPr>
        <w:pStyle w:val="ListBullet"/>
        <w:spacing w:after="60"/>
      </w:pPr>
      <w:r>
        <w:t>Treat model-to-model agreement as consistency evidence. Observations remain necessary for physical validation.</w:t>
      </w:r>
    </w:p>
    <w:p>
      <w:pPr>
        <w:pStyle w:val="Heading1"/>
        <w:keepNext/>
      </w:pPr>
      <w:r>
        <w:t>2 Campaign data and event strategy</w:t>
      </w:r>
    </w:p>
    <w:p>
      <w:pPr>
        <w:pStyle w:val="Heading2"/>
        <w:keepNext/>
      </w:pPr>
      <w:r>
        <w:t>2.1 Event strata</w:t>
      </w:r>
    </w:p>
    <w:p>
      <w:r>
        <w:t>The campaign should include quiet background intervals, isolated CME-shock events, complex or interacting CMEs, broad multi-spacecraft SEP events, and modern inner-heliosphere encounters. Performance must be reported by stratum because a reduced model may be valid for an isolated event and outside scope for a strongly interacting event.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rPr>
          <w:tblHeader w:val="true"/>
          <w:cantSplit/>
        </w:trPr>
        <w:tc>
          <w:tcPr>
            <w:tcW w:type="dxa" w:w="1656"/>
            <w:shd w:fill="17365D"/>
            <w:tcMar>
              <w:top w:w="100" w:type="dxa"/>
              <w:start w:w="120" w:type="dxa"/>
              <w:bottom w:w="100" w:type="dxa"/>
              <w:end w:w="120" w:type="dxa"/>
            </w:tcMar>
            <w:vAlign w:val="center"/>
          </w:tcPr>
          <w:p>
            <w:pPr>
              <w:spacing w:after="20" w:line="252" w:lineRule="auto"/>
            </w:pPr>
            <w:r>
              <w:rPr>
                <w:b/>
                <w:color w:val="FFFFFF"/>
                <w:sz w:val="17"/>
              </w:rPr>
              <w:t>Role</w:t>
            </w:r>
          </w:p>
        </w:tc>
        <w:tc>
          <w:tcPr>
            <w:tcW w:type="dxa" w:w="2232"/>
            <w:shd w:fill="17365D"/>
            <w:tcMar>
              <w:top w:w="100" w:type="dxa"/>
              <w:start w:w="120" w:type="dxa"/>
              <w:bottom w:w="100" w:type="dxa"/>
              <w:end w:w="120" w:type="dxa"/>
            </w:tcMar>
            <w:vAlign w:val="center"/>
          </w:tcPr>
          <w:p>
            <w:pPr>
              <w:spacing w:after="20" w:line="252" w:lineRule="auto"/>
            </w:pPr>
            <w:r>
              <w:rPr>
                <w:b/>
                <w:color w:val="FFFFFF"/>
                <w:sz w:val="17"/>
              </w:rPr>
              <w:t>Candidate period</w:t>
            </w:r>
          </w:p>
        </w:tc>
        <w:tc>
          <w:tcPr>
            <w:tcW w:type="dxa" w:w="3240"/>
            <w:shd w:fill="17365D"/>
            <w:tcMar>
              <w:top w:w="100" w:type="dxa"/>
              <w:start w:w="120" w:type="dxa"/>
              <w:bottom w:w="100" w:type="dxa"/>
              <w:end w:w="120" w:type="dxa"/>
            </w:tcMar>
            <w:vAlign w:val="center"/>
          </w:tcPr>
          <w:p>
            <w:pPr>
              <w:spacing w:after="20" w:line="252" w:lineRule="auto"/>
            </w:pPr>
            <w:r>
              <w:rPr>
                <w:b/>
                <w:color w:val="FFFFFF"/>
                <w:sz w:val="17"/>
              </w:rPr>
              <w:t>Primary use</w:t>
            </w:r>
          </w:p>
        </w:tc>
        <w:tc>
          <w:tcPr>
            <w:tcW w:type="dxa" w:w="3240"/>
            <w:shd w:fill="17365D"/>
            <w:tcMar>
              <w:top w:w="100" w:type="dxa"/>
              <w:start w:w="120" w:type="dxa"/>
              <w:bottom w:w="100" w:type="dxa"/>
              <w:end w:w="120" w:type="dxa"/>
            </w:tcMar>
            <w:vAlign w:val="center"/>
          </w:tcPr>
          <w:p>
            <w:pPr>
              <w:spacing w:after="20" w:line="252" w:lineRule="auto"/>
            </w:pPr>
            <w:r>
              <w:rPr>
                <w:b/>
                <w:color w:val="FFFFFF"/>
                <w:sz w:val="17"/>
              </w:rPr>
              <w:t>Required observations</w:t>
            </w:r>
          </w:p>
        </w:tc>
      </w:tr>
      <w:tr>
        <w:trPr>
          <w:cantSplit/>
        </w:trPr>
        <w:tc>
          <w:tcPr>
            <w:tcW w:type="dxa" w:w="1656"/>
            <w:tcMar>
              <w:top w:w="100" w:type="dxa"/>
              <w:start w:w="120" w:type="dxa"/>
              <w:bottom w:w="100" w:type="dxa"/>
              <w:end w:w="120" w:type="dxa"/>
            </w:tcMar>
            <w:vAlign w:val="center"/>
          </w:tcPr>
          <w:p>
            <w:pPr>
              <w:spacing w:after="20" w:line="252" w:lineRule="auto"/>
            </w:pPr>
            <w:r>
              <w:rPr>
                <w:sz w:val="16"/>
              </w:rPr>
              <w:t>Background</w:t>
            </w:r>
          </w:p>
        </w:tc>
        <w:tc>
          <w:tcPr>
            <w:tcW w:type="dxa" w:w="2232"/>
            <w:tcMar>
              <w:top w:w="100" w:type="dxa"/>
              <w:start w:w="120" w:type="dxa"/>
              <w:bottom w:w="100" w:type="dxa"/>
              <w:end w:w="120" w:type="dxa"/>
            </w:tcMar>
            <w:vAlign w:val="center"/>
          </w:tcPr>
          <w:p>
            <w:pPr>
              <w:spacing w:after="20" w:line="252" w:lineRule="auto"/>
            </w:pPr>
            <w:r>
              <w:rPr>
                <w:sz w:val="16"/>
              </w:rPr>
              <w:t>Multiple quiet intervals</w:t>
            </w:r>
          </w:p>
        </w:tc>
        <w:tc>
          <w:tcPr>
            <w:tcW w:type="dxa" w:w="3240"/>
            <w:tcMar>
              <w:top w:w="100" w:type="dxa"/>
              <w:start w:w="120" w:type="dxa"/>
              <w:bottom w:w="100" w:type="dxa"/>
              <w:end w:w="120" w:type="dxa"/>
            </w:tcMar>
            <w:vAlign w:val="center"/>
          </w:tcPr>
          <w:p>
            <w:pPr>
              <w:spacing w:after="20" w:line="252" w:lineRule="auto"/>
            </w:pPr>
            <w:r>
              <w:rPr>
                <w:sz w:val="16"/>
              </w:rPr>
              <w:t>VP01-VP03 radial and regime statistics</w:t>
            </w:r>
          </w:p>
        </w:tc>
        <w:tc>
          <w:tcPr>
            <w:tcW w:type="dxa" w:w="3240"/>
            <w:tcMar>
              <w:top w:w="100" w:type="dxa"/>
              <w:start w:w="120" w:type="dxa"/>
              <w:bottom w:w="100" w:type="dxa"/>
              <w:end w:w="120" w:type="dxa"/>
            </w:tcMar>
            <w:vAlign w:val="center"/>
          </w:tcPr>
          <w:p>
            <w:pPr>
              <w:spacing w:after="20" w:line="252" w:lineRule="auto"/>
            </w:pPr>
            <w:r>
              <w:rPr>
                <w:sz w:val="16"/>
              </w:rPr>
              <w:t>Plasma plus field at multiple radii; ICME/SIR exclusion.</w:t>
            </w:r>
          </w:p>
        </w:tc>
      </w:tr>
      <w:tr>
        <w:trPr>
          <w:cantSplit/>
        </w:trPr>
        <w:tc>
          <w:tcPr>
            <w:tcW w:type="dxa" w:w="1656"/>
            <w:tcMar>
              <w:top w:w="100" w:type="dxa"/>
              <w:start w:w="120" w:type="dxa"/>
              <w:bottom w:w="100" w:type="dxa"/>
              <w:end w:w="120" w:type="dxa"/>
            </w:tcMar>
            <w:shd w:fill="EAF1F8"/>
            <w:vAlign w:val="center"/>
          </w:tcPr>
          <w:p>
            <w:pPr>
              <w:spacing w:after="20" w:line="252" w:lineRule="auto"/>
            </w:pPr>
            <w:r>
              <w:rPr>
                <w:sz w:val="16"/>
              </w:rPr>
              <w:t>Mandatory</w:t>
            </w:r>
          </w:p>
        </w:tc>
        <w:tc>
          <w:tcPr>
            <w:tcW w:type="dxa" w:w="2232"/>
            <w:tcMar>
              <w:top w:w="100" w:type="dxa"/>
              <w:start w:w="120" w:type="dxa"/>
              <w:bottom w:w="100" w:type="dxa"/>
              <w:end w:w="120" w:type="dxa"/>
            </w:tcMar>
            <w:shd w:fill="EAF1F8"/>
            <w:vAlign w:val="center"/>
          </w:tcPr>
          <w:p>
            <w:pPr>
              <w:spacing w:after="20" w:line="252" w:lineRule="auto"/>
            </w:pPr>
            <w:r>
              <w:rPr>
                <w:sz w:val="16"/>
              </w:rPr>
              <w:t>2010-09-09</w:t>
            </w:r>
          </w:p>
        </w:tc>
        <w:tc>
          <w:tcPr>
            <w:tcW w:type="dxa" w:w="3240"/>
            <w:tcMar>
              <w:top w:w="100" w:type="dxa"/>
              <w:start w:w="120" w:type="dxa"/>
              <w:bottom w:w="100" w:type="dxa"/>
              <w:end w:w="120" w:type="dxa"/>
            </w:tcMar>
            <w:shd w:fill="EAF1F8"/>
            <w:vAlign w:val="center"/>
          </w:tcPr>
          <w:p>
            <w:pPr>
              <w:spacing w:after="20" w:line="252" w:lineRule="auto"/>
            </w:pPr>
            <w:r>
              <w:rPr>
                <w:sz w:val="16"/>
              </w:rPr>
              <w:t>VP11 connectivity history</w:t>
            </w:r>
          </w:p>
        </w:tc>
        <w:tc>
          <w:tcPr>
            <w:tcW w:type="dxa" w:w="3240"/>
            <w:tcMar>
              <w:top w:w="100" w:type="dxa"/>
              <w:start w:w="120" w:type="dxa"/>
              <w:bottom w:w="100" w:type="dxa"/>
              <w:end w:w="120" w:type="dxa"/>
            </w:tcMar>
            <w:shd w:fill="EAF1F8"/>
            <w:vAlign w:val="center"/>
          </w:tcPr>
          <w:p>
            <w:pPr>
              <w:spacing w:after="20" w:line="252" w:lineRule="auto"/>
            </w:pPr>
            <w:r>
              <w:rPr>
                <w:sz w:val="16"/>
              </w:rPr>
              <w:t>STEREO A/B and near-Earth particle plus field context.</w:t>
            </w:r>
          </w:p>
        </w:tc>
      </w:tr>
      <w:tr>
        <w:trPr>
          <w:cantSplit/>
        </w:trPr>
        <w:tc>
          <w:tcPr>
            <w:tcW w:type="dxa" w:w="1656"/>
            <w:tcMar>
              <w:top w:w="100" w:type="dxa"/>
              <w:start w:w="120" w:type="dxa"/>
              <w:bottom w:w="100" w:type="dxa"/>
              <w:end w:w="120" w:type="dxa"/>
            </w:tcMar>
            <w:vAlign w:val="center"/>
          </w:tcPr>
          <w:p>
            <w:pPr>
              <w:spacing w:after="20" w:line="252" w:lineRule="auto"/>
            </w:pPr>
            <w:r>
              <w:rPr>
                <w:sz w:val="16"/>
              </w:rPr>
              <w:t>Calibration candidate</w:t>
            </w:r>
          </w:p>
        </w:tc>
        <w:tc>
          <w:tcPr>
            <w:tcW w:type="dxa" w:w="2232"/>
            <w:tcMar>
              <w:top w:w="100" w:type="dxa"/>
              <w:start w:w="120" w:type="dxa"/>
              <w:bottom w:w="100" w:type="dxa"/>
              <w:end w:w="120" w:type="dxa"/>
            </w:tcMar>
            <w:vAlign w:val="center"/>
          </w:tcPr>
          <w:p>
            <w:pPr>
              <w:spacing w:after="20" w:line="252" w:lineRule="auto"/>
            </w:pPr>
            <w:r>
              <w:rPr>
                <w:sz w:val="16"/>
              </w:rPr>
              <w:t>2013-04-11</w:t>
            </w:r>
          </w:p>
        </w:tc>
        <w:tc>
          <w:tcPr>
            <w:tcW w:type="dxa" w:w="3240"/>
            <w:tcMar>
              <w:top w:w="100" w:type="dxa"/>
              <w:start w:w="120" w:type="dxa"/>
              <w:bottom w:w="100" w:type="dxa"/>
              <w:end w:w="120" w:type="dxa"/>
            </w:tcMar>
            <w:vAlign w:val="center"/>
          </w:tcPr>
          <w:p>
            <w:pPr>
              <w:spacing w:after="20" w:line="252" w:lineRule="auto"/>
            </w:pPr>
            <w:r>
              <w:rPr>
                <w:sz w:val="16"/>
              </w:rPr>
              <w:t>Source and transport parameter rules</w:t>
            </w:r>
          </w:p>
        </w:tc>
        <w:tc>
          <w:tcPr>
            <w:tcW w:type="dxa" w:w="3240"/>
            <w:tcMar>
              <w:top w:w="100" w:type="dxa"/>
              <w:start w:w="120" w:type="dxa"/>
              <w:bottom w:w="100" w:type="dxa"/>
              <w:end w:w="120" w:type="dxa"/>
            </w:tcMar>
            <w:vAlign w:val="center"/>
          </w:tcPr>
          <w:p>
            <w:pPr>
              <w:spacing w:after="20" w:line="252" w:lineRule="auto"/>
            </w:pPr>
            <w:r>
              <w:rPr>
                <w:sz w:val="16"/>
              </w:rPr>
              <w:t>STEREO, SOHO/GOES, imaging and plasma context.</w:t>
            </w:r>
          </w:p>
        </w:tc>
      </w:tr>
      <w:tr>
        <w:trPr>
          <w:cantSplit/>
        </w:trPr>
        <w:tc>
          <w:tcPr>
            <w:tcW w:type="dxa" w:w="1656"/>
            <w:tcMar>
              <w:top w:w="100" w:type="dxa"/>
              <w:start w:w="120" w:type="dxa"/>
              <w:bottom w:w="100" w:type="dxa"/>
              <w:end w:w="120" w:type="dxa"/>
            </w:tcMar>
            <w:shd w:fill="EAF1F8"/>
            <w:vAlign w:val="center"/>
          </w:tcPr>
          <w:p>
            <w:pPr>
              <w:spacing w:after="20" w:line="252" w:lineRule="auto"/>
            </w:pPr>
            <w:r>
              <w:rPr>
                <w:sz w:val="16"/>
              </w:rPr>
              <w:t>Calibration stress</w:t>
            </w:r>
          </w:p>
        </w:tc>
        <w:tc>
          <w:tcPr>
            <w:tcW w:type="dxa" w:w="2232"/>
            <w:tcMar>
              <w:top w:w="100" w:type="dxa"/>
              <w:start w:w="120" w:type="dxa"/>
              <w:bottom w:w="100" w:type="dxa"/>
              <w:end w:w="120" w:type="dxa"/>
            </w:tcMar>
            <w:shd w:fill="EAF1F8"/>
            <w:vAlign w:val="center"/>
          </w:tcPr>
          <w:p>
            <w:pPr>
              <w:spacing w:after="20" w:line="252" w:lineRule="auto"/>
            </w:pPr>
            <w:r>
              <w:rPr>
                <w:sz w:val="16"/>
              </w:rPr>
              <w:t>2013-05-22/23</w:t>
            </w:r>
          </w:p>
        </w:tc>
        <w:tc>
          <w:tcPr>
            <w:tcW w:type="dxa" w:w="3240"/>
            <w:tcMar>
              <w:top w:w="100" w:type="dxa"/>
              <w:start w:w="120" w:type="dxa"/>
              <w:bottom w:w="100" w:type="dxa"/>
              <w:end w:w="120" w:type="dxa"/>
            </w:tcMar>
            <w:shd w:fill="EAF1F8"/>
            <w:vAlign w:val="center"/>
          </w:tcPr>
          <w:p>
            <w:pPr>
              <w:spacing w:after="20" w:line="252" w:lineRule="auto"/>
            </w:pPr>
            <w:r>
              <w:rPr>
                <w:sz w:val="16"/>
              </w:rPr>
              <w:t>Interacting/complex event sensitivity</w:t>
            </w:r>
          </w:p>
        </w:tc>
        <w:tc>
          <w:tcPr>
            <w:tcW w:type="dxa" w:w="3240"/>
            <w:tcMar>
              <w:top w:w="100" w:type="dxa"/>
              <w:start w:w="120" w:type="dxa"/>
              <w:bottom w:w="100" w:type="dxa"/>
              <w:end w:w="120" w:type="dxa"/>
            </w:tcMar>
            <w:shd w:fill="EAF1F8"/>
            <w:vAlign w:val="center"/>
          </w:tcPr>
          <w:p>
            <w:pPr>
              <w:spacing w:after="20" w:line="252" w:lineRule="auto"/>
            </w:pPr>
            <w:r>
              <w:rPr>
                <w:sz w:val="16"/>
              </w:rPr>
              <w:t>Coronagraph, heliospheric imaging and multi-observer data.</w:t>
            </w:r>
          </w:p>
        </w:tc>
      </w:tr>
      <w:tr>
        <w:trPr>
          <w:cantSplit/>
        </w:trPr>
        <w:tc>
          <w:tcPr>
            <w:tcW w:type="dxa" w:w="1656"/>
            <w:tcMar>
              <w:top w:w="100" w:type="dxa"/>
              <w:start w:w="120" w:type="dxa"/>
              <w:bottom w:w="100" w:type="dxa"/>
              <w:end w:w="120" w:type="dxa"/>
            </w:tcMar>
            <w:vAlign w:val="center"/>
          </w:tcPr>
          <w:p>
            <w:pPr>
              <w:spacing w:after="20" w:line="252" w:lineRule="auto"/>
            </w:pPr>
            <w:r>
              <w:rPr>
                <w:sz w:val="16"/>
              </w:rPr>
              <w:t>Held out candidate</w:t>
            </w:r>
          </w:p>
        </w:tc>
        <w:tc>
          <w:tcPr>
            <w:tcW w:type="dxa" w:w="2232"/>
            <w:tcMar>
              <w:top w:w="100" w:type="dxa"/>
              <w:start w:w="120" w:type="dxa"/>
              <w:bottom w:w="100" w:type="dxa"/>
              <w:end w:w="120" w:type="dxa"/>
            </w:tcMar>
            <w:vAlign w:val="center"/>
          </w:tcPr>
          <w:p>
            <w:pPr>
              <w:spacing w:after="20" w:line="252" w:lineRule="auto"/>
            </w:pPr>
            <w:r>
              <w:rPr>
                <w:sz w:val="16"/>
              </w:rPr>
              <w:t>2014-01-06/09</w:t>
            </w:r>
          </w:p>
        </w:tc>
        <w:tc>
          <w:tcPr>
            <w:tcW w:type="dxa" w:w="3240"/>
            <w:tcMar>
              <w:top w:w="100" w:type="dxa"/>
              <w:start w:w="120" w:type="dxa"/>
              <w:bottom w:w="100" w:type="dxa"/>
              <w:end w:w="120" w:type="dxa"/>
            </w:tcMar>
            <w:vAlign w:val="center"/>
          </w:tcPr>
          <w:p>
            <w:pPr>
              <w:spacing w:after="20" w:line="252" w:lineRule="auto"/>
            </w:pPr>
            <w:r>
              <w:rPr>
                <w:sz w:val="16"/>
              </w:rPr>
              <w:t>Geometry and longitudinal-access generalization</w:t>
            </w:r>
          </w:p>
        </w:tc>
        <w:tc>
          <w:tcPr>
            <w:tcW w:type="dxa" w:w="3240"/>
            <w:tcMar>
              <w:top w:w="100" w:type="dxa"/>
              <w:start w:w="120" w:type="dxa"/>
              <w:bottom w:w="100" w:type="dxa"/>
              <w:end w:w="120" w:type="dxa"/>
            </w:tcMar>
            <w:vAlign w:val="center"/>
          </w:tcPr>
          <w:p>
            <w:pPr>
              <w:spacing w:after="20" w:line="252" w:lineRule="auto"/>
            </w:pPr>
            <w:r>
              <w:rPr>
                <w:sz w:val="16"/>
              </w:rPr>
              <w:t>Near-Earth and STEREO particles, imaging, shock context.</w:t>
            </w:r>
          </w:p>
        </w:tc>
      </w:tr>
      <w:tr>
        <w:trPr>
          <w:cantSplit/>
        </w:trPr>
        <w:tc>
          <w:tcPr>
            <w:tcW w:type="dxa" w:w="1656"/>
            <w:tcMar>
              <w:top w:w="100" w:type="dxa"/>
              <w:start w:w="120" w:type="dxa"/>
              <w:bottom w:w="100" w:type="dxa"/>
              <w:end w:w="120" w:type="dxa"/>
            </w:tcMar>
            <w:shd w:fill="EAF1F8"/>
            <w:vAlign w:val="center"/>
          </w:tcPr>
          <w:p>
            <w:pPr>
              <w:spacing w:after="20" w:line="252" w:lineRule="auto"/>
            </w:pPr>
            <w:r>
              <w:rPr>
                <w:sz w:val="16"/>
              </w:rPr>
              <w:t>Held out candidate</w:t>
            </w:r>
          </w:p>
        </w:tc>
        <w:tc>
          <w:tcPr>
            <w:tcW w:type="dxa" w:w="2232"/>
            <w:tcMar>
              <w:top w:w="100" w:type="dxa"/>
              <w:start w:w="120" w:type="dxa"/>
              <w:bottom w:w="100" w:type="dxa"/>
              <w:end w:w="120" w:type="dxa"/>
            </w:tcMar>
            <w:shd w:fill="EAF1F8"/>
            <w:vAlign w:val="center"/>
          </w:tcPr>
          <w:p>
            <w:pPr>
              <w:spacing w:after="20" w:line="252" w:lineRule="auto"/>
            </w:pPr>
            <w:r>
              <w:rPr>
                <w:sz w:val="16"/>
              </w:rPr>
              <w:t>2017-09-10</w:t>
            </w:r>
          </w:p>
        </w:tc>
        <w:tc>
          <w:tcPr>
            <w:tcW w:type="dxa" w:w="3240"/>
            <w:tcMar>
              <w:top w:w="100" w:type="dxa"/>
              <w:start w:w="120" w:type="dxa"/>
              <w:bottom w:w="100" w:type="dxa"/>
              <w:end w:w="120" w:type="dxa"/>
            </w:tcMar>
            <w:shd w:fill="EAF1F8"/>
            <w:vAlign w:val="center"/>
          </w:tcPr>
          <w:p>
            <w:pPr>
              <w:spacing w:after="20" w:line="252" w:lineRule="auto"/>
            </w:pPr>
            <w:r>
              <w:rPr>
                <w:sz w:val="16"/>
              </w:rPr>
              <w:t>High-energy and broad-event response</w:t>
            </w:r>
          </w:p>
        </w:tc>
        <w:tc>
          <w:tcPr>
            <w:tcW w:type="dxa" w:w="3240"/>
            <w:tcMar>
              <w:top w:w="100" w:type="dxa"/>
              <w:start w:w="120" w:type="dxa"/>
              <w:bottom w:w="100" w:type="dxa"/>
              <w:end w:w="120" w:type="dxa"/>
            </w:tcMar>
            <w:shd w:fill="EAF1F8"/>
            <w:vAlign w:val="center"/>
          </w:tcPr>
          <w:p>
            <w:pPr>
              <w:spacing w:after="20" w:line="252" w:lineRule="auto"/>
            </w:pPr>
            <w:r>
              <w:rPr>
                <w:sz w:val="16"/>
              </w:rPr>
              <w:t>GOES, SOHO, STEREO where available, imaging and radio.</w:t>
            </w:r>
          </w:p>
        </w:tc>
      </w:tr>
      <w:tr>
        <w:trPr>
          <w:cantSplit/>
        </w:trPr>
        <w:tc>
          <w:tcPr>
            <w:tcW w:type="dxa" w:w="1656"/>
            <w:tcMar>
              <w:top w:w="100" w:type="dxa"/>
              <w:start w:w="120" w:type="dxa"/>
              <w:bottom w:w="100" w:type="dxa"/>
              <w:end w:w="120" w:type="dxa"/>
            </w:tcMar>
            <w:vAlign w:val="center"/>
          </w:tcPr>
          <w:p>
            <w:pPr>
              <w:spacing w:after="20" w:line="252" w:lineRule="auto"/>
            </w:pPr>
            <w:r>
              <w:rPr>
                <w:sz w:val="16"/>
              </w:rPr>
              <w:t>Modern held out</w:t>
            </w:r>
          </w:p>
        </w:tc>
        <w:tc>
          <w:tcPr>
            <w:tcW w:type="dxa" w:w="2232"/>
            <w:tcMar>
              <w:top w:w="100" w:type="dxa"/>
              <w:start w:w="120" w:type="dxa"/>
              <w:bottom w:w="100" w:type="dxa"/>
              <w:end w:w="120" w:type="dxa"/>
            </w:tcMar>
            <w:vAlign w:val="center"/>
          </w:tcPr>
          <w:p>
            <w:pPr>
              <w:spacing w:after="20" w:line="252" w:lineRule="auto"/>
            </w:pPr>
            <w:r>
              <w:rPr>
                <w:sz w:val="16"/>
              </w:rPr>
              <w:t>Two or more PSP/SolO events</w:t>
            </w:r>
          </w:p>
        </w:tc>
        <w:tc>
          <w:tcPr>
            <w:tcW w:type="dxa" w:w="3240"/>
            <w:tcMar>
              <w:top w:w="100" w:type="dxa"/>
              <w:start w:w="120" w:type="dxa"/>
              <w:bottom w:w="100" w:type="dxa"/>
              <w:end w:w="120" w:type="dxa"/>
            </w:tcMar>
            <w:vAlign w:val="center"/>
          </w:tcPr>
          <w:p>
            <w:pPr>
              <w:spacing w:after="20" w:line="252" w:lineRule="auto"/>
            </w:pPr>
            <w:r>
              <w:rPr>
                <w:sz w:val="16"/>
              </w:rPr>
              <w:t>Radial evolution and near-shock source</w:t>
            </w:r>
          </w:p>
        </w:tc>
        <w:tc>
          <w:tcPr>
            <w:tcW w:type="dxa" w:w="3240"/>
            <w:tcMar>
              <w:top w:w="100" w:type="dxa"/>
              <w:start w:w="120" w:type="dxa"/>
              <w:bottom w:w="100" w:type="dxa"/>
              <w:end w:w="120" w:type="dxa"/>
            </w:tcMar>
            <w:vAlign w:val="center"/>
          </w:tcPr>
          <w:p>
            <w:pPr>
              <w:spacing w:after="20" w:line="252" w:lineRule="auto"/>
            </w:pPr>
            <w:r>
              <w:rPr>
                <w:sz w:val="16"/>
              </w:rPr>
              <w:t>PSP, Solar Orbiter and another observer with catalog association.</w:t>
            </w:r>
          </w:p>
        </w:tc>
      </w:tr>
    </w:tbl>
    <w:p>
      <w:r>
        <w:t>The dates above are a candidate set, not permission to skip data qualification. Before execution, the campaign owner must confirm instrument coverage, event association, usable energy overlap, and observer geometry, then freeze the final list and its exclusions.</w:t>
      </w:r>
    </w:p>
    <w:p>
      <w:pPr>
        <w:pStyle w:val="Heading2"/>
        <w:keepNext/>
      </w:pPr>
      <w:r>
        <w:t>2.2 Calibration and held out separation</w:t>
      </w:r>
    </w:p>
    <w:p>
      <w:pPr>
        <w:pStyle w:val="ListBullet"/>
        <w:spacing w:after="60"/>
      </w:pPr>
      <w:r>
        <w:t>Calibration data may set global density/field normalization, kinematic parameters, source normalization, and scattering coefficients according to a documented algorithm.</w:t>
      </w:r>
    </w:p>
    <w:p>
      <w:pPr>
        <w:pStyle w:val="ListBullet"/>
        <w:spacing w:after="60"/>
      </w:pPr>
      <w:r>
        <w:t>Held-out observations remain hidden from parameter adjustment until the configuration and code revision are frozen.</w:t>
      </w:r>
    </w:p>
    <w:p>
      <w:pPr>
        <w:pStyle w:val="ListBullet"/>
        <w:spacing w:after="60"/>
      </w:pPr>
      <w:r>
        <w:t>If a held-out failure motivates a change, increment the campaign version and evaluate the revised model on a new held-out set or by nested cross-validation.</w:t>
      </w:r>
    </w:p>
    <w:p>
      <w:pPr>
        <w:pStyle w:val="ListBullet"/>
        <w:spacing w:after="60"/>
      </w:pPr>
      <w:r>
        <w:t>Report both event-specific best-fit capability and frozen-configuration predictive skill, but never combine them into one score.</w:t>
      </w:r>
    </w:p>
    <w:p>
      <w:pPr>
        <w:pStyle w:val="Heading1"/>
        <w:keepNext/>
      </w:pPr>
      <w:r>
        <w:t>3 Common comparison protocol</w:t>
      </w:r>
    </w:p>
    <w:p>
      <w:pPr>
        <w:pStyle w:val="Heading2"/>
        <w:keepNext/>
      </w:pPr>
      <w:r>
        <w:t>3.1 Provenance and immutable evidence</w:t>
      </w:r>
    </w:p>
    <w:p>
      <w:pPr>
        <w:pStyle w:val="ListBullet"/>
        <w:spacing w:after="60"/>
      </w:pPr>
      <w:r>
        <w:t>For each input store archive, dataset/product identifier, processing level, version, retrieval UTC, original filename, SHA-256, time range, units, coordinate frame, quality flags, and citation.</w:t>
      </w:r>
    </w:p>
    <w:p>
      <w:pPr>
        <w:pStyle w:val="ListBullet"/>
        <w:spacing w:after="60"/>
      </w:pPr>
      <w:r>
        <w:t>For each model store source revision, compiler and flags, resolved configuration, random seeds, parallel layout, numerical resolution, source-record schema, model version, and output hashes.</w:t>
      </w:r>
    </w:p>
    <w:p>
      <w:pPr>
        <w:pStyle w:val="ListBullet"/>
        <w:spacing w:after="60"/>
      </w:pPr>
      <w:r>
        <w:t>Record preprocessing code revision and parameters. Derived CSV files must retain links to every source file and cannot replace the raw archived evidence.</w:t>
      </w:r>
    </w:p>
    <w:p>
      <w:pPr>
        <w:pStyle w:val="Heading2"/>
        <w:keepNext/>
      </w:pPr>
      <w:r>
        <w:t>3.2 Alignment and preprocessing</w:t>
      </w:r>
    </w:p>
    <w:p>
      <w:pPr>
        <w:pStyle w:val="ListNumber"/>
        <w:spacing w:after="60"/>
      </w:pPr>
      <w:r>
        <w:t>Transform positions and vectors to a declared heliocentric frame, normally RTN for in-situ comparisons and HCI/HG coordinates for global geometry. Verify polarity and handedness with a unit-vector test.</w:t>
      </w:r>
    </w:p>
    <w:p>
      <w:pPr>
        <w:pStyle w:val="ListNumber"/>
        <w:spacing w:after="60"/>
      </w:pPr>
      <w:r>
        <w:t>Convert UTC, ephemeris time, and any propagation-shifted time consistently. Do not time-shift OMNI a second time.</w:t>
      </w:r>
    </w:p>
    <w:p>
      <w:pPr>
        <w:pStyle w:val="ListNumber"/>
        <w:spacing w:after="60"/>
      </w:pPr>
      <w:r>
        <w:t>Apply mission quality flags before interpolation. Preserve gaps; do not bridge a shock or SEP onset with interpolation.</w:t>
      </w:r>
    </w:p>
    <w:p>
      <w:pPr>
        <w:pStyle w:val="ListNumber"/>
        <w:spacing w:after="60"/>
      </w:pPr>
      <w:r>
        <w:t>Match cadence by integrating or averaging the higher-resolution quantity over the lower-resolution sample support. Record both native and common-cadence products.</w:t>
      </w:r>
    </w:p>
    <w:p>
      <w:pPr>
        <w:pStyle w:val="ListNumber"/>
        <w:spacing w:after="60"/>
      </w:pPr>
      <w:r>
        <w:t>For energetic particles, subtract a pre-event background, retain upper limits, and integrate the model over the instrument's energy response or exact energy bounds.</w:t>
      </w:r>
    </w:p>
    <w:p>
      <w:pPr>
        <w:pStyle w:val="ListNumber"/>
        <w:spacing w:after="60"/>
      </w:pPr>
      <w:r>
        <w:t>Estimate observational, preprocessing, and Monte Carlo/numerical uncertainty independently, then combine only for a declared comparison interval.</w:t>
      </w:r>
    </w:p>
    <w:p>
      <w:pPr>
        <w:pStyle w:val="Heading2"/>
        <w:keepNext/>
      </w:pPr>
      <w:r>
        <w:t>3.3 Metrics</w:t>
      </w:r>
    </w:p>
    <w:p>
      <w:r>
        <w:t>Use signed error to diagnose bias, absolute error for timing and angles, log ratio for positive quantities spanning orders of magnitude, circular differences for directions, contingency metrics for hit/miss, and confidence-aware scores for ensembles. Every report must include sample count and valid-forecast coverage. A mean without the distribution, event weighting, and missing-data treatment is insufficient.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cantSplit/>
        </w:trPr>
        <w:tc>
          <w:tcPr>
            <w:tcW w:type="dxa" w:w="2448"/>
            <w:shd w:fill="17365D"/>
            <w:tcMar>
              <w:top w:w="100" w:type="dxa"/>
              <w:start w:w="120" w:type="dxa"/>
              <w:bottom w:w="100" w:type="dxa"/>
              <w:end w:w="120" w:type="dxa"/>
            </w:tcMar>
            <w:vAlign w:val="center"/>
          </w:tcPr>
          <w:p>
            <w:pPr>
              <w:spacing w:after="20" w:line="252" w:lineRule="auto"/>
            </w:pPr>
            <w:r>
              <w:rPr>
                <w:b/>
                <w:color w:val="FFFFFF"/>
                <w:sz w:val="18"/>
              </w:rPr>
              <w:t>Quantity</w:t>
            </w:r>
          </w:p>
        </w:tc>
        <w:tc>
          <w:tcPr>
            <w:tcW w:type="dxa" w:w="3384"/>
            <w:shd w:fill="17365D"/>
            <w:tcMar>
              <w:top w:w="100" w:type="dxa"/>
              <w:start w:w="120" w:type="dxa"/>
              <w:bottom w:w="100" w:type="dxa"/>
              <w:end w:w="120" w:type="dxa"/>
            </w:tcMar>
            <w:vAlign w:val="center"/>
          </w:tcPr>
          <w:p>
            <w:pPr>
              <w:spacing w:after="20" w:line="252" w:lineRule="auto"/>
            </w:pPr>
            <w:r>
              <w:rPr>
                <w:b/>
                <w:color w:val="FFFFFF"/>
                <w:sz w:val="18"/>
              </w:rPr>
              <w:t>Primary metric</w:t>
            </w:r>
          </w:p>
        </w:tc>
        <w:tc>
          <w:tcPr>
            <w:tcW w:type="dxa" w:w="4680"/>
            <w:shd w:fill="17365D"/>
            <w:tcMar>
              <w:top w:w="100" w:type="dxa"/>
              <w:start w:w="120" w:type="dxa"/>
              <w:bottom w:w="100" w:type="dxa"/>
              <w:end w:w="120" w:type="dxa"/>
            </w:tcMar>
            <w:vAlign w:val="center"/>
          </w:tcPr>
          <w:p>
            <w:pPr>
              <w:spacing w:after="20" w:line="252" w:lineRule="auto"/>
            </w:pPr>
            <w:r>
              <w:rPr>
                <w:b/>
                <w:color w:val="FFFFFF"/>
                <w:sz w:val="18"/>
              </w:rPr>
              <w:t>Required companion information</w:t>
            </w:r>
          </w:p>
        </w:tc>
      </w:tr>
      <w:tr>
        <w:trPr>
          <w:cantSplit/>
        </w:trPr>
        <w:tc>
          <w:tcPr>
            <w:tcW w:type="dxa" w:w="2448"/>
            <w:tcMar>
              <w:top w:w="100" w:type="dxa"/>
              <w:start w:w="120" w:type="dxa"/>
              <w:bottom w:w="100" w:type="dxa"/>
              <w:end w:w="120" w:type="dxa"/>
            </w:tcMar>
            <w:vAlign w:val="center"/>
          </w:tcPr>
          <w:p>
            <w:pPr>
              <w:spacing w:after="20" w:line="252" w:lineRule="auto"/>
            </w:pPr>
            <w:r>
              <w:rPr>
                <w:sz w:val="17"/>
              </w:rPr>
              <w:t>Positive scalar</w:t>
            </w:r>
          </w:p>
        </w:tc>
        <w:tc>
          <w:tcPr>
            <w:tcW w:type="dxa" w:w="3384"/>
            <w:tcMar>
              <w:top w:w="100" w:type="dxa"/>
              <w:start w:w="120" w:type="dxa"/>
              <w:bottom w:w="100" w:type="dxa"/>
              <w:end w:w="120" w:type="dxa"/>
            </w:tcMar>
            <w:vAlign w:val="center"/>
          </w:tcPr>
          <w:p>
            <w:pPr>
              <w:spacing w:after="20" w:line="252" w:lineRule="auto"/>
            </w:pPr>
            <w:r>
              <w:rPr>
                <w:sz w:val="17"/>
              </w:rPr>
              <w:t>log10(model/observation)</w:t>
            </w:r>
          </w:p>
        </w:tc>
        <w:tc>
          <w:tcPr>
            <w:tcW w:type="dxa" w:w="4680"/>
            <w:tcMar>
              <w:top w:w="100" w:type="dxa"/>
              <w:start w:w="120" w:type="dxa"/>
              <w:bottom w:w="100" w:type="dxa"/>
              <w:end w:w="120" w:type="dxa"/>
            </w:tcMar>
            <w:vAlign w:val="center"/>
          </w:tcPr>
          <w:p>
            <w:pPr>
              <w:spacing w:after="20" w:line="252" w:lineRule="auto"/>
            </w:pPr>
            <w:r>
              <w:rPr>
                <w:sz w:val="17"/>
              </w:rPr>
              <w:t>Median, 90th percentile, factor envelope, uncertainty.</w:t>
            </w:r>
          </w:p>
        </w:tc>
      </w:tr>
      <w:tr>
        <w:trPr>
          <w:cantSplit/>
        </w:trPr>
        <w:tc>
          <w:tcPr>
            <w:tcW w:type="dxa" w:w="2448"/>
            <w:tcMar>
              <w:top w:w="100" w:type="dxa"/>
              <w:start w:w="120" w:type="dxa"/>
              <w:bottom w:w="100" w:type="dxa"/>
              <w:end w:w="120" w:type="dxa"/>
            </w:tcMar>
            <w:shd w:fill="F5F6F7"/>
            <w:vAlign w:val="center"/>
          </w:tcPr>
          <w:p>
            <w:pPr>
              <w:spacing w:after="20" w:line="252" w:lineRule="auto"/>
            </w:pPr>
            <w:r>
              <w:rPr>
                <w:sz w:val="17"/>
              </w:rPr>
              <w:t>Timing</w:t>
            </w:r>
          </w:p>
        </w:tc>
        <w:tc>
          <w:tcPr>
            <w:tcW w:type="dxa" w:w="3384"/>
            <w:tcMar>
              <w:top w:w="100" w:type="dxa"/>
              <w:start w:w="120" w:type="dxa"/>
              <w:bottom w:w="100" w:type="dxa"/>
              <w:end w:w="120" w:type="dxa"/>
            </w:tcMar>
            <w:shd w:fill="F5F6F7"/>
            <w:vAlign w:val="center"/>
          </w:tcPr>
          <w:p>
            <w:pPr>
              <w:spacing w:after="20" w:line="252" w:lineRule="auto"/>
            </w:pPr>
            <w:r>
              <w:rPr>
                <w:sz w:val="17"/>
              </w:rPr>
              <w:t>Model minus observed time</w:t>
            </w:r>
          </w:p>
        </w:tc>
        <w:tc>
          <w:tcPr>
            <w:tcW w:type="dxa" w:w="4680"/>
            <w:tcMar>
              <w:top w:w="100" w:type="dxa"/>
              <w:start w:w="120" w:type="dxa"/>
              <w:bottom w:w="100" w:type="dxa"/>
              <w:end w:w="120" w:type="dxa"/>
            </w:tcMar>
            <w:shd w:fill="F5F6F7"/>
            <w:vAlign w:val="center"/>
          </w:tcPr>
          <w:p>
            <w:pPr>
              <w:spacing w:after="20" w:line="252" w:lineRule="auto"/>
            </w:pPr>
            <w:r>
              <w:rPr>
                <w:sz w:val="17"/>
              </w:rPr>
              <w:t>MAE, signed bias, event association, uncertainty.</w:t>
            </w:r>
          </w:p>
        </w:tc>
      </w:tr>
      <w:tr>
        <w:trPr>
          <w:cantSplit/>
        </w:trPr>
        <w:tc>
          <w:tcPr>
            <w:tcW w:type="dxa" w:w="2448"/>
            <w:tcMar>
              <w:top w:w="100" w:type="dxa"/>
              <w:start w:w="120" w:type="dxa"/>
              <w:bottom w:w="100" w:type="dxa"/>
              <w:end w:w="120" w:type="dxa"/>
            </w:tcMar>
            <w:vAlign w:val="center"/>
          </w:tcPr>
          <w:p>
            <w:pPr>
              <w:spacing w:after="20" w:line="252" w:lineRule="auto"/>
            </w:pPr>
            <w:r>
              <w:rPr>
                <w:sz w:val="17"/>
              </w:rPr>
              <w:t>Direction</w:t>
            </w:r>
          </w:p>
        </w:tc>
        <w:tc>
          <w:tcPr>
            <w:tcW w:type="dxa" w:w="3384"/>
            <w:tcMar>
              <w:top w:w="100" w:type="dxa"/>
              <w:start w:w="120" w:type="dxa"/>
              <w:bottom w:w="100" w:type="dxa"/>
              <w:end w:w="120" w:type="dxa"/>
            </w:tcMar>
            <w:vAlign w:val="center"/>
          </w:tcPr>
          <w:p>
            <w:pPr>
              <w:spacing w:after="20" w:line="252" w:lineRule="auto"/>
            </w:pPr>
            <w:r>
              <w:rPr>
                <w:sz w:val="17"/>
              </w:rPr>
              <w:t>Smallest circular/angular separation</w:t>
            </w:r>
          </w:p>
        </w:tc>
        <w:tc>
          <w:tcPr>
            <w:tcW w:type="dxa" w:w="4680"/>
            <w:tcMar>
              <w:top w:w="100" w:type="dxa"/>
              <w:start w:w="120" w:type="dxa"/>
              <w:bottom w:w="100" w:type="dxa"/>
              <w:end w:w="120" w:type="dxa"/>
            </w:tcMar>
            <w:vAlign w:val="center"/>
          </w:tcPr>
          <w:p>
            <w:pPr>
              <w:spacing w:after="20" w:line="252" w:lineRule="auto"/>
            </w:pPr>
            <w:r>
              <w:rPr>
                <w:sz w:val="17"/>
              </w:rPr>
              <w:t>Normal/polarity convention and uncertainty cone.</w:t>
            </w:r>
          </w:p>
        </w:tc>
      </w:tr>
      <w:tr>
        <w:trPr>
          <w:cantSplit/>
        </w:trPr>
        <w:tc>
          <w:tcPr>
            <w:tcW w:type="dxa" w:w="2448"/>
            <w:tcMar>
              <w:top w:w="100" w:type="dxa"/>
              <w:start w:w="120" w:type="dxa"/>
              <w:bottom w:w="100" w:type="dxa"/>
              <w:end w:w="120" w:type="dxa"/>
            </w:tcMar>
            <w:shd w:fill="F5F6F7"/>
            <w:vAlign w:val="center"/>
          </w:tcPr>
          <w:p>
            <w:pPr>
              <w:spacing w:after="20" w:line="252" w:lineRule="auto"/>
            </w:pPr>
            <w:r>
              <w:rPr>
                <w:sz w:val="17"/>
              </w:rPr>
              <w:t>Time profile</w:t>
            </w:r>
          </w:p>
        </w:tc>
        <w:tc>
          <w:tcPr>
            <w:tcW w:type="dxa" w:w="3384"/>
            <w:tcMar>
              <w:top w:w="100" w:type="dxa"/>
              <w:start w:w="120" w:type="dxa"/>
              <w:bottom w:w="100" w:type="dxa"/>
              <w:end w:w="120" w:type="dxa"/>
            </w:tcMar>
            <w:shd w:fill="F5F6F7"/>
            <w:vAlign w:val="center"/>
          </w:tcPr>
          <w:p>
            <w:pPr>
              <w:spacing w:after="20" w:line="252" w:lineRule="auto"/>
            </w:pPr>
            <w:r>
              <w:rPr>
                <w:sz w:val="17"/>
              </w:rPr>
              <w:t>Log-flux RMSE and correlation</w:t>
            </w:r>
          </w:p>
        </w:tc>
        <w:tc>
          <w:tcPr>
            <w:tcW w:type="dxa" w:w="4680"/>
            <w:tcMar>
              <w:top w:w="100" w:type="dxa"/>
              <w:start w:w="120" w:type="dxa"/>
              <w:bottom w:w="100" w:type="dxa"/>
              <w:end w:w="120" w:type="dxa"/>
            </w:tcMar>
            <w:shd w:fill="F5F6F7"/>
            <w:vAlign w:val="center"/>
          </w:tcPr>
          <w:p>
            <w:pPr>
              <w:spacing w:after="20" w:line="252" w:lineRule="auto"/>
            </w:pPr>
            <w:r>
              <w:rPr>
                <w:sz w:val="17"/>
              </w:rPr>
              <w:t>Onset, peak, fluence, background and coverage.</w:t>
            </w:r>
          </w:p>
        </w:tc>
      </w:tr>
      <w:tr>
        <w:trPr>
          <w:cantSplit/>
        </w:trPr>
        <w:tc>
          <w:tcPr>
            <w:tcW w:type="dxa" w:w="2448"/>
            <w:tcMar>
              <w:top w:w="100" w:type="dxa"/>
              <w:start w:w="120" w:type="dxa"/>
              <w:bottom w:w="100" w:type="dxa"/>
              <w:end w:w="120" w:type="dxa"/>
            </w:tcMar>
            <w:vAlign w:val="center"/>
          </w:tcPr>
          <w:p>
            <w:pPr>
              <w:spacing w:after="20" w:line="252" w:lineRule="auto"/>
            </w:pPr>
            <w:r>
              <w:rPr>
                <w:sz w:val="17"/>
              </w:rPr>
              <w:t>Hit or connection</w:t>
            </w:r>
          </w:p>
        </w:tc>
        <w:tc>
          <w:tcPr>
            <w:tcW w:type="dxa" w:w="3384"/>
            <w:tcMar>
              <w:top w:w="100" w:type="dxa"/>
              <w:start w:w="120" w:type="dxa"/>
              <w:bottom w:w="100" w:type="dxa"/>
              <w:end w:w="120" w:type="dxa"/>
            </w:tcMar>
            <w:vAlign w:val="center"/>
          </w:tcPr>
          <w:p>
            <w:pPr>
              <w:spacing w:after="20" w:line="252" w:lineRule="auto"/>
            </w:pPr>
            <w:r>
              <w:rPr>
                <w:sz w:val="17"/>
              </w:rPr>
              <w:t>POD FAR CSI or F1</w:t>
            </w:r>
          </w:p>
        </w:tc>
        <w:tc>
          <w:tcPr>
            <w:tcW w:type="dxa" w:w="4680"/>
            <w:tcMar>
              <w:top w:w="100" w:type="dxa"/>
              <w:start w:w="120" w:type="dxa"/>
              <w:bottom w:w="100" w:type="dxa"/>
              <w:end w:w="120" w:type="dxa"/>
            </w:tcMar>
            <w:vAlign w:val="center"/>
          </w:tcPr>
          <w:p>
            <w:pPr>
              <w:spacing w:after="20" w:line="252" w:lineRule="auto"/>
            </w:pPr>
            <w:r>
              <w:rPr>
                <w:sz w:val="17"/>
              </w:rPr>
              <w:t>Full contingency table, unknown states, probability reliability.</w:t>
            </w:r>
          </w:p>
        </w:tc>
      </w:tr>
      <w:tr>
        <w:trPr>
          <w:cantSplit/>
        </w:trPr>
        <w:tc>
          <w:tcPr>
            <w:tcW w:type="dxa" w:w="2448"/>
            <w:tcMar>
              <w:top w:w="100" w:type="dxa"/>
              <w:start w:w="120" w:type="dxa"/>
              <w:bottom w:w="100" w:type="dxa"/>
              <w:end w:w="120" w:type="dxa"/>
            </w:tcMar>
            <w:shd w:fill="F5F6F7"/>
            <w:vAlign w:val="center"/>
          </w:tcPr>
          <w:p>
            <w:pPr>
              <w:spacing w:after="20" w:line="252" w:lineRule="auto"/>
            </w:pPr>
            <w:r>
              <w:rPr>
                <w:sz w:val="17"/>
              </w:rPr>
              <w:t>Model difference</w:t>
            </w:r>
          </w:p>
        </w:tc>
        <w:tc>
          <w:tcPr>
            <w:tcW w:type="dxa" w:w="3384"/>
            <w:tcMar>
              <w:top w:w="100" w:type="dxa"/>
              <w:start w:w="120" w:type="dxa"/>
              <w:bottom w:w="100" w:type="dxa"/>
              <w:end w:w="120" w:type="dxa"/>
            </w:tcMar>
            <w:shd w:fill="F5F6F7"/>
            <w:vAlign w:val="center"/>
          </w:tcPr>
          <w:p>
            <w:pPr>
              <w:spacing w:after="20" w:line="252" w:lineRule="auto"/>
            </w:pPr>
            <w:r>
              <w:rPr>
                <w:sz w:val="17"/>
              </w:rPr>
              <w:t>Paired event-level difference</w:t>
            </w:r>
          </w:p>
        </w:tc>
        <w:tc>
          <w:tcPr>
            <w:tcW w:type="dxa" w:w="4680"/>
            <w:tcMar>
              <w:top w:w="100" w:type="dxa"/>
              <w:start w:w="120" w:type="dxa"/>
              <w:bottom w:w="100" w:type="dxa"/>
              <w:end w:w="120" w:type="dxa"/>
            </w:tcMar>
            <w:shd w:fill="F5F6F7"/>
            <w:vAlign w:val="center"/>
          </w:tcPr>
          <w:p>
            <w:pPr>
              <w:spacing w:after="20" w:line="252" w:lineRule="auto"/>
            </w:pPr>
            <w:r>
              <w:rPr>
                <w:sz w:val="17"/>
              </w:rPr>
              <w:t>Paired bootstrap interval and common sample set.</w:t>
            </w:r>
          </w:p>
        </w:tc>
      </w:tr>
    </w:tbl>
    <w:p>
      <w:pPr>
        <w:pStyle w:val="Heading1"/>
        <w:keepNext/>
      </w:pPr>
      <w:r>
        <w:t>4 Validation test specifications</w:t>
      </w:r>
    </w:p>
    <w:p>
      <w:r>
        <w:t>Each specification below is an independent campaign section. The proposed thresholds are starting release gates. They must be frozen in the event configuration and interpreted together with uncertainty, coverage, and the dependency ladder.</w:t>
      </w:r>
    </w:p>
    <w:p>
      <w:pPr>
        <w:pStyle w:val="Heading1"/>
        <w:pageBreakBefore/>
        <w:keepNext/>
      </w:pPr>
      <w:r>
        <w:t>VP01 Radial solar wind density and Leblanc profile</w:t>
      </w:r>
    </w:p>
    <w:p>
      <w:pPr>
        <w:spacing w:after="120"/>
      </w:pPr>
      <w:r>
        <w:rPr>
          <w:b/>
        </w:rPr>
        <w:t xml:space="preserve">Campaign layer </w:t>
      </w:r>
      <w:r>
        <w:t>V1</w:t>
      </w:r>
    </w:p>
    <w:p>
      <w:pPr>
        <w:pStyle w:val="Heading2"/>
        <w:keepNext/>
      </w:pPr>
      <w:r>
        <w:t>What is compared</w:t>
      </w:r>
    </w:p>
    <w:p>
      <w:r>
        <w:t>Compare SWCME number density n(r) and mass density rho(r) with quiet-solar-wind measurements spanning the inner heliosphere, and with independent background models. The comparison covers the absolute density, radial gradient, normalization at 1 AU, and the conversion from composition to mass density.</w:t>
      </w:r>
    </w:p>
    <w:p>
      <w:pPr>
        <w:pStyle w:val="Heading2"/>
        <w:keepNext/>
      </w:pPr>
      <w:r>
        <w:t>Why the comparison is required</w:t>
      </w:r>
    </w:p>
    <w:p>
      <w:r>
        <w:t>Density sets the Alfven and fast-mode speeds, shock Mach number, compression, source strength, and particle focusing environment. A density normalization error can make a shock appear physically stronger or weaker while leaving its kinematics unchanged.</w:t>
      </w:r>
    </w:p>
    <w:p>
      <w:pPr>
        <w:pStyle w:val="Heading2"/>
        <w:keepNext/>
      </w:pPr>
      <w:r>
        <w:t>Where observations and reference results are obtained</w:t>
      </w:r>
    </w:p>
    <w:p>
      <w:pPr>
        <w:pStyle w:val="ListBullet"/>
        <w:spacing w:after="60"/>
      </w:pPr>
      <w:r>
        <w:t>Parker Solar Probe SWEAP SPC and SPAN-I Level 2 proton moments from NASA SPDF/CDAWeb [D01, D03].</w:t>
      </w:r>
    </w:p>
    <w:p>
      <w:pPr>
        <w:pStyle w:val="ListBullet"/>
        <w:spacing w:after="60"/>
      </w:pPr>
      <w:r>
        <w:t>Solar Orbiter SWA/PAS Level 2 proton density from the Solar Orbiter Archive [D04].</w:t>
      </w:r>
    </w:p>
    <w:p>
      <w:pPr>
        <w:pStyle w:val="ListBullet"/>
        <w:spacing w:after="60"/>
      </w:pPr>
      <w:r>
        <w:t>STEREO PLASTIC merged plasma products and Wind or ACE near-Earth plasma from the STEREO Science Center and CDAWeb [D05, D01].</w:t>
      </w:r>
    </w:p>
    <w:p>
      <w:pPr>
        <w:pStyle w:val="ListBullet"/>
        <w:spacing w:after="60"/>
      </w:pPr>
      <w:r>
        <w:t>OMNI 1-minute definitive plasma data for the 1 AU anchor, DOI 10.48322/mj0k-fq60 [D02].</w:t>
      </w:r>
    </w:p>
    <w:p>
      <w:pPr>
        <w:pStyle w:val="ListBullet"/>
        <w:spacing w:after="60"/>
      </w:pPr>
      <w:r>
        <w:t>Cross-model values sampled from AWSoM-R, ENLIL, and EUHFORIA at the same spacecraft locations and times [M01-M03].</w:t>
      </w:r>
    </w:p>
    <w:p>
      <w:pPr>
        <w:pStyle w:val="Heading2"/>
        <w:keepNext/>
      </w:pPr>
      <w:r>
        <w:t>Data preparation and matching</w:t>
      </w:r>
    </w:p>
    <w:p>
      <w:pPr>
        <w:pStyle w:val="ListBullet"/>
        <w:spacing w:after="60"/>
      </w:pPr>
      <w:r>
        <w:t>Select intervals outside cataloged ICMEs, sheaths, shocks, and stream interaction regions using ICMECAT, the Wind ICME catalog, and mission event lists [D10-D12].</w:t>
      </w:r>
    </w:p>
    <w:p>
      <w:pPr>
        <w:pStyle w:val="ListBullet"/>
        <w:spacing w:after="60"/>
      </w:pPr>
      <w:r>
        <w:t>Apply instrument quality flags; retain product version, cadence, spacecraft position, and retrieval date. Convert all density products to m^-3 and all positions to a common heliocentric frame.</w:t>
      </w:r>
    </w:p>
    <w:p>
      <w:pPr>
        <w:pStyle w:val="ListBullet"/>
        <w:spacing w:after="60"/>
      </w:pPr>
      <w:r>
        <w:t>Construct paired model-observation samples at the actual spacecraft position and time. Do not compare a radial curve with observations from a different longitude without including longitudinal variability in the uncertainty.</w:t>
      </w:r>
    </w:p>
    <w:p>
      <w:pPr>
        <w:pStyle w:val="ListBullet"/>
        <w:spacing w:after="60"/>
      </w:pPr>
      <w:r>
        <w:t>Estimate robust quiet-window medians and interquartile ranges in 30- to 120-minute windows; preserve the unsmoothed data for audit.</w:t>
      </w:r>
    </w:p>
    <w:p>
      <w:pPr>
        <w:pStyle w:val="Heading2"/>
        <w:keepNext/>
      </w:pPr>
      <w:r>
        <w:t>How the comparison is performed</w:t>
      </w:r>
    </w:p>
    <w:p>
      <w:pPr>
        <w:pStyle w:val="ListNumber"/>
        <w:spacing w:after="60"/>
      </w:pPr>
      <w:r>
        <w:t>Evaluate the SWCME Parker/Leblanc background at each paired sample using the frozen event configuration.</w:t>
      </w:r>
    </w:p>
    <w:p>
      <w:pPr>
        <w:pStyle w:val="ListNumber"/>
        <w:spacing w:after="60"/>
      </w:pPr>
      <w:r>
        <w:t>Fit log n = a - alpha log r to observations and to SWCME over common radial ranges; bootstrap intervals by day or solar-wind parcel rather than treating every cadence sample as independent.</w:t>
      </w:r>
    </w:p>
    <w:p>
      <w:pPr>
        <w:pStyle w:val="ListNumber"/>
        <w:spacing w:after="60"/>
      </w:pPr>
      <w:r>
        <w:t>Compute log10(model/observation), median multiplicative error, median absolute percentage error, radial-slope error, and 1 AU normalization bias.</w:t>
      </w:r>
    </w:p>
    <w:p>
      <w:pPr>
        <w:pStyle w:val="ListNumber"/>
        <w:spacing w:after="60"/>
      </w:pPr>
      <w:r>
        <w:t>Repeat with AWSoM-R, ENLIL, and EUHFORIA without retuning SWCME. Report model-to-observation skill separately from model-to-model spread.</w:t>
      </w:r>
    </w:p>
    <w:p>
      <w:pPr>
        <w:pStyle w:val="Heading2"/>
        <w:keepNext/>
      </w:pPr>
      <w:r>
        <w:t>Metrics and proposed acceptance</w:t>
      </w:r>
    </w:p>
    <w:p>
      <w:pPr>
        <w:pStyle w:val="ListBullet"/>
        <w:spacing w:after="60"/>
      </w:pPr>
      <w:r>
        <w:t>Primary proposed gate: median multiplicative error &lt;= 2 and |alpha_model - alpha_obs| &lt;= 0.30.</w:t>
      </w:r>
    </w:p>
    <w:p>
      <w:pPr>
        <w:pStyle w:val="ListBullet"/>
        <w:spacing w:after="60"/>
      </w:pPr>
      <w:r>
        <w:t>Secondary targets: median |log10 ratio| &lt;= 0.176 (factor 1.5), 1 AU median bias &lt;= 25%, and at least 80% of windows inside a factor-of-two envelope.</w:t>
      </w:r>
    </w:p>
    <w:p>
      <w:pPr>
        <w:pStyle w:val="ListBullet"/>
        <w:spacing w:after="60"/>
      </w:pPr>
      <w:r>
        <w:t>Require the mass-density conversion to agree with the documented proton/alpha composition assumption; report a separate uncertainty when alpha abundance is unavailable.</w:t>
      </w:r>
    </w:p>
    <w:p>
      <w:pPr>
        <w:pStyle w:val="Heading2"/>
        <w:keepNext/>
      </w:pPr>
      <w:r>
        <w:t>What the comparison result means</w:t>
      </w:r>
    </w:p>
    <w:p>
      <w:r>
        <w:t>PASS supports the use of the selected density law and normalization for the sampled quiet-wind regime. It does not establish event-specific density inside a CME or sheath. A radial-slope failure points to the background law; a normalization-only failure points to n1AU or composition. If all models fail in the same interval, the likely cause is transient contamination, longitudinal structure, or data quality, not evidence that SWCME is uniquely defective.</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VP02 Parker magnetic field vector spiral angle and polarity</w:t>
      </w:r>
    </w:p>
    <w:p>
      <w:pPr>
        <w:spacing w:after="120"/>
      </w:pPr>
      <w:r>
        <w:rPr>
          <w:b/>
        </w:rPr>
        <w:t xml:space="preserve">Campaign layer </w:t>
      </w:r>
      <w:r>
        <w:t>V1</w:t>
      </w:r>
    </w:p>
    <w:p>
      <w:pPr>
        <w:pStyle w:val="Heading2"/>
        <w:keepNext/>
      </w:pPr>
      <w:r>
        <w:t>What is compared</w:t>
      </w:r>
    </w:p>
    <w:p>
      <w:r>
        <w:t>Compare SWCME Br, Bphi, |B|, Parker spiral angle, and sector polarity with in-situ magnetic-field vectors over 0.1-1.5 AU and with independent heliospheric models. The analysis also tests Br r^2 conservation within quiet sectors and the effect of spacecraft colatitude.</w:t>
      </w:r>
    </w:p>
    <w:p>
      <w:pPr>
        <w:pStyle w:val="Heading2"/>
        <w:keepNext/>
      </w:pPr>
      <w:r>
        <w:t>Why the comparison is required</w:t>
      </w:r>
    </w:p>
    <w:p>
      <w:r>
        <w:t>The field magnitude controls characteristic speeds, while field direction controls shock obliquity, focusing, path length, and magnetic connection. Agreement in |B| alone can hide a sign or basis error that reverses the inferred source longitude.</w:t>
      </w:r>
    </w:p>
    <w:p>
      <w:pPr>
        <w:pStyle w:val="Heading2"/>
        <w:keepNext/>
      </w:pPr>
      <w:r>
        <w:t>Where observations and reference results are obtained</w:t>
      </w:r>
    </w:p>
    <w:p>
      <w:pPr>
        <w:pStyle w:val="ListBullet"/>
        <w:spacing w:after="60"/>
      </w:pPr>
      <w:r>
        <w:t>PSP FIELDS fluxgate magnetometer Level 2 RTN data through SPDF/CDAWeb [D01, D03].</w:t>
      </w:r>
    </w:p>
    <w:p>
      <w:pPr>
        <w:pStyle w:val="ListBullet"/>
        <w:spacing w:after="60"/>
      </w:pPr>
      <w:r>
        <w:t>Solar Orbiter MAG Level 2 RTN data from SOAR, including calibration reports [D04].</w:t>
      </w:r>
    </w:p>
    <w:p>
      <w:pPr>
        <w:pStyle w:val="ListBullet"/>
        <w:spacing w:after="60"/>
      </w:pPr>
      <w:r>
        <w:t>STEREO IMPACT/MAG, Wind/MFI, ACE/MAG, and OMNI definitive magnetic-field products [D05, D01, D02].</w:t>
      </w:r>
    </w:p>
    <w:p>
      <w:pPr>
        <w:pStyle w:val="ListBullet"/>
        <w:spacing w:after="60"/>
      </w:pPr>
      <w:r>
        <w:t>AWSoM-R, ENLIL, EUHFORIA, and where available WSA polarity/field-line products sampled consistently [M01-M04].</w:t>
      </w:r>
    </w:p>
    <w:p>
      <w:pPr>
        <w:pStyle w:val="Heading2"/>
        <w:keepNext/>
      </w:pPr>
      <w:r>
        <w:t>Data preparation and matching</w:t>
      </w:r>
    </w:p>
    <w:p>
      <w:pPr>
        <w:pStyle w:val="ListBullet"/>
        <w:spacing w:after="60"/>
      </w:pPr>
      <w:r>
        <w:t>Transform every vector to RTN using archived spacecraft ephemerides and verified sign conventions. Store both the native and transformed vector.</w:t>
      </w:r>
    </w:p>
    <w:p>
      <w:pPr>
        <w:pStyle w:val="ListBullet"/>
        <w:spacing w:after="60"/>
      </w:pPr>
      <w:r>
        <w:t>Exclude magnetic clouds, shocks, and sector-boundary windows for the primary Parker test; retain them as a separately labeled stress set.</w:t>
      </w:r>
    </w:p>
    <w:p>
      <w:pPr>
        <w:pStyle w:val="ListBullet"/>
        <w:spacing w:after="60"/>
      </w:pPr>
      <w:r>
        <w:t>Estimate a local mean field with a window long enough to suppress waves but short enough not to mix sectors; use sensitivity windows such as 15, 30, and 60 minutes.</w:t>
      </w:r>
    </w:p>
    <w:p>
      <w:pPr>
        <w:pStyle w:val="ListBullet"/>
        <w:spacing w:after="60"/>
      </w:pPr>
      <w:r>
        <w:t>Calculate observed spiral angle as atan2(-B_T, B_R) only after applying the documented polarity convention; compare polarity and unsigned angle separately.</w:t>
      </w:r>
    </w:p>
    <w:p>
      <w:pPr>
        <w:pStyle w:val="Heading2"/>
        <w:keepNext/>
      </w:pPr>
      <w:r>
        <w:t>How the comparison is performed</w:t>
      </w:r>
    </w:p>
    <w:p>
      <w:pPr>
        <w:pStyle w:val="ListNumber"/>
        <w:spacing w:after="60"/>
      </w:pPr>
      <w:r>
        <w:t>Sample SWCME at the exact spacecraft coordinates and compare all signed vector components, |B|, angle, and polarity.</w:t>
      </w:r>
    </w:p>
    <w:p>
      <w:pPr>
        <w:pStyle w:val="ListNumber"/>
        <w:spacing w:after="60"/>
      </w:pPr>
      <w:r>
        <w:t>Regress |Br| and |B| versus radius, examine Br r^2 inside stable sectors, and stratify residuals by wind speed, latitude, and solar cycle phase.</w:t>
      </w:r>
    </w:p>
    <w:p>
      <w:pPr>
        <w:pStyle w:val="ListNumber"/>
        <w:spacing w:after="60"/>
      </w:pPr>
      <w:r>
        <w:t>Use circular statistics for angular differences and a confusion matrix for polarity. Do not average +180 and -180 degree angles arithmetically.</w:t>
      </w:r>
    </w:p>
    <w:p>
      <w:pPr>
        <w:pStyle w:val="ListNumber"/>
        <w:spacing w:after="60"/>
      </w:pPr>
      <w:r>
        <w:t>Compare the same metrics for reference models; record whether differences arise from boundary magnetograms, coronal mapping, or heliospheric propagation.</w:t>
      </w:r>
    </w:p>
    <w:p>
      <w:pPr>
        <w:pStyle w:val="Heading2"/>
        <w:keepNext/>
      </w:pPr>
      <w:r>
        <w:t>Metrics and proposed acceptance</w:t>
      </w:r>
    </w:p>
    <w:p>
      <w:pPr>
        <w:pStyle w:val="ListBullet"/>
        <w:spacing w:after="60"/>
      </w:pPr>
      <w:r>
        <w:t>Primary proposed gate: median absolute spiral-angle error &lt;= 20 degrees and median |B| multiplicative error &lt;= 2.</w:t>
      </w:r>
    </w:p>
    <w:p>
      <w:pPr>
        <w:pStyle w:val="ListBullet"/>
        <w:spacing w:after="60"/>
      </w:pPr>
      <w:r>
        <w:t>Polarity accuracy &gt;= 80% away from sector boundaries; signed Br bias must be statistically consistent with zero within the bootstrap interval.</w:t>
      </w:r>
    </w:p>
    <w:p>
      <w:pPr>
        <w:pStyle w:val="ListBullet"/>
        <w:spacing w:after="60"/>
      </w:pPr>
      <w:r>
        <w:t>Br r^2 slope relative to radius should be consistent with zero to within 0.25 in log-log exponent for the quiet-sector aggregate.</w:t>
      </w:r>
    </w:p>
    <w:p>
      <w:pPr>
        <w:pStyle w:val="Heading2"/>
        <w:keepNext/>
      </w:pPr>
      <w:r>
        <w:t>What the comparison result means</w:t>
      </w:r>
    </w:p>
    <w:p>
      <w:r>
        <w:t>PASS validates the large-scale Parker background, coordinate convention, and polarity for the sampled domain. It does not validate turbulent fluctuations or coronal topology. Correct |B| with wrong direction is a field-geometry failure; correct direction with biased magnitude is mainly a normalization failure. Disagreement concentrated near the heliospheric current sheet indicates that a single smooth Parker field is outside its intended scope.</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VP03 Background speed pressure sound speed and fast mode speed</w:t>
      </w:r>
    </w:p>
    <w:p>
      <w:pPr>
        <w:spacing w:after="120"/>
      </w:pPr>
      <w:r>
        <w:rPr>
          <w:b/>
        </w:rPr>
        <w:t xml:space="preserve">Campaign layer </w:t>
      </w:r>
      <w:r>
        <w:t>V1</w:t>
      </w:r>
    </w:p>
    <w:p>
      <w:pPr>
        <w:pStyle w:val="Heading2"/>
        <w:keepNext/>
      </w:pPr>
      <w:r>
        <w:t>What is compared</w:t>
      </w:r>
    </w:p>
    <w:p>
      <w:r>
        <w:t>Compare solar-wind bulk speed, proton pressure, temperature closure, sound speed, Alfven speed, and fast-mode speed with in-situ plasma and magnetic-field observations and with MHD model outputs.</w:t>
      </w:r>
    </w:p>
    <w:p>
      <w:pPr>
        <w:pStyle w:val="Heading2"/>
        <w:keepNext/>
      </w:pPr>
      <w:r>
        <w:t>Why the comparison is required</w:t>
      </w:r>
    </w:p>
    <w:p>
      <w:r>
        <w:t>SWCME shock classification and Rankine-Hugoniot solution depend on the upstream characteristic speeds. A plausible density and magnetic field do not guarantee a plausible Mach number if the pressure closure or temperature treatment is wrong.</w:t>
      </w:r>
    </w:p>
    <w:p>
      <w:pPr>
        <w:pStyle w:val="Heading2"/>
        <w:keepNext/>
      </w:pPr>
      <w:r>
        <w:t>Where observations and reference results are obtained</w:t>
      </w:r>
    </w:p>
    <w:p>
      <w:pPr>
        <w:pStyle w:val="ListBullet"/>
        <w:spacing w:after="60"/>
      </w:pPr>
      <w:r>
        <w:t>PSP SWEAP, Solar Orbiter SWA/PAS, STEREO PLASTIC, Wind/SWE, ACE/SWEPAM, and OMNI plasma moments paired with magnetic field data [D01-D05].</w:t>
      </w:r>
    </w:p>
    <w:p>
      <w:pPr>
        <w:pStyle w:val="ListBullet"/>
        <w:spacing w:after="60"/>
      </w:pPr>
      <w:r>
        <w:t>AWSoM-R, ENLIL, and EUHFORIA plasma outputs at matched coordinates [M01-M03].</w:t>
      </w:r>
    </w:p>
    <w:p>
      <w:pPr>
        <w:pStyle w:val="ListBullet"/>
        <w:spacing w:after="60"/>
      </w:pPr>
      <w:r>
        <w:t>Mission product caveats and quality flags, especially for temperature moments and low-count intervals, retained with every record.</w:t>
      </w:r>
    </w:p>
    <w:p>
      <w:pPr>
        <w:pStyle w:val="Heading2"/>
        <w:keepNext/>
      </w:pPr>
      <w:r>
        <w:t>Data preparation and matching</w:t>
      </w:r>
    </w:p>
    <w:p>
      <w:pPr>
        <w:pStyle w:val="ListBullet"/>
        <w:spacing w:after="60"/>
      </w:pPr>
      <w:r>
        <w:t>Use the same quiet-window selection as VP01 and VP02 so the closure is not judged on CME plasma that the background model does not represent.</w:t>
      </w:r>
    </w:p>
    <w:p>
      <w:pPr>
        <w:pStyle w:val="ListBullet"/>
        <w:spacing w:after="60"/>
      </w:pPr>
      <w:r>
        <w:t>Recompute observational proton pressure from n_p k_B T_p using the same unit convention; retain any published scalar pressure as an independent check.</w:t>
      </w:r>
    </w:p>
    <w:p>
      <w:pPr>
        <w:pStyle w:val="ListBullet"/>
        <w:spacing w:after="60"/>
      </w:pPr>
      <w:r>
        <w:t>Compute Alfven and sound speeds independently from observations. Report the assumed composition, adiabatic index, electron-pressure treatment, and magnetic units.</w:t>
      </w:r>
    </w:p>
    <w:p>
      <w:pPr>
        <w:pStyle w:val="ListBullet"/>
        <w:spacing w:after="60"/>
      </w:pPr>
      <w:r>
        <w:t>Propagate density, temperature, and field uncertainty into characteristic-speed uncertainty by Monte Carlo sampling or first-order propagation.</w:t>
      </w:r>
    </w:p>
    <w:p>
      <w:pPr>
        <w:pStyle w:val="Heading2"/>
        <w:keepNext/>
      </w:pPr>
      <w:r>
        <w:t>How the comparison is performed</w:t>
      </w:r>
    </w:p>
    <w:p>
      <w:pPr>
        <w:pStyle w:val="ListNumber"/>
        <w:spacing w:after="60"/>
      </w:pPr>
      <w:r>
        <w:t>Compare each primitive first, then compare derived sound, Alfven, and fast-mode speeds. This prevents cancellation between biased inputs from being mistaken for closure skill.</w:t>
      </w:r>
    </w:p>
    <w:p>
      <w:pPr>
        <w:pStyle w:val="ListNumber"/>
        <w:spacing w:after="60"/>
      </w:pPr>
      <w:r>
        <w:t>Stratify by slow and fast wind and by radius; examine whether a single configured temperature is defensible across the full domain.</w:t>
      </w:r>
    </w:p>
    <w:p>
      <w:pPr>
        <w:pStyle w:val="ListNumber"/>
        <w:spacing w:after="60"/>
      </w:pPr>
      <w:r>
        <w:t>Compare SWCME with MHD models using identical observation windows and report both absolute skill and computational complexity.</w:t>
      </w:r>
    </w:p>
    <w:p>
      <w:pPr>
        <w:pStyle w:val="Heading2"/>
        <w:keepNext/>
      </w:pPr>
      <w:r>
        <w:t>Metrics and proposed acceptance</w:t>
      </w:r>
    </w:p>
    <w:p>
      <w:pPr>
        <w:pStyle w:val="ListBullet"/>
        <w:spacing w:after="60"/>
      </w:pPr>
      <w:r>
        <w:t>Proposed gates: speed MAE &lt;= 100 km/s for quiet intervals; pressure and characteristic-speed median multiplicative errors &lt;= 2.</w:t>
      </w:r>
    </w:p>
    <w:p>
      <w:pPr>
        <w:pStyle w:val="ListBullet"/>
        <w:spacing w:after="60"/>
      </w:pPr>
      <w:r>
        <w:t>Derived fast-mode speed bias &lt;= 25% and no systematic sign error in V_sw - V_shock projections.</w:t>
      </w:r>
    </w:p>
    <w:p>
      <w:pPr>
        <w:pStyle w:val="ListBullet"/>
        <w:spacing w:after="60"/>
      </w:pPr>
      <w:r>
        <w:t>At least 90% of derived values must be finite and physically positive after quality filtering; missing instrument temperature is INCOMPLETE, not PASS.</w:t>
      </w:r>
    </w:p>
    <w:p>
      <w:pPr>
        <w:pStyle w:val="Heading2"/>
        <w:keepNext/>
      </w:pPr>
      <w:r>
        <w:t>What the comparison result means</w:t>
      </w:r>
    </w:p>
    <w:p>
      <w:r>
        <w:t>PASS supports the upstream thermodynamic state used by the shock solver. A primitive-variable failure invalidates a seemingly correct Mach number produced by compensating errors. If a single-temperature closure fails only over a known radial or wind-regime range, the result defines a narrower valid domain rather than automatically rejecting the entire model.</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VP04 CME and shock apex height time kinematics</w:t>
      </w:r>
    </w:p>
    <w:p>
      <w:pPr>
        <w:spacing w:after="120"/>
      </w:pPr>
      <w:r>
        <w:rPr>
          <w:b/>
        </w:rPr>
        <w:t xml:space="preserve">Campaign layer </w:t>
      </w:r>
      <w:r>
        <w:t>V2</w:t>
      </w:r>
    </w:p>
    <w:p>
      <w:pPr>
        <w:pStyle w:val="Heading2"/>
        <w:keepNext/>
      </w:pPr>
      <w:r>
        <w:t>What is compared</w:t>
      </w:r>
    </w:p>
    <w:p>
      <w:r>
        <w:t>Compare SWCME ballistic, drag-based, and data-driven apex radius, speed, and acceleration with deprojected coronagraph and heliospheric-imager height-time measurements from the low corona into the heliosphere.</w:t>
      </w:r>
    </w:p>
    <w:p>
      <w:pPr>
        <w:pStyle w:val="Heading2"/>
        <w:keepNext/>
      </w:pPr>
      <w:r>
        <w:t>Why the comparison is required</w:t>
      </w:r>
    </w:p>
    <w:p>
      <w:r>
        <w:t>The local shock solver cannot compensate for an incorrect trajectory. Apex kinematics determine when the front reaches each radius, the shock normal speed, and the time history of the SEP source.</w:t>
      </w:r>
    </w:p>
    <w:p>
      <w:pPr>
        <w:pStyle w:val="Heading2"/>
        <w:keepNext/>
      </w:pPr>
      <w:r>
        <w:t>Where observations and reference results are obtained</w:t>
      </w:r>
    </w:p>
    <w:p>
      <w:pPr>
        <w:pStyle w:val="ListBullet"/>
        <w:spacing w:after="60"/>
      </w:pPr>
      <w:r>
        <w:t>SOHO/LASCO C2-C3 images and CDAW height-time tables; the catalog supplies plane-of-sky speed, width, acceleration, and measurement files [D06].</w:t>
      </w:r>
    </w:p>
    <w:p>
      <w:pPr>
        <w:pStyle w:val="ListBullet"/>
        <w:spacing w:after="60"/>
      </w:pPr>
      <w:r>
        <w:t>STEREO/SECCHI COR1, COR2, HI1, and HI2 data from the STEREO Science Center and SECCHI archive [D05, D07].</w:t>
      </w:r>
    </w:p>
    <w:p>
      <w:pPr>
        <w:pStyle w:val="ListBullet"/>
        <w:spacing w:after="60"/>
      </w:pPr>
      <w:r>
        <w:t>PSP/WISPR and Solar Orbiter/SoloHI images when geometry permits [D08, D04].</w:t>
      </w:r>
    </w:p>
    <w:p>
      <w:pPr>
        <w:pStyle w:val="ListBullet"/>
        <w:spacing w:after="60"/>
      </w:pPr>
      <w:r>
        <w:t>DONKI CME analyses and GCS or other documented 3-D reconstructions as event metadata, not as automatically exact truth [D09, R03].</w:t>
      </w:r>
    </w:p>
    <w:p>
      <w:pPr>
        <w:pStyle w:val="ListBullet"/>
        <w:spacing w:after="60"/>
      </w:pPr>
      <w:r>
        <w:t>Drag-Based Model, ENLIL, and EUHFORIA trajectories for cross-model comparison [M02, M03, M05].</w:t>
      </w:r>
    </w:p>
    <w:p>
      <w:pPr>
        <w:pStyle w:val="Heading2"/>
        <w:keepNext/>
      </w:pPr>
      <w:r>
        <w:t>Data preparation and matching</w:t>
      </w:r>
    </w:p>
    <w:p>
      <w:pPr>
        <w:pStyle w:val="ListBullet"/>
        <w:spacing w:after="60"/>
      </w:pPr>
      <w:r>
        <w:t>Associate images to a single eruption using source region, first appearance, position angle, and propagation direction. Complex interacting CMEs receive separate identifiers and an interaction flag.</w:t>
      </w:r>
    </w:p>
    <w:p>
      <w:pPr>
        <w:pStyle w:val="ListBullet"/>
        <w:spacing w:after="60"/>
      </w:pPr>
      <w:r>
        <w:t>Use deprojected GCS/stereoscopic heights where available. If only LASCO plane-of-sky heights exist, propagate a projection uncertainty and do not tune a 3-D apex model directly to uncorrected values.</w:t>
      </w:r>
    </w:p>
    <w:p>
      <w:pPr>
        <w:pStyle w:val="ListBullet"/>
        <w:spacing w:after="60"/>
      </w:pPr>
      <w:r>
        <w:t>Record the exact feature tracked: shock front, bright CME leading edge, or flux-rope front. These are not interchangeable.</w:t>
      </w:r>
    </w:p>
    <w:p>
      <w:pPr>
        <w:pStyle w:val="ListBullet"/>
        <w:spacing w:after="60"/>
      </w:pPr>
      <w:r>
        <w:t>Reserve at least one later height point and the in-situ arrival for validation rather than using every observation to construct DATA_DRIVEN knots.</w:t>
      </w:r>
    </w:p>
    <w:p>
      <w:pPr>
        <w:pStyle w:val="Heading2"/>
        <w:keepNext/>
      </w:pPr>
      <w:r>
        <w:t>How the comparison is performed</w:t>
      </w:r>
    </w:p>
    <w:p>
      <w:pPr>
        <w:pStyle w:val="ListNumber"/>
        <w:spacing w:after="60"/>
      </w:pPr>
      <w:r>
        <w:t>Fit or ingest the early height-time points using a predeclared calibration window. Run all SWCME kinematic modes from identical initial conditions.</w:t>
      </w:r>
    </w:p>
    <w:p>
      <w:pPr>
        <w:pStyle w:val="ListNumber"/>
        <w:spacing w:after="60"/>
      </w:pPr>
      <w:r>
        <w:t>Evaluate modeled radius at every observation time and modeled time at fixed radii. Compare speeds using derivatives over the same cadence as the observations.</w:t>
      </w:r>
    </w:p>
    <w:p>
      <w:pPr>
        <w:pStyle w:val="ListNumber"/>
        <w:spacing w:after="60"/>
      </w:pPr>
      <w:r>
        <w:t>Repeat with plausible direction, initial speed, and drag-coefficient ensembles; keep measurement uncertainty distinct from parameter uncertainty.</w:t>
      </w:r>
    </w:p>
    <w:p>
      <w:pPr>
        <w:pStyle w:val="ListNumber"/>
        <w:spacing w:after="60"/>
      </w:pPr>
      <w:r>
        <w:t>Compare SWCME residuals with DBM, ENLIL, and EUHFORIA without selecting the best model after seeing the held-out endpoint.</w:t>
      </w:r>
    </w:p>
    <w:p>
      <w:pPr>
        <w:pStyle w:val="Heading2"/>
        <w:keepNext/>
      </w:pPr>
      <w:r>
        <w:t>Metrics and proposed acceptance</w:t>
      </w:r>
    </w:p>
    <w:p>
      <w:pPr>
        <w:pStyle w:val="ListBullet"/>
        <w:spacing w:after="60"/>
      </w:pPr>
      <w:r>
        <w:t>Proposed gates: median normalized height error &lt;= 10%, speed error &lt;= 20%, and no nonphysical reversal or negative radius.</w:t>
      </w:r>
    </w:p>
    <w:p>
      <w:pPr>
        <w:pStyle w:val="ListBullet"/>
        <w:spacing w:after="60"/>
      </w:pPr>
      <w:r>
        <w:t>Held-out radial-crossing time error &lt;= 6 hours for the primary target and &lt;= 12 hours as a useful secondary tier.</w:t>
      </w:r>
    </w:p>
    <w:p>
      <w:pPr>
        <w:pStyle w:val="ListBullet"/>
        <w:spacing w:after="60"/>
      </w:pPr>
      <w:r>
        <w:t>For DATA_DRIVEN mode, interpolation through supplied knots must remain at numerical tolerance, while validation is assessed only on held-out data.</w:t>
      </w:r>
    </w:p>
    <w:p>
      <w:pPr>
        <w:pStyle w:val="Heading2"/>
        <w:keepNext/>
      </w:pPr>
      <w:r>
        <w:t>What the comparison result means</w:t>
      </w:r>
    </w:p>
    <w:p>
      <w:r>
        <w:t>PASS supports the selected propagation law for the event and distance range. It does not establish correct shock geometry away from the apex. A good arrival obtained only after fitting that arrival is calibration closure, not predictive validation. Consistent residual curvature indicates a missing acceleration or interaction process; an almost constant time offset suggests launch-time or feature-identification error.</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VP05 Multi spacecraft shock arrival time and arrival speed</w:t>
      </w:r>
    </w:p>
    <w:p>
      <w:pPr>
        <w:spacing w:after="120"/>
      </w:pPr>
      <w:r>
        <w:rPr>
          <w:b/>
        </w:rPr>
        <w:t xml:space="preserve">Campaign layer </w:t>
      </w:r>
      <w:r>
        <w:t>V2</w:t>
      </w:r>
    </w:p>
    <w:p>
      <w:pPr>
        <w:pStyle w:val="Heading2"/>
        <w:keepNext/>
      </w:pPr>
      <w:r>
        <w:t>What is compared</w:t>
      </w:r>
    </w:p>
    <w:p>
      <w:r>
        <w:t>Compare modeled shock arrival times and local normal speeds at Earth, STEREO, PSP, Solar Orbiter, Mars, or other available observers with independently identified in-situ shocks and with operational or research model predictions.</w:t>
      </w:r>
    </w:p>
    <w:p>
      <w:pPr>
        <w:pStyle w:val="Heading2"/>
        <w:keepNext/>
      </w:pPr>
      <w:r>
        <w:t>Why the comparison is required</w:t>
      </w:r>
    </w:p>
    <w:p>
      <w:r>
        <w:t>Arrival time is the most direct test of propagation and front extent. Multiple observers prevent an apex-only fit from hiding an incorrect width, direction, or flank-speed law.</w:t>
      </w:r>
    </w:p>
    <w:p>
      <w:pPr>
        <w:pStyle w:val="Heading2"/>
        <w:keepNext/>
      </w:pPr>
      <w:r>
        <w:t>Where observations and reference results are obtained</w:t>
      </w:r>
    </w:p>
    <w:p>
      <w:pPr>
        <w:pStyle w:val="ListBullet"/>
        <w:spacing w:after="60"/>
      </w:pPr>
      <w:r>
        <w:t>Wind and ACE shock times and solutions from the CfA Interplanetary Shock Database, plus OMNI high-resolution data [D02, D10].</w:t>
      </w:r>
    </w:p>
    <w:p>
      <w:pPr>
        <w:pStyle w:val="ListBullet"/>
        <w:spacing w:after="60"/>
      </w:pPr>
      <w:r>
        <w:t>PSP, Solar Orbiter, and STEREO shock lists including the NASA SODA list where applicable [D11, D05].</w:t>
      </w:r>
    </w:p>
    <w:p>
      <w:pPr>
        <w:pStyle w:val="ListBullet"/>
        <w:spacing w:after="60"/>
      </w:pPr>
      <w:r>
        <w:t>DONKI IPS/CME associations, HELIO4CAST ICMECAT and LineupCAT, and LASSOS event associations [D09, D12, D13].</w:t>
      </w:r>
    </w:p>
    <w:p>
      <w:pPr>
        <w:pStyle w:val="ListBullet"/>
        <w:spacing w:after="60"/>
      </w:pPr>
      <w:r>
        <w:t>CCMC CME Scoreboard predictions, WSA-ENLIL, DBM, and EUHFORIA results frozen before comparison [M02, M03, M05, D14].</w:t>
      </w:r>
    </w:p>
    <w:p>
      <w:pPr>
        <w:pStyle w:val="Heading2"/>
        <w:keepNext/>
      </w:pPr>
      <w:r>
        <w:t>Data preparation and matching</w:t>
      </w:r>
    </w:p>
    <w:p>
      <w:pPr>
        <w:pStyle w:val="ListBullet"/>
        <w:spacing w:after="60"/>
      </w:pPr>
      <w:r>
        <w:t>Require a documented eruption-shock association. Ambiguous multiple-CME intervals are analyzed as a separate complex-event stratum.</w:t>
      </w:r>
    </w:p>
    <w:p>
      <w:pPr>
        <w:pStyle w:val="ListBullet"/>
        <w:spacing w:after="60"/>
      </w:pPr>
      <w:r>
        <w:t>Use spacecraft ephemerides at arrival and correct L1 measurements to the intended observer only when the catalog has not already time-shifted them.</w:t>
      </w:r>
    </w:p>
    <w:p>
      <w:pPr>
        <w:pStyle w:val="ListBullet"/>
        <w:spacing w:after="60"/>
      </w:pPr>
      <w:r>
        <w:t>Define arrival from the shock discontinuity, not the ejecta leading edge. Record catalog uncertainty or use the spread among independent analysts as a timing uncertainty.</w:t>
      </w:r>
    </w:p>
    <w:p>
      <w:pPr>
        <w:pStyle w:val="ListBullet"/>
        <w:spacing w:after="60"/>
      </w:pPr>
      <w:r>
        <w:t>Freeze SWCME launch parameters before revealing held-out arrival times.</w:t>
      </w:r>
    </w:p>
    <w:p>
      <w:pPr>
        <w:pStyle w:val="Heading2"/>
        <w:keepNext/>
      </w:pPr>
      <w:r>
        <w:t>How the comparison is performed</w:t>
      </w:r>
    </w:p>
    <w:p>
      <w:pPr>
        <w:pStyle w:val="ListNumber"/>
        <w:spacing w:after="60"/>
      </w:pPr>
      <w:r>
        <w:t>Solve for the first physical shock intersection with each observer and archive connected/disconnected/out-of-domain status as well as arrival time.</w:t>
      </w:r>
    </w:p>
    <w:p>
      <w:pPr>
        <w:pStyle w:val="ListNumber"/>
        <w:spacing w:after="60"/>
      </w:pPr>
      <w:r>
        <w:t>Compare timing error, absolute timing error, local normal-speed error, hit/miss classification, and observer ordering.</w:t>
      </w:r>
    </w:p>
    <w:p>
      <w:pPr>
        <w:pStyle w:val="ListNumber"/>
        <w:spacing w:after="60"/>
      </w:pPr>
      <w:r>
        <w:t>For ensembles, compute reliability and Brier score for hit probability in addition to deterministic error.</w:t>
      </w:r>
    </w:p>
    <w:p>
      <w:pPr>
        <w:pStyle w:val="ListNumber"/>
        <w:spacing w:after="60"/>
      </w:pPr>
      <w:r>
        <w:t>Benchmark against the contemporaneous model versions recorded by CCMC or rerun reference models with the same CME inputs when feasible.</w:t>
      </w:r>
    </w:p>
    <w:p>
      <w:pPr>
        <w:pStyle w:val="Heading2"/>
        <w:keepNext/>
      </w:pPr>
      <w:r>
        <w:t>Metrics and proposed acceptance</w:t>
      </w:r>
    </w:p>
    <w:p>
      <w:pPr>
        <w:pStyle w:val="ListBullet"/>
        <w:spacing w:after="60"/>
      </w:pPr>
      <w:r>
        <w:t>Primary event gate: all mandatory hit/miss outcomes correct and absolute arrival error &lt;= 6 hours at the principal observer.</w:t>
      </w:r>
    </w:p>
    <w:p>
      <w:pPr>
        <w:pStyle w:val="ListBullet"/>
        <w:spacing w:after="60"/>
      </w:pPr>
      <w:r>
        <w:t>Campaign targets: median absolute arrival error &lt;= 10 hours, mean signed bias within +/-5 hours, local speed error &lt;= 20%, and no incorrect observer ordering.</w:t>
      </w:r>
    </w:p>
    <w:p>
      <w:pPr>
        <w:pStyle w:val="ListBullet"/>
        <w:spacing w:after="60"/>
      </w:pPr>
      <w:r>
        <w:t>Report probability of detection, false-alarm ratio, critical success index, and Brier score for the multi-event set; do not infer categorical skill from hit events alone.</w:t>
      </w:r>
    </w:p>
    <w:p>
      <w:pPr>
        <w:pStyle w:val="Heading2"/>
        <w:keepNext/>
      </w:pPr>
      <w:r>
        <w:t>What the comparison result means</w:t>
      </w:r>
    </w:p>
    <w:p>
      <w:r>
        <w:t>PASS supports the combined apex propagation and encounter timing for the sampled geometry. A correct arrival with an incorrect speed suggests compensating kinematic error. Correct apex timing but flank misses indicates geometry/width failure and should route to VP08. Better performance than another model shows relative skill under matched inputs, not absolute physical correctness.</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VP06 In situ fast shock jump and conservation</w:t>
      </w:r>
    </w:p>
    <w:p>
      <w:pPr>
        <w:spacing w:after="120"/>
      </w:pPr>
      <w:r>
        <w:rPr>
          <w:b/>
        </w:rPr>
        <w:t xml:space="preserve">Campaign layer </w:t>
      </w:r>
      <w:r>
        <w:t>V3</w:t>
      </w:r>
    </w:p>
    <w:p>
      <w:pPr>
        <w:pStyle w:val="Heading2"/>
        <w:keepNext/>
      </w:pPr>
      <w:r>
        <w:t>What is compared</w:t>
      </w:r>
    </w:p>
    <w:p>
      <w:r>
        <w:t>Compare SWCME upstream and downstream density, velocity, magnetic field, pressure, compression, Mach number, and all normalized Rankine-Hugoniot flux residuals with in-situ shock observations and independent catalog solutions.</w:t>
      </w:r>
    </w:p>
    <w:p>
      <w:pPr>
        <w:pStyle w:val="Heading2"/>
        <w:keepNext/>
      </w:pPr>
      <w:r>
        <w:t>Why the comparison is required</w:t>
      </w:r>
    </w:p>
    <w:p>
      <w:r>
        <w:t>Arrival alone does not establish a physical shock. The jump controls downstream fields and plasma, acceleration slope, and source strength. The conservation residuals distinguish a plausible-looking empirical jump from a valid ideal-MHD solution.</w:t>
      </w:r>
    </w:p>
    <w:p>
      <w:pPr>
        <w:pStyle w:val="Heading2"/>
        <w:keepNext/>
      </w:pPr>
      <w:r>
        <w:t>Where observations and reference results are obtained</w:t>
      </w:r>
    </w:p>
    <w:p>
      <w:pPr>
        <w:pStyle w:val="ListBullet"/>
        <w:spacing w:after="60"/>
      </w:pPr>
      <w:r>
        <w:t>Wind/MFI and SWE, ACE/MAG and SWEPAM, or OMNI one-minute data around cataloged shocks [D01, D02].</w:t>
      </w:r>
    </w:p>
    <w:p>
      <w:pPr>
        <w:pStyle w:val="ListBullet"/>
        <w:spacing w:after="60"/>
      </w:pPr>
      <w:r>
        <w:t>CfA Wind/ACE shock database solutions and uncertainties [D10].</w:t>
      </w:r>
    </w:p>
    <w:p>
      <w:pPr>
        <w:pStyle w:val="ListBullet"/>
        <w:spacing w:after="60"/>
      </w:pPr>
      <w:r>
        <w:t>PSP FIELDS/SWEAP and NASA SODA shocks; Solar Orbiter MAG/SWA and STEREO IMPACT/PLASTIC shock products [D11, D04, D05].</w:t>
      </w:r>
    </w:p>
    <w:p>
      <w:pPr>
        <w:pStyle w:val="ListBullet"/>
        <w:spacing w:after="60"/>
      </w:pPr>
      <w:r>
        <w:t>AWSoM-R shock-capturing output or another full-MHD shock solution sampled at the same event and observer [M01].</w:t>
      </w:r>
    </w:p>
    <w:p>
      <w:pPr>
        <w:pStyle w:val="Heading2"/>
        <w:keepNext/>
      </w:pPr>
      <w:r>
        <w:t>Data preparation and matching</w:t>
      </w:r>
    </w:p>
    <w:p>
      <w:pPr>
        <w:pStyle w:val="ListBullet"/>
        <w:spacing w:after="60"/>
      </w:pPr>
      <w:r>
        <w:t>Select upstream and downstream windows independently of the model, exclude the ramp, and publish window endpoints. Use several window lengths to quantify nonstationarity.</w:t>
      </w:r>
    </w:p>
    <w:p>
      <w:pPr>
        <w:pStyle w:val="ListBullet"/>
        <w:spacing w:after="60"/>
      </w:pPr>
      <w:r>
        <w:t>Transform vectors to a shock-normal basis using the observational normal and separately using the modeled normal; this separates jump physics from normal error.</w:t>
      </w:r>
    </w:p>
    <w:p>
      <w:pPr>
        <w:pStyle w:val="ListBullet"/>
        <w:spacing w:after="60"/>
      </w:pPr>
      <w:r>
        <w:t>Propagate measurement variance and normal uncertainty into compression, Mach number, and flux residuals.</w:t>
      </w:r>
    </w:p>
    <w:p>
      <w:pPr>
        <w:pStyle w:val="ListBullet"/>
        <w:spacing w:after="60"/>
      </w:pPr>
      <w:r>
        <w:t>Retain shocks with poor stationarity as stress cases but do not combine them silently with the primary clean-shock set.</w:t>
      </w:r>
    </w:p>
    <w:p>
      <w:pPr>
        <w:pStyle w:val="Heading2"/>
        <w:keepNext/>
      </w:pPr>
      <w:r>
        <w:t>How the comparison is performed</w:t>
      </w:r>
    </w:p>
    <w:p>
      <w:pPr>
        <w:pStyle w:val="ListNumber"/>
        <w:spacing w:after="60"/>
      </w:pPr>
      <w:r>
        <w:t>Feed the observed upstream primitive state and shock normal speed to the SWCME MHD jump solver for a solver-only comparison.</w:t>
      </w:r>
    </w:p>
    <w:p>
      <w:pPr>
        <w:pStyle w:val="ListNumber"/>
        <w:spacing w:after="60"/>
      </w:pPr>
      <w:r>
        <w:t>Separately run the complete SWCME event state to expose errors caused by its modeled upstream or kinematics.</w:t>
      </w:r>
    </w:p>
    <w:p>
      <w:pPr>
        <w:pStyle w:val="ListNumber"/>
        <w:spacing w:after="60"/>
      </w:pPr>
      <w:r>
        <w:t>Recompute mass, normal magnetic field, tangential electric field, normal momentum, and total-energy flux residuals independently from both modeled and observed states.</w:t>
      </w:r>
    </w:p>
    <w:p>
      <w:pPr>
        <w:pStyle w:val="ListNumber"/>
        <w:spacing w:after="60"/>
      </w:pPr>
      <w:r>
        <w:t>Compare compression, B2/B1, velocity change, pressure change, theta_Bn, and downstream vector rotation with catalog and full-MHD values.</w:t>
      </w:r>
    </w:p>
    <w:p>
      <w:pPr>
        <w:pStyle w:val="Heading2"/>
        <w:keepNext/>
      </w:pPr>
      <w:r>
        <w:t>Metrics and proposed acceptance</w:t>
      </w:r>
    </w:p>
    <w:p>
      <w:pPr>
        <w:pStyle w:val="ListBullet"/>
        <w:spacing w:after="60"/>
      </w:pPr>
      <w:r>
        <w:t>Numerical gate: every normalized SWCME conservation residual &lt;= 1e-8 and the solution is on the admissible fast-shock branch.</w:t>
      </w:r>
    </w:p>
    <w:p>
      <w:pPr>
        <w:pStyle w:val="ListBullet"/>
        <w:spacing w:after="60"/>
      </w:pPr>
      <w:r>
        <w:t>Observational targets: compression error &lt;= 25%, downstream speed error &lt;= 15%, |B| jump error &lt;= 30%, and theta_Bn error &lt;= 15 degrees.</w:t>
      </w:r>
    </w:p>
    <w:p>
      <w:pPr>
        <w:pStyle w:val="ListBullet"/>
        <w:spacing w:after="60"/>
      </w:pPr>
      <w:r>
        <w:t>At least 80% of clean shocks should meet the factor-of-two pressure and Mach-number bounds; publish median and 90th-percentile errors.</w:t>
      </w:r>
    </w:p>
    <w:p>
      <w:pPr>
        <w:pStyle w:val="Heading2"/>
        <w:keepNext/>
      </w:pPr>
      <w:r>
        <w:t>What the comparison result means</w:t>
      </w:r>
    </w:p>
    <w:p>
      <w:r>
        <w:t>PASS in the solver-only comparison validates the jump solver given a correct upstream state and normal. PASS in the end-to-end comparison also supports upstream and kinematic inputs. Solver-only PASS with end-to-end FAIL localizes the problem outside the Rankine-Hugoniot algebra. An observational residual above the ideal-MHD threshold may reflect nonstationarity or unmeasured pressure components and must not be used to relax the model's numerical conservation gate.</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VP07 Shock normal obliquity and local acceleration geometry</w:t>
      </w:r>
    </w:p>
    <w:p>
      <w:pPr>
        <w:spacing w:after="120"/>
      </w:pPr>
      <w:r>
        <w:rPr>
          <w:b/>
        </w:rPr>
        <w:t xml:space="preserve">Campaign layer </w:t>
      </w:r>
      <w:r>
        <w:t>V3</w:t>
      </w:r>
    </w:p>
    <w:p>
      <w:pPr>
        <w:pStyle w:val="Heading2"/>
        <w:keepNext/>
      </w:pPr>
      <w:r>
        <w:t>What is compared</w:t>
      </w:r>
    </w:p>
    <w:p>
      <w:r>
        <w:t>Compare SWCME shock normals, theta_Bn, local normal speed, and apex-to-flank variation with normals inferred from magnetic coplanarity, mixed-mode methods, multi-spacecraft timing, and independent MHD shock-surface reconstructions.</w:t>
      </w:r>
    </w:p>
    <w:p>
      <w:pPr>
        <w:pStyle w:val="Heading2"/>
        <w:keepNext/>
      </w:pPr>
      <w:r>
        <w:t>Why the comparison is required</w:t>
      </w:r>
    </w:p>
    <w:p>
      <w:r>
        <w:t>Shock obliquity controls the projected upstream flow and field, jump solution, and acceleration efficiency. A small normal error can move an event between quasi-parallel and quasi-perpendicular regimes even when the front position is accurate.</w:t>
      </w:r>
    </w:p>
    <w:p>
      <w:pPr>
        <w:pStyle w:val="Heading2"/>
        <w:keepNext/>
      </w:pPr>
      <w:r>
        <w:t>Where observations and reference results are obtained</w:t>
      </w:r>
    </w:p>
    <w:p>
      <w:pPr>
        <w:pStyle w:val="ListBullet"/>
        <w:spacing w:after="60"/>
      </w:pPr>
      <w:r>
        <w:t>Shock normals and uncertainty from CfA, SODA, STEREO, or published event analyses [D10, D11].</w:t>
      </w:r>
    </w:p>
    <w:p>
      <w:pPr>
        <w:pStyle w:val="ListBullet"/>
        <w:spacing w:after="60"/>
      </w:pPr>
      <w:r>
        <w:t>High-cadence magnetic and plasma vectors from the same instruments used in VP06.</w:t>
      </w:r>
    </w:p>
    <w:p>
      <w:pPr>
        <w:pStyle w:val="ListBullet"/>
        <w:spacing w:after="60"/>
      </w:pPr>
      <w:r>
        <w:t>AWSoM-R shock-capturing surfaces and GCS/ellipsoid remote reconstructions where available [M01, R03].</w:t>
      </w:r>
    </w:p>
    <w:p>
      <w:pPr>
        <w:pStyle w:val="Heading2"/>
        <w:keepNext/>
      </w:pPr>
      <w:r>
        <w:t>Data preparation and matching</w:t>
      </w:r>
    </w:p>
    <w:p>
      <w:pPr>
        <w:pStyle w:val="ListBullet"/>
        <w:spacing w:after="60"/>
      </w:pPr>
      <w:r>
        <w:t>Require a normal-method label and uncertainty cone. Do not mix magnetic-coplanarity and timing normals as if they had the same error model.</w:t>
      </w:r>
    </w:p>
    <w:p>
      <w:pPr>
        <w:pStyle w:val="ListBullet"/>
        <w:spacing w:after="60"/>
      </w:pPr>
      <w:r>
        <w:t>Use identical upstream averaging windows for observational theta_Bn and VP06 jump calculations.</w:t>
      </w:r>
    </w:p>
    <w:p>
      <w:pPr>
        <w:pStyle w:val="ListBullet"/>
        <w:spacing w:after="60"/>
      </w:pPr>
      <w:r>
        <w:t>Map every normal into a common heliocentric frame and resolve the outward/inward sign consistently before taking angular differences.</w:t>
      </w:r>
    </w:p>
    <w:p>
      <w:pPr>
        <w:pStyle w:val="Heading2"/>
        <w:keepNext/>
      </w:pPr>
      <w:r>
        <w:t>How the comparison is performed</w:t>
      </w:r>
    </w:p>
    <w:p>
      <w:pPr>
        <w:pStyle w:val="ListNumber"/>
        <w:spacing w:after="60"/>
      </w:pPr>
      <w:r>
        <w:t>Evaluate SWCME at the spacecraft direction and time. Compare angular separation of normals, theta_Bn, and local normal speed.</w:t>
      </w:r>
    </w:p>
    <w:p>
      <w:pPr>
        <w:pStyle w:val="ListNumber"/>
        <w:spacing w:after="60"/>
      </w:pPr>
      <w:r>
        <w:t>Repeat the comparison along the reconstructed front or at multiple spacecraft to test the modeled apex-to-flank trend.</w:t>
      </w:r>
    </w:p>
    <w:p>
      <w:pPr>
        <w:pStyle w:val="ListNumber"/>
        <w:spacing w:after="60"/>
      </w:pPr>
      <w:r>
        <w:t>Perform a sensitivity sweep over CME direction, width, and axis ratios to identify which geometry parameter dominates normal uncertainty.</w:t>
      </w:r>
    </w:p>
    <w:p>
      <w:pPr>
        <w:pStyle w:val="Heading2"/>
        <w:keepNext/>
      </w:pPr>
      <w:r>
        <w:t>Metrics and proposed acceptance</w:t>
      </w:r>
    </w:p>
    <w:p>
      <w:pPr>
        <w:pStyle w:val="ListBullet"/>
        <w:spacing w:after="60"/>
      </w:pPr>
      <w:r>
        <w:t>Proposed gate: normal angular error &lt;= 20 degrees and theta_Bn error &lt;= 15 degrees or within the combined 1-sigma uncertainty, whichever is larger.</w:t>
      </w:r>
    </w:p>
    <w:p>
      <w:pPr>
        <w:pStyle w:val="ListBullet"/>
        <w:spacing w:after="60"/>
      </w:pPr>
      <w:r>
        <w:t>Quasi-parallel/quasi-perpendicular category accuracy &gt;= 80% using a predeclared threshold such as 45 degrees.</w:t>
      </w:r>
    </w:p>
    <w:p>
      <w:pPr>
        <w:pStyle w:val="ListBullet"/>
        <w:spacing w:after="60"/>
      </w:pPr>
      <w:r>
        <w:t>Local normal-speed error &lt;= 20% and monotonic apex-to-flank speed ordering where the selected geometry predicts it.</w:t>
      </w:r>
    </w:p>
    <w:p>
      <w:pPr>
        <w:pStyle w:val="Heading2"/>
        <w:keepNext/>
      </w:pPr>
      <w:r>
        <w:t>What the comparison result means</w:t>
      </w:r>
    </w:p>
    <w:p>
      <w:r>
        <w:t>PASS validates local surface orientation at the sampled points. It does not validate global width. If timing is correct but the normal is wrong, the front can intersect the observer at the right time for the wrong geometry. Category agreement without angular agreement is weak evidence and must be reported separately.</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VP08 Three dimensional shock front and multi observer encounters</w:t>
      </w:r>
    </w:p>
    <w:p>
      <w:pPr>
        <w:spacing w:after="120"/>
      </w:pPr>
      <w:r>
        <w:rPr>
          <w:b/>
        </w:rPr>
        <w:t xml:space="preserve">Campaign layer </w:t>
      </w:r>
      <w:r>
        <w:t>V4</w:t>
      </w:r>
    </w:p>
    <w:p>
      <w:pPr>
        <w:pStyle w:val="Heading2"/>
        <w:keepNext/>
      </w:pPr>
      <w:r>
        <w:t>What is compared</w:t>
      </w:r>
    </w:p>
    <w:p>
      <w:r>
        <w:t>Compare SWCME Sphere, SSE, and Ellipsoid front shapes, angular extent, apex-to-flank radius, and observer hit/miss histories with remote-sensing reconstructions, heliospheric-imager tracks, and multi-spacecraft in-situ encounters.</w:t>
      </w:r>
    </w:p>
    <w:p>
      <w:pPr>
        <w:pStyle w:val="Heading2"/>
        <w:keepNext/>
      </w:pPr>
      <w:r>
        <w:t>Why the comparison is required</w:t>
      </w:r>
    </w:p>
    <w:p>
      <w:r>
        <w:t>A one-dimensional apex trajectory can be correct while the three-dimensional front predicts the wrong spacecraft encounters. This test is the primary validation of width and shape rather than propagation alone.</w:t>
      </w:r>
    </w:p>
    <w:p>
      <w:pPr>
        <w:pStyle w:val="Heading2"/>
        <w:keepNext/>
      </w:pPr>
      <w:r>
        <w:t>Where observations and reference results are obtained</w:t>
      </w:r>
    </w:p>
    <w:p>
      <w:pPr>
        <w:pStyle w:val="ListBullet"/>
        <w:spacing w:after="60"/>
      </w:pPr>
      <w:r>
        <w:t>SOHO/LASCO and STEREO/SECCHI images with GCS, SSEF, or ellipse-fit reconstructions and stated uncertainties [D06, D07, R03].</w:t>
      </w:r>
    </w:p>
    <w:p>
      <w:pPr>
        <w:pStyle w:val="ListBullet"/>
        <w:spacing w:after="60"/>
      </w:pPr>
      <w:r>
        <w:t>WISPR and SoloHI tracks for inner-heliosphere events where available [D08, D04].</w:t>
      </w:r>
    </w:p>
    <w:p>
      <w:pPr>
        <w:pStyle w:val="ListBullet"/>
        <w:spacing w:after="60"/>
      </w:pPr>
      <w:r>
        <w:t>Multi-spacecraft encounter associations from HELIO4CAST LineupCAT, ICMECAT, LASSOS, DONKI, and mission shock catalogs [D09, D11-D13].</w:t>
      </w:r>
    </w:p>
    <w:p>
      <w:pPr>
        <w:pStyle w:val="ListBullet"/>
        <w:spacing w:after="60"/>
      </w:pPr>
      <w:r>
        <w:t>ENLIL and EUHFORIA global fronts as cross-model comparators [M02, M03].</w:t>
      </w:r>
    </w:p>
    <w:p>
      <w:pPr>
        <w:pStyle w:val="Heading2"/>
        <w:keepNext/>
      </w:pPr>
      <w:r>
        <w:t>Data preparation and matching</w:t>
      </w:r>
    </w:p>
    <w:p>
      <w:pPr>
        <w:pStyle w:val="ListBullet"/>
        <w:spacing w:after="60"/>
      </w:pPr>
      <w:r>
        <w:t>Choose events with at least two well-separated observers or one hit plus one credible non-encounter constraint. Record ephemerides at every epoch.</w:t>
      </w:r>
    </w:p>
    <w:p>
      <w:pPr>
        <w:pStyle w:val="ListBullet"/>
        <w:spacing w:after="60"/>
      </w:pPr>
      <w:r>
        <w:t>Separate shock, sheath, and ejecta detections. A spacecraft can cross a shock flank without sampling the magnetic ejecta.</w:t>
      </w:r>
    </w:p>
    <w:p>
      <w:pPr>
        <w:pStyle w:val="ListBullet"/>
        <w:spacing w:after="60"/>
      </w:pPr>
      <w:r>
        <w:t>Fit geometry only to a predeclared imaging interval; reserve later imagery and in-situ encounters for validation.</w:t>
      </w:r>
    </w:p>
    <w:p>
      <w:pPr>
        <w:pStyle w:val="ListBullet"/>
        <w:spacing w:after="60"/>
      </w:pPr>
      <w:r>
        <w:t>Represent direction and width uncertainty as an ensemble rather than a single best-fit outline.</w:t>
      </w:r>
    </w:p>
    <w:p>
      <w:pPr>
        <w:pStyle w:val="Heading2"/>
        <w:keepNext/>
      </w:pPr>
      <w:r>
        <w:t>How the comparison is performed</w:t>
      </w:r>
    </w:p>
    <w:p>
      <w:pPr>
        <w:pStyle w:val="ListNumber"/>
        <w:spacing w:after="60"/>
      </w:pPr>
      <w:r>
        <w:t>Generate SWCME surfaces at imaging epochs and project them into each imager plane for comparison with tracked fronts.</w:t>
      </w:r>
    </w:p>
    <w:p>
      <w:pPr>
        <w:pStyle w:val="ListNumber"/>
        <w:spacing w:after="60"/>
      </w:pPr>
      <w:r>
        <w:t>At every observer, classify hit, miss, tangent/uncertain, or outside domain and calculate first-intersection time and local surface normal.</w:t>
      </w:r>
    </w:p>
    <w:p>
      <w:pPr>
        <w:pStyle w:val="ListNumber"/>
        <w:spacing w:after="60"/>
      </w:pPr>
      <w:r>
        <w:t>Compare Sphere, SSE, and Ellipsoid using the same kinematics; compare to ENLIL/EUHFORIA with matched CME input parameters.</w:t>
      </w:r>
    </w:p>
    <w:p>
      <w:pPr>
        <w:pStyle w:val="ListNumber"/>
        <w:spacing w:after="60"/>
      </w:pPr>
      <w:r>
        <w:t>Score front-distance residuals, angular-width error, hit/miss contingency tables, arrival ordering, and probability calibration for ensembles.</w:t>
      </w:r>
    </w:p>
    <w:p>
      <w:pPr>
        <w:pStyle w:val="Heading2"/>
        <w:keepNext/>
      </w:pPr>
      <w:r>
        <w:t>Metrics and proposed acceptance</w:t>
      </w:r>
    </w:p>
    <w:p>
      <w:pPr>
        <w:pStyle w:val="ListBullet"/>
        <w:spacing w:after="60"/>
      </w:pPr>
      <w:r>
        <w:t>Mandatory event gate: all high-confidence hit/miss classifications correct and every observed arrival inside its combined timing uncertainty.</w:t>
      </w:r>
    </w:p>
    <w:p>
      <w:pPr>
        <w:pStyle w:val="ListBullet"/>
        <w:spacing w:after="60"/>
      </w:pPr>
      <w:r>
        <w:t>Projected-front median distance error &lt;= 10% of apex radius; half-width error &lt;= 10 degrees when an independent 3-D width exists.</w:t>
      </w:r>
    </w:p>
    <w:p>
      <w:pPr>
        <w:pStyle w:val="ListBullet"/>
        <w:spacing w:after="60"/>
      </w:pPr>
      <w:r>
        <w:t>Across events report POD, FAR, CSI, Brier score, and timing MAE by apex versus flank category.</w:t>
      </w:r>
    </w:p>
    <w:p>
      <w:pPr>
        <w:pStyle w:val="Heading2"/>
        <w:keepNext/>
      </w:pPr>
      <w:r>
        <w:t>What the comparison result means</w:t>
      </w:r>
    </w:p>
    <w:p>
      <w:r>
        <w:t>PASS supports the selected global front geometry over the sampled angular range. Failure only at flank observers identifies width or flank-shape limitations. Agreement with another model but not observations indicates shared input or structural bias. A hit/miss PASS cannot by itself validate shock strength or SEP transport.</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VP09 Sheath ejecta and region boundary profiles</w:t>
      </w:r>
    </w:p>
    <w:p>
      <w:pPr>
        <w:spacing w:after="120"/>
      </w:pPr>
      <w:r>
        <w:rPr>
          <w:b/>
        </w:rPr>
        <w:t xml:space="preserve">Campaign layer </w:t>
      </w:r>
      <w:r>
        <w:t>V4</w:t>
      </w:r>
    </w:p>
    <w:p>
      <w:pPr>
        <w:pStyle w:val="Heading2"/>
        <w:keepNext/>
      </w:pPr>
      <w:r>
        <w:t>What is compared</w:t>
      </w:r>
    </w:p>
    <w:p>
      <w:r>
        <w:t>Compare modeled shock, sheath, leading edge, ejecta, and trailing-edge times and the plasma/field profiles across those regions with in-situ ICME catalogs and observations. Evaluate SHOCK_ONLY and FULL_ICME modes separately.</w:t>
      </w:r>
    </w:p>
    <w:p>
      <w:pPr>
        <w:pStyle w:val="Heading2"/>
        <w:keepNext/>
      </w:pPr>
      <w:r>
        <w:t>Why the comparison is required</w:t>
      </w:r>
    </w:p>
    <w:p>
      <w:r>
        <w:t>Region durations and smooth transitions control how long observers and particles sample compressed or ejecta plasma. A correct shock arrival does not validate sheath thickness, ejecta extent, or smoothing.</w:t>
      </w:r>
    </w:p>
    <w:p>
      <w:pPr>
        <w:pStyle w:val="Heading2"/>
        <w:keepNext/>
      </w:pPr>
      <w:r>
        <w:t>Where observations and reference results are obtained</w:t>
      </w:r>
    </w:p>
    <w:p>
      <w:pPr>
        <w:pStyle w:val="ListBullet"/>
        <w:spacing w:after="60"/>
      </w:pPr>
      <w:r>
        <w:t>HELIO4CAST ICMECAT and LineupCAT intervals, the NASA Wind ICME catalog, and STEREO Level-3 ICME lists [D12, D15, D05].</w:t>
      </w:r>
    </w:p>
    <w:p>
      <w:pPr>
        <w:pStyle w:val="ListBullet"/>
        <w:spacing w:after="60"/>
      </w:pPr>
      <w:r>
        <w:t>Underlying Wind, ACE, OMNI, STEREO, PSP, or Solar Orbiter plasma and magnetic-field time series [D01-D05].</w:t>
      </w:r>
    </w:p>
    <w:p>
      <w:pPr>
        <w:pStyle w:val="ListBullet"/>
        <w:spacing w:after="60"/>
      </w:pPr>
      <w:r>
        <w:t>ENLIL and EUHFORIA time series as references for large-scale sheath duration; use models with magnetic ejecta only when comparing internal field rotation [M02, M03].</w:t>
      </w:r>
    </w:p>
    <w:p>
      <w:pPr>
        <w:pStyle w:val="Heading2"/>
        <w:keepNext/>
      </w:pPr>
      <w:r>
        <w:t>Data preparation and matching</w:t>
      </w:r>
    </w:p>
    <w:p>
      <w:pPr>
        <w:pStyle w:val="ListBullet"/>
        <w:spacing w:after="60"/>
      </w:pPr>
      <w:r>
        <w:t>Use catalog boundaries selected independently from SWCME and record alternate catalog boundaries as uncertainty.</w:t>
      </w:r>
    </w:p>
    <w:p>
      <w:pPr>
        <w:pStyle w:val="ListBullet"/>
        <w:spacing w:after="60"/>
      </w:pPr>
      <w:r>
        <w:t>Normalize time either in physical hours from shock or by observed region duration, but retain physical timing metrics.</w:t>
      </w:r>
    </w:p>
    <w:p>
      <w:pPr>
        <w:pStyle w:val="ListBullet"/>
        <w:spacing w:after="60"/>
      </w:pPr>
      <w:r>
        <w:t>Flag interacting CMEs and complex ejecta; do not use them as primary validation of a single self-similar structure.</w:t>
      </w:r>
    </w:p>
    <w:p>
      <w:pPr>
        <w:pStyle w:val="Heading2"/>
        <w:keepNext/>
      </w:pPr>
      <w:r>
        <w:t>How the comparison is performed</w:t>
      </w:r>
    </w:p>
    <w:p>
      <w:pPr>
        <w:pStyle w:val="ListNumber"/>
        <w:spacing w:after="60"/>
      </w:pPr>
      <w:r>
        <w:t>Compare boundary times, sheath/ejecta durations, median and peak density, speed, pressure, and |B|, and normalized profile shapes.</w:t>
      </w:r>
    </w:p>
    <w:p>
      <w:pPr>
        <w:pStyle w:val="ListNumber"/>
        <w:spacing w:after="60"/>
      </w:pPr>
      <w:r>
        <w:t>Evaluate smoothing widths by convergence: reduce output cadence and smoothing width independently to ensure the result is not a sampling artifact.</w:t>
      </w:r>
    </w:p>
    <w:p>
      <w:pPr>
        <w:pStyle w:val="ListNumber"/>
        <w:spacing w:after="60"/>
      </w:pPr>
      <w:r>
        <w:t>Use dynamic time warping or normalized-region correlation only as a secondary shape metric; primary physical timing must remain visible.</w:t>
      </w:r>
    </w:p>
    <w:p>
      <w:pPr>
        <w:pStyle w:val="Heading2"/>
        <w:keepNext/>
      </w:pPr>
      <w:r>
        <w:t>Metrics and proposed acceptance</w:t>
      </w:r>
    </w:p>
    <w:p>
      <w:pPr>
        <w:pStyle w:val="ListBullet"/>
        <w:spacing w:after="60"/>
      </w:pPr>
      <w:r>
        <w:t>Boundary timing error &lt;= max(3 hours, catalog uncertainty); sheath and ejecta duration error &lt;= 30%.</w:t>
      </w:r>
    </w:p>
    <w:p>
      <w:pPr>
        <w:pStyle w:val="ListBullet"/>
        <w:spacing w:after="60"/>
      </w:pPr>
      <w:r>
        <w:t>Median density, speed, and |B| region values within a factor of 2; normalized profile correlation &gt;= 0.6 as a secondary target.</w:t>
      </w:r>
    </w:p>
    <w:p>
      <w:pPr>
        <w:pStyle w:val="ListBullet"/>
        <w:spacing w:after="60"/>
      </w:pPr>
      <w:r>
        <w:t>No artificial overshoot, negative pressure/density, or discontinuity outside the physical shock transition.</w:t>
      </w:r>
    </w:p>
    <w:p>
      <w:pPr>
        <w:pStyle w:val="Heading2"/>
        <w:keepNext/>
      </w:pPr>
      <w:r>
        <w:t>What the comparison result means</w:t>
      </w:r>
    </w:p>
    <w:p>
      <w:r>
        <w:t>PASS validates the reduced region representation for bulk timing and amplitudes, not detailed magnetic-cloud topology. A good normalized shape with incorrect duration means the spatial profile may be useful after timing correction but the propagation/scale is wrong. FULL_ICME failure must not invalidate a SHOCK_ONLY source campaign that never uses the ejecta representation.</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VP10 Parker field line mapping path length and focusing</w:t>
      </w:r>
    </w:p>
    <w:p>
      <w:pPr>
        <w:spacing w:after="120"/>
      </w:pPr>
      <w:r>
        <w:rPr>
          <w:b/>
        </w:rPr>
        <w:t xml:space="preserve">Campaign layer </w:t>
      </w:r>
      <w:r>
        <w:t>V5</w:t>
      </w:r>
    </w:p>
    <w:p>
      <w:pPr>
        <w:pStyle w:val="Heading2"/>
        <w:keepNext/>
      </w:pPr>
      <w:r>
        <w:t>What is compared</w:t>
      </w:r>
    </w:p>
    <w:p>
      <w:r>
        <w:t>Compare SWCME observer-anchored Parker field-line longitude, path length, tangent direction, and focusing length with an independent numerical integration of the same Parker field and with WSA, PFSS plus Parker, and AWSoM-R field-line mappings.</w:t>
      </w:r>
    </w:p>
    <w:p>
      <w:pPr>
        <w:pStyle w:val="Heading2"/>
        <w:keepNext/>
      </w:pPr>
      <w:r>
        <w:t>Why the comparison is required</w:t>
      </w:r>
    </w:p>
    <w:p>
      <w:r>
        <w:t>Connectivity and focused transport depend on the complete path, not just a footpoint longitude. This test separates implementation correctness from differences caused by a more realistic coronal or heliospheric magnetic field.</w:t>
      </w:r>
    </w:p>
    <w:p>
      <w:pPr>
        <w:pStyle w:val="Heading2"/>
        <w:keepNext/>
      </w:pPr>
      <w:r>
        <w:t>Where observations and reference results are obtained</w:t>
      </w:r>
    </w:p>
    <w:p>
      <w:pPr>
        <w:pStyle w:val="ListBullet"/>
        <w:spacing w:after="60"/>
      </w:pPr>
      <w:r>
        <w:t>Spacecraft positions from mission ephemerides or SPDF/HelioWeb [D16].</w:t>
      </w:r>
    </w:p>
    <w:p>
      <w:pPr>
        <w:pStyle w:val="ListBullet"/>
        <w:spacing w:after="60"/>
      </w:pPr>
      <w:r>
        <w:t>In-situ wind speed and field direction from the mission plasma and magnetometer products used in V1 [D01-D05].</w:t>
      </w:r>
    </w:p>
    <w:p>
      <w:pPr>
        <w:pStyle w:val="ListBullet"/>
        <w:spacing w:after="60"/>
      </w:pPr>
      <w:r>
        <w:t>ADAPT-WSA/PFSS mappings and AWSoM-R field lines from CCMC runs where available [M01, M04].</w:t>
      </w:r>
    </w:p>
    <w:p>
      <w:pPr>
        <w:pStyle w:val="ListBullet"/>
        <w:spacing w:after="60"/>
      </w:pPr>
      <w:r>
        <w:t>Independent high-order field-line integrator using the published Parker equations [R01].</w:t>
      </w:r>
    </w:p>
    <w:p>
      <w:pPr>
        <w:pStyle w:val="Heading2"/>
        <w:keepNext/>
      </w:pPr>
      <w:r>
        <w:t>Data preparation and matching</w:t>
      </w:r>
    </w:p>
    <w:p>
      <w:pPr>
        <w:pStyle w:val="ListBullet"/>
        <w:spacing w:after="60"/>
      </w:pPr>
      <w:r>
        <w:t>Freeze solar rotation rate, source-surface radius, wind speed convention, solar-axis orientation, and coordinate frame.</w:t>
      </w:r>
    </w:p>
    <w:p>
      <w:pPr>
        <w:pStyle w:val="ListBullet"/>
        <w:spacing w:after="60"/>
      </w:pPr>
      <w:r>
        <w:t>Use the observed local wind speed in a diagnostic run and the SWCME configured wind speed in the predictive run; label them separately.</w:t>
      </w:r>
    </w:p>
    <w:p>
      <w:pPr>
        <w:pStyle w:val="ListBullet"/>
        <w:spacing w:after="60"/>
      </w:pPr>
      <w:r>
        <w:t>Represent source-region longitude uncertainty and magnetogram/PFSS uncertainty for model-to-observation interpretation.</w:t>
      </w:r>
    </w:p>
    <w:p>
      <w:pPr>
        <w:pStyle w:val="Heading2"/>
        <w:keepNext/>
      </w:pPr>
      <w:r>
        <w:t>How the comparison is performed</w:t>
      </w:r>
    </w:p>
    <w:p>
      <w:pPr>
        <w:pStyle w:val="ListNumber"/>
        <w:spacing w:after="60"/>
      </w:pPr>
      <w:r>
        <w:t>Trace from each observer to multiple source radii and compare Cartesian path, longitude, arc length, tangent, and focusing length point by point.</w:t>
      </w:r>
    </w:p>
    <w:p>
      <w:pPr>
        <w:pStyle w:val="ListNumber"/>
        <w:spacing w:after="60"/>
      </w:pPr>
      <w:r>
        <w:t>First demand agreement with the independent Parker integrator at numerical tolerance. Then compare against WSA/PFSS and AWSoM-R to quantify structural-model spread.</w:t>
      </w:r>
    </w:p>
    <w:p>
      <w:pPr>
        <w:pStyle w:val="ListNumber"/>
        <w:spacing w:after="60"/>
      </w:pPr>
      <w:r>
        <w:t>Evaluate sensitivity to wind speed, source radius, latitude, and solar-axis rotation; archive transition points where a connection appears or disappears.</w:t>
      </w:r>
    </w:p>
    <w:p>
      <w:pPr>
        <w:pStyle w:val="Heading2"/>
        <w:keepNext/>
      </w:pPr>
      <w:r>
        <w:t>Metrics and proposed acceptance</w:t>
      </w:r>
    </w:p>
    <w:p>
      <w:pPr>
        <w:pStyle w:val="ListBullet"/>
        <w:spacing w:after="60"/>
      </w:pPr>
      <w:r>
        <w:t>Verification gate: Parker footpoint angle &lt;= 0.01 degrees relative to the independent integrator, path-length relative error &lt;= 1e-8, and focusing relative error &lt;= 1e-6.</w:t>
      </w:r>
    </w:p>
    <w:p>
      <w:pPr>
        <w:pStyle w:val="ListBullet"/>
        <w:spacing w:after="60"/>
      </w:pPr>
      <w:r>
        <w:t>Physical-model comparison: report median footpoint spread, 90% interval, and overlap of uncertainty regions; no universal small-angle PASS is imposed against MHD topology.</w:t>
      </w:r>
    </w:p>
    <w:p>
      <w:pPr>
        <w:pStyle w:val="ListBullet"/>
        <w:spacing w:after="60"/>
      </w:pPr>
      <w:r>
        <w:t>For an operational simplified-field domain, a proposed target is median footpoint difference &lt;= 20 degrees relative to WSA/PFSS under quiet conditions.</w:t>
      </w:r>
    </w:p>
    <w:p>
      <w:pPr>
        <w:pStyle w:val="Heading2"/>
        <w:keepNext/>
      </w:pPr>
      <w:r>
        <w:t>What the comparison result means</w:t>
      </w:r>
    </w:p>
    <w:p>
      <w:r>
        <w:t>Agreement with the Parker integrator validates implementation. Difference from AWSoM-R or WSA is expected when non-Parker structure matters and quantifies model-form uncertainty. It is not evidence of a coding defect unless the same Parker assumptions were used. A field-line endpoint match with wrong path or focusing remains a transport-relevant failure.</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VP11 Magnetic connectivity history and observed SEP access</w:t>
      </w:r>
    </w:p>
    <w:p>
      <w:pPr>
        <w:spacing w:after="120"/>
      </w:pPr>
      <w:r>
        <w:rPr>
          <w:b/>
        </w:rPr>
        <w:t xml:space="preserve">Campaign layer </w:t>
      </w:r>
      <w:r>
        <w:t>V5</w:t>
      </w:r>
    </w:p>
    <w:p>
      <w:pPr>
        <w:pStyle w:val="Heading2"/>
        <w:keepNext/>
      </w:pPr>
      <w:r>
        <w:t>What is compared</w:t>
      </w:r>
    </w:p>
    <w:p>
      <w:r>
        <w:t>Compare SWCME time-dependent observer-to-shock connectivity, cobpoint location, onset and loss times, and local shock properties with multi-spacecraft SEP access histories, radio evidence, and independent connectivity models.</w:t>
      </w:r>
    </w:p>
    <w:p>
      <w:pPr>
        <w:pStyle w:val="Heading2"/>
        <w:keepNext/>
      </w:pPr>
      <w:r>
        <w:t>Why the comparison is required</w:t>
      </w:r>
    </w:p>
    <w:p>
      <w:r>
        <w:t>Connectivity is a time-history classification. One matching cobpoint cannot validate the appearance, persistence, loss, or re-establishment of connection as the shock evolves.</w:t>
      </w:r>
    </w:p>
    <w:p>
      <w:pPr>
        <w:pStyle w:val="Heading2"/>
        <w:keepNext/>
      </w:pPr>
      <w:r>
        <w:t>Where observations and reference results are obtained</w:t>
      </w:r>
    </w:p>
    <w:p>
      <w:pPr>
        <w:pStyle w:val="ListBullet"/>
        <w:spacing w:after="60"/>
      </w:pPr>
      <w:r>
        <w:t>Mandatory qualitative benchmark: the 2010-09-09 STEREO event constraints used by Tao et al. 2025, DOI 10.3847/1538-4357/ae17bd [R06].</w:t>
      </w:r>
    </w:p>
    <w:p>
      <w:pPr>
        <w:pStyle w:val="ListBullet"/>
        <w:spacing w:after="60"/>
      </w:pPr>
      <w:r>
        <w:t>STEREO SEPT/LET/HET, SOHO/ERNE or EPHIN, GOES, PSP/ISOIS, and Solar Orbiter/EPD particle profiles, with local magnetic-field and plasma context [D04, D05, D17-D20].</w:t>
      </w:r>
    </w:p>
    <w:p>
      <w:pPr>
        <w:pStyle w:val="ListBullet"/>
        <w:spacing w:after="60"/>
      </w:pPr>
      <w:r>
        <w:t>Type III and type II radio-burst timing from mission radio instruments or curated event reports when available.</w:t>
      </w:r>
    </w:p>
    <w:p>
      <w:pPr>
        <w:pStyle w:val="ListBullet"/>
        <w:spacing w:after="60"/>
      </w:pPr>
      <w:r>
        <w:t>M-FLAMPA/AWSoM-R, WSA/PFSS, or another published magnetic-connectivity solution for the same event [M01, M04, M06].</w:t>
      </w:r>
    </w:p>
    <w:p>
      <w:pPr>
        <w:pStyle w:val="Heading2"/>
        <w:keepNext/>
      </w:pPr>
      <w:r>
        <w:t>Data preparation and matching</w:t>
      </w:r>
    </w:p>
    <w:p>
      <w:pPr>
        <w:pStyle w:val="ListBullet"/>
        <w:spacing w:after="60"/>
      </w:pPr>
      <w:r>
        <w:t>Define an observational access class from onset, anisotropy, velocity dispersion, and background significance before inspecting SWCME output.</w:t>
      </w:r>
    </w:p>
    <w:p>
      <w:pPr>
        <w:pStyle w:val="ListBullet"/>
        <w:spacing w:after="60"/>
      </w:pPr>
      <w:r>
        <w:t>Separate magnetic connection from particle detection: non-detection can reflect weak injection, energy threshold, or instrument sensitivity.</w:t>
      </w:r>
    </w:p>
    <w:p>
      <w:pPr>
        <w:pStyle w:val="ListBullet"/>
        <w:spacing w:after="60"/>
      </w:pPr>
      <w:r>
        <w:t>Use multiple time cadences and require transition stability; record data gaps as unknown rather than disconnected.</w:t>
      </w:r>
    </w:p>
    <w:p>
      <w:pPr>
        <w:pStyle w:val="ListBullet"/>
        <w:spacing w:after="60"/>
      </w:pPr>
      <w:r>
        <w:t>Select at least two independent events beyond the mandatory 2010 event to prevent event-specific tuning.</w:t>
      </w:r>
    </w:p>
    <w:p>
      <w:pPr>
        <w:pStyle w:val="Heading2"/>
        <w:keepNext/>
      </w:pPr>
      <w:r>
        <w:t>How the comparison is performed</w:t>
      </w:r>
    </w:p>
    <w:p>
      <w:pPr>
        <w:pStyle w:val="ListNumber"/>
        <w:spacing w:after="60"/>
      </w:pPr>
      <w:r>
        <w:t>Generate the complete SWCME connection history for each observer and archive every root, selected root, scan status, cobpoint, theta_Bn, and compression.</w:t>
      </w:r>
    </w:p>
    <w:p>
      <w:pPr>
        <w:pStyle w:val="ListNumber"/>
        <w:spacing w:after="60"/>
      </w:pPr>
      <w:r>
        <w:t>Compare connected/disconnected/unknown classes and onset/loss transitions with observed access and reference model histories.</w:t>
      </w:r>
    </w:p>
    <w:p>
      <w:pPr>
        <w:pStyle w:val="ListNumber"/>
        <w:spacing w:after="60"/>
      </w:pPr>
      <w:r>
        <w:t>Repeat with shifted sampling grids and refined connectivity resolution to test transition convergence.</w:t>
      </w:r>
    </w:p>
    <w:p>
      <w:pPr>
        <w:pStyle w:val="ListNumber"/>
        <w:spacing w:after="60"/>
      </w:pPr>
      <w:r>
        <w:t>Construct a time-dependent confusion matrix and compare duration overlap using Jaccard index, not just transition-time error.</w:t>
      </w:r>
    </w:p>
    <w:p>
      <w:pPr>
        <w:pStyle w:val="Heading2"/>
        <w:keepNext/>
      </w:pPr>
      <w:r>
        <w:t>Metrics and proposed acceptance</w:t>
      </w:r>
    </w:p>
    <w:p>
      <w:pPr>
        <w:pStyle w:val="ListBullet"/>
        <w:spacing w:after="60"/>
      </w:pPr>
      <w:r>
        <w:t>Mandatory benchmark: required qualitative history classes and transition ordering are correct for all named observers.</w:t>
      </w:r>
    </w:p>
    <w:p>
      <w:pPr>
        <w:pStyle w:val="ListBullet"/>
        <w:spacing w:after="60"/>
      </w:pPr>
      <w:r>
        <w:t>Transition-time error &lt;= one fine sampling interval, Jaccard overlap &gt;= 0.75, and connection-state F1 &gt;= 0.80 on intervals with valid observations.</w:t>
      </w:r>
    </w:p>
    <w:p>
      <w:pPr>
        <w:pStyle w:val="ListBullet"/>
        <w:spacing w:after="60"/>
      </w:pPr>
      <w:r>
        <w:t>All selected roots satisfy the numerical residual and resolution-limit contract; unresolved cases are INCOMPLETE rather than disconnected.</w:t>
      </w:r>
    </w:p>
    <w:p>
      <w:pPr>
        <w:pStyle w:val="Heading2"/>
        <w:keepNext/>
      </w:pPr>
      <w:r>
        <w:t>What the comparison result means</w:t>
      </w:r>
    </w:p>
    <w:p>
      <w:r>
        <w:t>PASS supports the modeled relationship between front geometry and large-scale magnetic access. It does not prove that SEP intensity is correct. Connection predicted without particles may indicate source weakness or transport loss; particles observed before modeled connection may indicate cross-field transport, non-Parker field structure, or incorrect front geometry. Those hypotheses are separated in VP14 rather than resolved by retuning connectivity after the fact.</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VP12 SEP source record identity and near shock source spectrum</w:t>
      </w:r>
    </w:p>
    <w:p>
      <w:pPr>
        <w:spacing w:after="120"/>
      </w:pPr>
      <w:r>
        <w:rPr>
          <w:b/>
        </w:rPr>
        <w:t xml:space="preserve">Campaign layer </w:t>
      </w:r>
      <w:r>
        <w:t>V6</w:t>
      </w:r>
    </w:p>
    <w:p>
      <w:pPr>
        <w:pStyle w:val="Heading2"/>
        <w:keepNext/>
      </w:pPr>
      <w:r>
        <w:t>What is compared</w:t>
      </w:r>
    </w:p>
    <w:p>
      <w:r>
        <w:t>Compare the exact source record delivered by standalone SWCME with the AMPS-facing adapter record, then compare source spectral slope, time evolution, surface weighting, and - only when physically normalized - intensity with near-shock energetic-particle observations and independent acceleration models.</w:t>
      </w:r>
    </w:p>
    <w:p>
      <w:pPr>
        <w:pStyle w:val="Heading2"/>
        <w:keepNext/>
      </w:pPr>
      <w:r>
        <w:t>Why the comparison is required</w:t>
      </w:r>
    </w:p>
    <w:p>
      <w:r>
        <w:t>A coupled transport result cannot be attributed scientifically until the producer-consumer boundary is exact. Source shape and normalization must then be distinguished: a relative source weight cannot be validated as an absolute particle flux.</w:t>
      </w:r>
    </w:p>
    <w:p>
      <w:pPr>
        <w:pStyle w:val="Heading2"/>
        <w:keepNext/>
      </w:pPr>
      <w:r>
        <w:t>Where observations and reference results are obtained</w:t>
      </w:r>
    </w:p>
    <w:p>
      <w:pPr>
        <w:pStyle w:val="ListBullet"/>
        <w:spacing w:after="60"/>
      </w:pPr>
      <w:r>
        <w:t>SWCME standalone and adapter CSV source histories, including status, units, spectrum configuration, shock state, path/focusing context, and record hash.</w:t>
      </w:r>
    </w:p>
    <w:p>
      <w:pPr>
        <w:pStyle w:val="ListBullet"/>
        <w:spacing w:after="60"/>
      </w:pPr>
      <w:r>
        <w:t>PSP ISOIS EPI-Lo/EPI-Hi and Solar Orbiter EPD measurements during close shock encounters, with FIELDS/SWEAP or MAG/SWA upstream context [D03, D04].</w:t>
      </w:r>
    </w:p>
    <w:p>
      <w:pPr>
        <w:pStyle w:val="ListBullet"/>
        <w:spacing w:after="60"/>
      </w:pPr>
      <w:r>
        <w:t>STEREO SEPT/LET/HET or ACE/EPAM seed and suprathermal spectra where appropriate [D05, D21].</w:t>
      </w:r>
    </w:p>
    <w:p>
      <w:pPr>
        <w:pStyle w:val="ListBullet"/>
        <w:spacing w:after="60"/>
      </w:pPr>
      <w:r>
        <w:t>M-FLAMPA/SOFIE shock-source output, SEPMOD, iPATH, or another challenge model with a documented source definition [M06-M08].</w:t>
      </w:r>
    </w:p>
    <w:p>
      <w:pPr>
        <w:pStyle w:val="Heading2"/>
        <w:keepNext/>
      </w:pPr>
      <w:r>
        <w:t>Data preparation and matching</w:t>
      </w:r>
    </w:p>
    <w:p>
      <w:pPr>
        <w:pStyle w:val="ListBullet"/>
        <w:spacing w:after="60"/>
      </w:pPr>
      <w:r>
        <w:t>Hash and compare complete serialized source histories before any particles are propagated. Record schema version and reject missing/reordered units or fields.</w:t>
      </w:r>
    </w:p>
    <w:p>
      <w:pPr>
        <w:pStyle w:val="ListBullet"/>
        <w:spacing w:after="60"/>
      </w:pPr>
      <w:r>
        <w:t>Convolve modeled spectra with instrument energy response where available; otherwise integrate over the published energy-bin edges rather than comparing at an arbitrary bin center.</w:t>
      </w:r>
    </w:p>
    <w:p>
      <w:pPr>
        <w:pStyle w:val="ListBullet"/>
        <w:spacing w:after="60"/>
      </w:pPr>
      <w:r>
        <w:t>Subtract pre-event background and propagate counting/statistical uncertainty. Identify the shock-relative time and spacecraft-shock separation.</w:t>
      </w:r>
    </w:p>
    <w:p>
      <w:pPr>
        <w:pStyle w:val="ListBullet"/>
        <w:spacing w:after="60"/>
      </w:pPr>
      <w:r>
        <w:t>If normalization mode is RELATIVE_ONLY, limit comparison to slope, curvature/shape, temporal variation, and surface weighting. Absolute intensity metrics are NOT_APPLICABLE.</w:t>
      </w:r>
    </w:p>
    <w:p>
      <w:pPr>
        <w:pStyle w:val="Heading2"/>
        <w:keepNext/>
      </w:pPr>
      <w:r>
        <w:t>How the comparison is performed</w:t>
      </w:r>
    </w:p>
    <w:p>
      <w:pPr>
        <w:pStyle w:val="ListNumber"/>
        <w:spacing w:after="60"/>
      </w:pPr>
      <w:r>
        <w:t>Require byte-identical and hash-identical standalone-to-adapter records separately for 1-D and 3-D production paths.</w:t>
      </w:r>
    </w:p>
    <w:p>
      <w:pPr>
        <w:pStyle w:val="ListNumber"/>
        <w:spacing w:after="60"/>
      </w:pPr>
      <w:r>
        <w:t>Compare q, compression-derived spectral indices, reference-energy shape, and source evolution against observed near-shock spectra and reference models.</w:t>
      </w:r>
    </w:p>
    <w:p>
      <w:pPr>
        <w:pStyle w:val="ListNumber"/>
        <w:spacing w:after="60"/>
      </w:pPr>
      <w:r>
        <w:t>Test surface-integrated weight conservation and sensitivity to mesh resolution, source cadence, and theta_Bn selection.</w:t>
      </w:r>
    </w:p>
    <w:p>
      <w:pPr>
        <w:pStyle w:val="ListNumber"/>
        <w:spacing w:after="60"/>
      </w:pPr>
      <w:r>
        <w:t>For physical normalization, compare differential intensity at predeclared energies and the integrated injection rate with uncertainty.</w:t>
      </w:r>
    </w:p>
    <w:p>
      <w:pPr>
        <w:pStyle w:val="Heading2"/>
        <w:keepNext/>
      </w:pPr>
      <w:r>
        <w:t>Metrics and proposed acceptance</w:t>
      </w:r>
    </w:p>
    <w:p>
      <w:pPr>
        <w:pStyle w:val="ListBullet"/>
        <w:spacing w:after="60"/>
      </w:pPr>
      <w:r>
        <w:t>Interface gate: exact bytes, exact record hashes, complete schema, physical active-state history, and no change introduced by the adapter.</w:t>
      </w:r>
    </w:p>
    <w:p>
      <w:pPr>
        <w:pStyle w:val="ListBullet"/>
        <w:spacing w:after="60"/>
      </w:pPr>
      <w:r>
        <w:t>Shape target: spectral-index error &lt;= 0.5 over the qualified energy range and temporal rank correlation &gt;= 0.7.</w:t>
      </w:r>
    </w:p>
    <w:p>
      <w:pPr>
        <w:pStyle w:val="ListBullet"/>
        <w:spacing w:after="60"/>
      </w:pPr>
      <w:r>
        <w:t>Physical-normalization target when applicable: intensity within a factor of 3 and integrated source within a factor of 2; no absolute PASS is allowed for RELATIVE_ONLY mode.</w:t>
      </w:r>
    </w:p>
    <w:p>
      <w:pPr>
        <w:pStyle w:val="Heading2"/>
        <w:keepNext/>
      </w:pPr>
      <w:r>
        <w:t>What the comparison result means</w:t>
      </w:r>
    </w:p>
    <w:p>
      <w:r>
        <w:t>Interface PASS proves coupling identity, not acceleration skill. Spectral-shape PASS supports the compression-to-DSA mapping over the sampled energy interval. Absolute-intensity PASS additionally supports the chosen injection normalization. A later transport match cannot repair a failed record-identity or source-physics gate because transport parameters could compensate for a wrong source.</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VP13 Controlled one dimensional and three dimensional AMPS transport equivalence</w:t>
      </w:r>
    </w:p>
    <w:p>
      <w:pPr>
        <w:spacing w:after="120"/>
      </w:pPr>
      <w:r>
        <w:rPr>
          <w:b/>
        </w:rPr>
        <w:t xml:space="preserve">Campaign layer </w:t>
      </w:r>
      <w:r>
        <w:t>V6</w:t>
      </w:r>
    </w:p>
    <w:p>
      <w:pPr>
        <w:pStyle w:val="Heading2"/>
        <w:keepNext/>
      </w:pPr>
      <w:r>
        <w:t>What is compared</w:t>
      </w:r>
    </w:p>
    <w:p>
      <w:r>
        <w:t>Compare AMPS field-aligned 1-D transport with full 3-D transport when perpendicular diffusion and all other explicitly three-dimensional effects are disabled. Run both with a fixed source and with the identical SWCME source record.</w:t>
      </w:r>
    </w:p>
    <w:p>
      <w:pPr>
        <w:pStyle w:val="Heading2"/>
        <w:keepNext/>
      </w:pPr>
      <w:r>
        <w:t>Why the comparison is required</w:t>
      </w:r>
    </w:p>
    <w:p>
      <w:r>
        <w:t>This is the essential coupled-model control. Any difference under equivalent physics indicates coupling, discretization, random-sequence, or coordinate inconsistency and must be resolved before a 3-D effect is interpreted.</w:t>
      </w:r>
    </w:p>
    <w:p>
      <w:pPr>
        <w:pStyle w:val="Heading2"/>
        <w:keepNext/>
      </w:pPr>
      <w:r>
        <w:t>Where observations and reference results are obtained</w:t>
      </w:r>
    </w:p>
    <w:p>
      <w:pPr>
        <w:pStyle w:val="ListBullet"/>
        <w:spacing w:after="60"/>
      </w:pPr>
      <w:r>
        <w:t>Identical SWCME source histories qualified by VP12 and identical Parker background states qualified by V1 and VP10.</w:t>
      </w:r>
    </w:p>
    <w:p>
      <w:pPr>
        <w:pStyle w:val="ListBullet"/>
        <w:spacing w:after="60"/>
      </w:pPr>
      <w:r>
        <w:t>AMPS 1-D and 3-D executables built from the same revision and compiler environment, with recorded seeds, scattering law, grid, time step, particle weights, and output cadence.</w:t>
      </w:r>
    </w:p>
    <w:p>
      <w:pPr>
        <w:pStyle w:val="ListBullet"/>
        <w:spacing w:after="60"/>
      </w:pPr>
      <w:r>
        <w:t>M-FLAMPA may be included as an independent field-aligned reference, but it is not required to be numerically identical because its numerical method and turbulence treatment differ [M06].</w:t>
      </w:r>
    </w:p>
    <w:p>
      <w:pPr>
        <w:pStyle w:val="Heading2"/>
        <w:keepNext/>
      </w:pPr>
      <w:r>
        <w:t>Data preparation and matching</w:t>
      </w:r>
    </w:p>
    <w:p>
      <w:pPr>
        <w:pStyle w:val="ListBullet"/>
        <w:spacing w:after="60"/>
      </w:pPr>
      <w:r>
        <w:t>Set kappa_perp = 0 and disable drift or other 3-D physics not present in the 1-D equation. Use the same parallel mean free path, focusing, adiabatic terms, boundaries, source, and particle species.</w:t>
      </w:r>
    </w:p>
    <w:p>
      <w:pPr>
        <w:pStyle w:val="ListBullet"/>
        <w:spacing w:after="60"/>
      </w:pPr>
      <w:r>
        <w:t>Use common random numbers where algorithms permit. Otherwise compare confidence intervals across a predeclared seed ensemble.</w:t>
      </w:r>
    </w:p>
    <w:p>
      <w:pPr>
        <w:pStyle w:val="ListBullet"/>
        <w:spacing w:after="60"/>
      </w:pPr>
      <w:r>
        <w:t>Match spatial and temporal resolution along the same field line and verify coordinate/energy-bin conversion before transport.</w:t>
      </w:r>
    </w:p>
    <w:p>
      <w:pPr>
        <w:pStyle w:val="Heading2"/>
        <w:keepNext/>
      </w:pPr>
      <w:r>
        <w:t>How the comparison is performed</w:t>
      </w:r>
    </w:p>
    <w:p>
      <w:pPr>
        <w:pStyle w:val="ListNumber"/>
        <w:spacing w:after="60"/>
      </w:pPr>
      <w:r>
        <w:t>Run fixed-normalization source cases first to isolate transport. Then activate the SWCME time-dependent source without changing transport controls.</w:t>
      </w:r>
    </w:p>
    <w:p>
      <w:pPr>
        <w:pStyle w:val="ListNumber"/>
        <w:spacing w:after="60"/>
      </w:pPr>
      <w:r>
        <w:t>Compare time profiles, spectra, fluence, particle number/weight accounting, first-arrival distribution, and phase-space density along matched field-line points.</w:t>
      </w:r>
    </w:p>
    <w:p>
      <w:pPr>
        <w:pStyle w:val="ListNumber"/>
        <w:spacing w:after="60"/>
      </w:pPr>
      <w:r>
        <w:t>Repeat at two or more time steps, grid resolutions, and macro-particle counts to distinguish deterministic bias from Monte Carlo variance.</w:t>
      </w:r>
    </w:p>
    <w:p>
      <w:pPr>
        <w:pStyle w:val="Heading2"/>
        <w:keepNext/>
      </w:pPr>
      <w:r>
        <w:t>Metrics and proposed acceptance</w:t>
      </w:r>
    </w:p>
    <w:p>
      <w:pPr>
        <w:pStyle w:val="ListBullet"/>
        <w:spacing w:after="60"/>
      </w:pPr>
      <w:r>
        <w:t>Deterministic/common-random-number gate: normalized profiles agree to the declared numerical tolerance, ideally bitwise after canonical reduction where algorithms are identical.</w:t>
      </w:r>
    </w:p>
    <w:p>
      <w:pPr>
        <w:pStyle w:val="ListBullet"/>
        <w:spacing w:after="60"/>
      </w:pPr>
      <w:r>
        <w:t>Stochastic gate: every profile difference is inside the combined 95% Monte Carlo confidence interval; integrated particle weight differs by &lt;= 0.5%.</w:t>
      </w:r>
    </w:p>
    <w:p>
      <w:pPr>
        <w:pStyle w:val="ListBullet"/>
        <w:spacing w:after="60"/>
      </w:pPr>
      <w:r>
        <w:t>Convergence slopes and limiting values agree; no difference may be attributed to dimensionality while kappa_perp is zero.</w:t>
      </w:r>
    </w:p>
    <w:p>
      <w:pPr>
        <w:pStyle w:val="Heading2"/>
        <w:keepNext/>
      </w:pPr>
      <w:r>
        <w:t>What the comparison result means</w:t>
      </w:r>
    </w:p>
    <w:p>
      <w:r>
        <w:t>PASS demonstrates controlled dimensional equivalence of the coupled transport implementation. It does not show that either calculation matches nature. Failure blocks VP14 and VP15 because an apparent perpendicular-diffusion effect could instead be a 1-D/3-D implementation difference. Difference from M-FLAMPA is diagnostic model spread unless equations, coefficients, source, and numerics have been matched deliberately.</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VP14 Perpendicular diffusion and multi spacecraft SEP spread</w:t>
      </w:r>
    </w:p>
    <w:p>
      <w:pPr>
        <w:spacing w:after="120"/>
      </w:pPr>
      <w:r>
        <w:rPr>
          <w:b/>
        </w:rPr>
        <w:t xml:space="preserve">Campaign layer </w:t>
      </w:r>
      <w:r>
        <w:t>V6</w:t>
      </w:r>
    </w:p>
    <w:p>
      <w:pPr>
        <w:pStyle w:val="Heading2"/>
        <w:keepNext/>
      </w:pPr>
      <w:r>
        <w:t>What is compared</w:t>
      </w:r>
    </w:p>
    <w:p>
      <w:r>
        <w:t>Compare full 3-D AMPS runs with perpendicular diffusion off and on against wide-longitude multi-spacecraft SEP observations, while holding the qualified SWCME source, parallel scattering, seed ensemble, and numerical controls fixed.</w:t>
      </w:r>
    </w:p>
    <w:p>
      <w:pPr>
        <w:pStyle w:val="Heading2"/>
        <w:keepNext/>
      </w:pPr>
      <w:r>
        <w:t>Why the comparison is required</w:t>
      </w:r>
    </w:p>
    <w:p>
      <w:r>
        <w:t>Wide SEP access can result from broad shock injection, evolving magnetic connection, field-line meandering, or perpendicular diffusion. A controlled paired experiment is needed to attribute improvement to cross-field transport rather than source retuning.</w:t>
      </w:r>
    </w:p>
    <w:p>
      <w:pPr>
        <w:pStyle w:val="Heading2"/>
        <w:keepNext/>
      </w:pPr>
      <w:r>
        <w:t>Where observations and reference results are obtained</w:t>
      </w:r>
    </w:p>
    <w:p>
      <w:pPr>
        <w:pStyle w:val="ListBullet"/>
        <w:spacing w:after="60"/>
      </w:pPr>
      <w:r>
        <w:t>Multi-spacecraft proton profiles from STEREO, near-Earth GOES/SOHO, PSP, and Solar Orbiter as available [D04, D05, D17-D20].</w:t>
      </w:r>
    </w:p>
    <w:p>
      <w:pPr>
        <w:pStyle w:val="ListBullet"/>
        <w:spacing w:after="60"/>
      </w:pPr>
      <w:r>
        <w:t>Local plasma, magnetic field, spacecraft ephemerides, event source longitude, and radio onset context.</w:t>
      </w:r>
    </w:p>
    <w:p>
      <w:pPr>
        <w:pStyle w:val="ListBullet"/>
        <w:spacing w:after="60"/>
      </w:pPr>
      <w:r>
        <w:t>Reference outputs from M-FLAMPA as a no-perpendicular baseline and from iPATH, SPARX, or another 3-D/cross-field model when available [M06-M08].</w:t>
      </w:r>
    </w:p>
    <w:p>
      <w:pPr>
        <w:pStyle w:val="ListBullet"/>
        <w:spacing w:after="60"/>
      </w:pPr>
      <w:r>
        <w:t>Primary candidate events include 2013-04-11, 2013-05-22/23, 2014-01-06/09, and 2017-09-10, plus PSP/Solar Orbiter-era events selected through LASSOS or LineupCAT after data-availability review.</w:t>
      </w:r>
    </w:p>
    <w:p>
      <w:pPr>
        <w:pStyle w:val="Heading2"/>
        <w:keepNext/>
      </w:pPr>
      <w:r>
        <w:t>Data preparation and matching</w:t>
      </w:r>
    </w:p>
    <w:p>
      <w:pPr>
        <w:pStyle w:val="ListBullet"/>
        <w:spacing w:after="60"/>
      </w:pPr>
      <w:r>
        <w:t>Freeze source width/normalization and parallel mean free path using calibration cases before opening held-out observer profiles.</w:t>
      </w:r>
    </w:p>
    <w:p>
      <w:pPr>
        <w:pStyle w:val="ListBullet"/>
        <w:spacing w:after="60"/>
      </w:pPr>
      <w:r>
        <w:t>Background-subtract each instrument, harmonize energy response, and retain upper limits for non-detections.</w:t>
      </w:r>
    </w:p>
    <w:p>
      <w:pPr>
        <w:pStyle w:val="ListBullet"/>
        <w:spacing w:after="60"/>
      </w:pPr>
      <w:r>
        <w:t>Define magnetic-connection histories with VP11 and stratify observers as well-connected, flank-connected, or nominally disconnected before testing diffusion.</w:t>
      </w:r>
    </w:p>
    <w:p>
      <w:pPr>
        <w:pStyle w:val="ListBullet"/>
        <w:spacing w:after="60"/>
      </w:pPr>
      <w:r>
        <w:t>Run identical seed sets for off/on pairs and report Monte Carlo uncertainty for every metric.</w:t>
      </w:r>
    </w:p>
    <w:p>
      <w:pPr>
        <w:pStyle w:val="Heading2"/>
        <w:keepNext/>
      </w:pPr>
      <w:r>
        <w:t>How the comparison is performed</w:t>
      </w:r>
    </w:p>
    <w:p>
      <w:pPr>
        <w:pStyle w:val="ListNumber"/>
        <w:spacing w:after="60"/>
      </w:pPr>
      <w:r>
        <w:t>Compare onset, rise time, peak, fluence, decay, longitudinal gradient, and observer-to-observer ratios for kappa_perp = 0 and a predeclared coefficient family.</w:t>
      </w:r>
    </w:p>
    <w:p>
      <w:pPr>
        <w:pStyle w:val="ListNumber"/>
        <w:spacing w:after="60"/>
      </w:pPr>
      <w:r>
        <w:t>Use a calibration subset to constrain the coefficient; evaluate the selected value on held-out events and observers without retuning.</w:t>
      </w:r>
    </w:p>
    <w:p>
      <w:pPr>
        <w:pStyle w:val="ListNumber"/>
        <w:spacing w:after="60"/>
      </w:pPr>
      <w:r>
        <w:t>Construct an attribution matrix separating source geometry, magnetic connectivity, parallel scattering, and perpendicular diffusion changes.</w:t>
      </w:r>
    </w:p>
    <w:p>
      <w:pPr>
        <w:pStyle w:val="ListNumber"/>
        <w:spacing w:after="60"/>
      </w:pPr>
      <w:r>
        <w:t>Check that improved remote-observer access does not materially degrade the well-connected observer or violate particle conservation.</w:t>
      </w:r>
    </w:p>
    <w:p>
      <w:pPr>
        <w:pStyle w:val="Heading2"/>
        <w:keepNext/>
      </w:pPr>
      <w:r>
        <w:t>Metrics and proposed acceptance</w:t>
      </w:r>
    </w:p>
    <w:p>
      <w:pPr>
        <w:pStyle w:val="ListBullet"/>
        <w:spacing w:after="60"/>
      </w:pPr>
      <w:r>
        <w:t>Primary criterion: enabling perpendicular diffusion improves held-out aggregate log-flux RMSE or continuous ranked score by &gt;= 10% with bootstrap confidence excluding zero.</w:t>
      </w:r>
    </w:p>
    <w:p>
      <w:pPr>
        <w:pStyle w:val="ListBullet"/>
        <w:spacing w:after="60"/>
      </w:pPr>
      <w:r>
        <w:t>Onset MAE &lt;= 3 hours, peak and fluence within a factor of 3 for at least 70% of qualified observer-event pairs, and longitudinal-gradient sign correct.</w:t>
      </w:r>
    </w:p>
    <w:p>
      <w:pPr>
        <w:pStyle w:val="ListBullet"/>
        <w:spacing w:after="60"/>
      </w:pPr>
      <w:r>
        <w:t>Well-connected observer degradation &lt;= 20% in the primary metric; particle-weight conservation remains within the VP13 limit.</w:t>
      </w:r>
    </w:p>
    <w:p>
      <w:pPr>
        <w:pStyle w:val="Heading2"/>
        <w:keepNext/>
      </w:pPr>
      <w:r>
        <w:t>What the comparison result means</w:t>
      </w:r>
    </w:p>
    <w:p>
      <w:r>
        <w:t>PASS means the chosen cross-field treatment adds reproducible held-out skill under fixed source and parallel transport. It does not prove the coefficient is universal. Improvement only after source or scattering retuning is confounded and must be reported as INCOMPLETE. No improvement may mean kappa_perp is too small, the Parker topology is inadequate, or broad shock injection already explains the spread; these alternatives are distinguished with the attribution matrix.</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VP15 SEP intensity time profile spectrum peak and fluence</w:t>
      </w:r>
    </w:p>
    <w:p>
      <w:pPr>
        <w:spacing w:after="120"/>
      </w:pPr>
      <w:r>
        <w:rPr>
          <w:b/>
        </w:rPr>
        <w:t xml:space="preserve">Campaign layer </w:t>
      </w:r>
      <w:r>
        <w:t>V6</w:t>
      </w:r>
    </w:p>
    <w:p>
      <w:pPr>
        <w:pStyle w:val="Heading2"/>
        <w:keepNext/>
      </w:pPr>
      <w:r>
        <w:t>What is compared</w:t>
      </w:r>
    </w:p>
    <w:p>
      <w:r>
        <w:t>Compare end-to-end SWCME plus AMPS proton time profiles with spacecraft observations in matched energy channels, including onset, peak time, peak intensity, fluence, spectral evolution, and decay. Compare the same products with community SEP models.</w:t>
      </w:r>
    </w:p>
    <w:p>
      <w:pPr>
        <w:pStyle w:val="Heading2"/>
        <w:keepNext/>
      </w:pPr>
      <w:r>
        <w:t>Why the comparison is required</w:t>
      </w:r>
    </w:p>
    <w:p>
      <w:r>
        <w:t>This is the application-level validation. It integrates source, background, connectivity, scattering, focusing, adiabatic change, and cross-field transport. It must be attempted only after upstream gates identify which components are trustworthy.</w:t>
      </w:r>
    </w:p>
    <w:p>
      <w:pPr>
        <w:pStyle w:val="Heading2"/>
        <w:keepNext/>
      </w:pPr>
      <w:r>
        <w:t>Where observations and reference results are obtained</w:t>
      </w:r>
    </w:p>
    <w:p>
      <w:pPr>
        <w:pStyle w:val="ListBullet"/>
        <w:spacing w:after="60"/>
      </w:pPr>
      <w:r>
        <w:t>NOAA GOES calibrated proton products and event lists, SOHO/ERNE and EPHIN, STEREO SEPT/LET/HET, PSP ISOIS, and Solar Orbiter EPD [D17-D21].</w:t>
      </w:r>
    </w:p>
    <w:p>
      <w:pPr>
        <w:pStyle w:val="ListBullet"/>
        <w:spacing w:after="60"/>
      </w:pPr>
      <w:r>
        <w:t>CCMC SEP Model Validation Challenge data and requested GOES-like &gt;10 and &gt;100 MeV and EPHIN channel definitions [D22].</w:t>
      </w:r>
    </w:p>
    <w:p>
      <w:pPr>
        <w:pStyle w:val="ListBullet"/>
        <w:spacing w:after="60"/>
      </w:pPr>
      <w:r>
        <w:t>CCMC SEP Intensity Scoreboard records and model outputs from M-FLAMPA/SOFIE, SEPMOD, iPATH, and other challenge participants [D23, M06-M08].</w:t>
      </w:r>
    </w:p>
    <w:p>
      <w:pPr>
        <w:pStyle w:val="Heading2"/>
        <w:keepNext/>
      </w:pPr>
      <w:r>
        <w:t>Data preparation and matching</w:t>
      </w:r>
    </w:p>
    <w:p>
      <w:pPr>
        <w:pStyle w:val="ListBullet"/>
        <w:spacing w:after="60"/>
      </w:pPr>
      <w:r>
        <w:t>Use calibrated science data for retrospective validation. Record energy-bin edges, geometry factor, cadence, contamination flags, and background method.</w:t>
      </w:r>
    </w:p>
    <w:p>
      <w:pPr>
        <w:pStyle w:val="ListBullet"/>
        <w:spacing w:after="60"/>
      </w:pPr>
      <w:r>
        <w:t>Fold modeled differential spectra through instrument energy response or integrate over exact channel limits. Integral GOES channels must not be compared to a single differential energy.</w:t>
      </w:r>
    </w:p>
    <w:p>
      <w:pPr>
        <w:pStyle w:val="ListBullet"/>
        <w:spacing w:after="60"/>
      </w:pPr>
      <w:r>
        <w:t>Define event start and end with an objective background threshold and document overlapping events and data gaps.</w:t>
      </w:r>
    </w:p>
    <w:p>
      <w:pPr>
        <w:pStyle w:val="ListBullet"/>
        <w:spacing w:after="60"/>
      </w:pPr>
      <w:r>
        <w:t>Absolute flux scoring requires physical source normalization. Relative-only runs may be scored for normalized shape, onset, peak time, and spectral index but not absolute intensity or fluence.</w:t>
      </w:r>
    </w:p>
    <w:p>
      <w:pPr>
        <w:pStyle w:val="Heading2"/>
        <w:keepNext/>
      </w:pPr>
      <w:r>
        <w:t>How the comparison is performed</w:t>
      </w:r>
    </w:p>
    <w:p>
      <w:pPr>
        <w:pStyle w:val="ListNumber"/>
        <w:spacing w:after="60"/>
      </w:pPr>
      <w:r>
        <w:t>Produce blind or frozen-configuration profiles for every observer and energy channel. Store both native cadence and a common comparison cadence.</w:t>
      </w:r>
    </w:p>
    <w:p>
      <w:pPr>
        <w:pStyle w:val="ListNumber"/>
        <w:spacing w:after="60"/>
      </w:pPr>
      <w:r>
        <w:t>Compute onset error, peak-time error, log10 peak ratio, log10 fluence ratio, time-series correlation, dynamic time-warp distance, and spectral-index error.</w:t>
      </w:r>
    </w:p>
    <w:p>
      <w:pPr>
        <w:pStyle w:val="ListNumber"/>
        <w:spacing w:after="60"/>
      </w:pPr>
      <w:r>
        <w:t>Score threshold exceedance for operational channels with POD, FAR, CSI, lead time, and Brier/reliability metrics for ensembles.</w:t>
      </w:r>
    </w:p>
    <w:p>
      <w:pPr>
        <w:pStyle w:val="ListNumber"/>
        <w:spacing w:after="60"/>
      </w:pPr>
      <w:r>
        <w:t>Compare all models on an identical event list and observation preprocessing pipeline; report missing forecasts explicitly.</w:t>
      </w:r>
    </w:p>
    <w:p>
      <w:pPr>
        <w:pStyle w:val="Heading2"/>
        <w:keepNext/>
      </w:pPr>
      <w:r>
        <w:t>Metrics and proposed acceptance</w:t>
      </w:r>
    </w:p>
    <w:p>
      <w:pPr>
        <w:pStyle w:val="ListBullet"/>
        <w:spacing w:after="60"/>
      </w:pPr>
      <w:r>
        <w:t>Proposed event targets: onset error &lt;= 3 hours, peak-time error &lt;= 6 hours, peak intensity and fluence within factor 3, spectral-index error &lt;= 0.5, and profile correlation &gt;= 0.7.</w:t>
      </w:r>
    </w:p>
    <w:p>
      <w:pPr>
        <w:pStyle w:val="ListBullet"/>
        <w:spacing w:after="60"/>
      </w:pPr>
      <w:r>
        <w:t>Campaign targets are reported as medians plus 90th percentiles and bootstrap intervals; no PASS based only on one hand-selected successful event.</w:t>
      </w:r>
    </w:p>
    <w:p>
      <w:pPr>
        <w:pStyle w:val="ListBullet"/>
        <w:spacing w:after="60"/>
      </w:pPr>
      <w:r>
        <w:t>Operational categorical thresholds follow the predeclared CCMC/NOAA channel definition; background subtraction and threshold crossings are archived.</w:t>
      </w:r>
    </w:p>
    <w:p>
      <w:pPr>
        <w:pStyle w:val="Heading2"/>
        <w:keepNext/>
      </w:pPr>
      <w:r>
        <w:t>What the comparison result means</w:t>
      </w:r>
    </w:p>
    <w:p>
      <w:r>
        <w:t>PASS demonstrates coupled-model skill for the qualified event, observer, energy range, and configuration. It does not retroactively validate a failed component gate. Comparable skill to community models establishes competitive performance under the common protocol; it does not show identical physics. Timing success with flux failure points toward normalization or scattering; flux success with timing failure may reflect compensating source amplitude and transport delay.</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pageBreakBefore/>
        <w:keepNext/>
      </w:pPr>
      <w:r>
        <w:t>VP16 Held out multi event and cross model skill assessment</w:t>
      </w:r>
    </w:p>
    <w:p>
      <w:pPr>
        <w:spacing w:after="120"/>
      </w:pPr>
      <w:r>
        <w:rPr>
          <w:b/>
        </w:rPr>
        <w:t xml:space="preserve">Campaign layer </w:t>
      </w:r>
      <w:r>
        <w:t>Campaign</w:t>
      </w:r>
    </w:p>
    <w:p>
      <w:pPr>
        <w:pStyle w:val="Heading2"/>
        <w:keepNext/>
      </w:pPr>
      <w:r>
        <w:t>What is compared</w:t>
      </w:r>
    </w:p>
    <w:p>
      <w:r>
        <w:t>Compare the frozen SWCME and SWCME plus AMPS configuration with observations and reference-model outputs across a predeclared calibration set and an untouched validation set. Aggregate results by event type, observer connection, energy, and heliocentric distance.</w:t>
      </w:r>
    </w:p>
    <w:p>
      <w:pPr>
        <w:pStyle w:val="Heading2"/>
        <w:keepNext/>
      </w:pPr>
      <w:r>
        <w:t>Why the comparison is required</w:t>
      </w:r>
    </w:p>
    <w:p>
      <w:r>
        <w:t>A model can match one event through favorable geometry or parameter tuning. A held-out campaign measures generalization, exposes regime dependence, and provides evidence suitable for release decisions and comparison with community models.</w:t>
      </w:r>
    </w:p>
    <w:p>
      <w:pPr>
        <w:pStyle w:val="Heading2"/>
        <w:keepNext/>
      </w:pPr>
      <w:r>
        <w:t>Where observations and reference results are obtained</w:t>
      </w:r>
    </w:p>
    <w:p>
      <w:pPr>
        <w:pStyle w:val="ListBullet"/>
        <w:spacing w:after="60"/>
      </w:pPr>
      <w:r>
        <w:t>All qualified products from VP01-VP15, with immutable hashes, versions, and provenance.</w:t>
      </w:r>
    </w:p>
    <w:p>
      <w:pPr>
        <w:pStyle w:val="ListBullet"/>
        <w:spacing w:after="60"/>
      </w:pPr>
      <w:r>
        <w:t>A candidate calibration set centered on 2013-04-11 and 2013-05-22/23, with fixed parameter-selection rules.</w:t>
      </w:r>
    </w:p>
    <w:p>
      <w:pPr>
        <w:pStyle w:val="ListBullet"/>
        <w:spacing w:after="60"/>
      </w:pPr>
      <w:r>
        <w:t>A candidate held-out set including 2010-09-09 for connectivity, 2014-01-06/09, 2017-09-10, and at least two PSP/Solar Orbiter-era multi-spacecraft events selected before model runs.</w:t>
      </w:r>
    </w:p>
    <w:p>
      <w:pPr>
        <w:pStyle w:val="ListBullet"/>
        <w:spacing w:after="60"/>
      </w:pPr>
      <w:r>
        <w:t>CCMC SEP challenge and scoreboards, CME Scoreboard, ENLIL, EUHFORIA, AWSoM-R/M-FLAMPA, SEPMOD, and iPATH outputs when available [D14, D22, D23, M01-M08].</w:t>
      </w:r>
    </w:p>
    <w:p>
      <w:pPr>
        <w:pStyle w:val="Heading2"/>
        <w:keepNext/>
      </w:pPr>
      <w:r>
        <w:t>Data preparation and matching</w:t>
      </w:r>
    </w:p>
    <w:p>
      <w:pPr>
        <w:pStyle w:val="ListBullet"/>
        <w:spacing w:after="60"/>
      </w:pPr>
      <w:r>
        <w:t>Publish inclusion/exclusion rules, event associations, required observers, calibration parameters, and primary metrics before held-out runs.</w:t>
      </w:r>
    </w:p>
    <w:p>
      <w:pPr>
        <w:pStyle w:val="ListBullet"/>
        <w:spacing w:after="60"/>
      </w:pPr>
      <w:r>
        <w:t>Use one configuration or a documented parameter-estimation algorithm. Per-event manual tuning after observing the target is not validation.</w:t>
      </w:r>
    </w:p>
    <w:p>
      <w:pPr>
        <w:pStyle w:val="ListBullet"/>
        <w:spacing w:after="60"/>
      </w:pPr>
      <w:r>
        <w:t>Track missing observations, missing model forecasts, and out-of-domain states. Report coverage alongside skill to prevent selective availability from biasing conclusions.</w:t>
      </w:r>
    </w:p>
    <w:p>
      <w:pPr>
        <w:pStyle w:val="ListBullet"/>
        <w:spacing w:after="60"/>
      </w:pPr>
      <w:r>
        <w:t>Bootstrap by event, not by individual cadence sample, and provide confidence intervals for differences between models.</w:t>
      </w:r>
    </w:p>
    <w:p>
      <w:pPr>
        <w:pStyle w:val="Heading2"/>
        <w:keepNext/>
      </w:pPr>
      <w:r>
        <w:t>How the comparison is performed</w:t>
      </w:r>
    </w:p>
    <w:p>
      <w:pPr>
        <w:pStyle w:val="ListNumber"/>
        <w:spacing w:after="60"/>
      </w:pPr>
      <w:r>
        <w:t>Run the full deterministic SWCME gate first. Execute V1-V6 observational layers only when their dependencies pass.</w:t>
      </w:r>
    </w:p>
    <w:p>
      <w:pPr>
        <w:pStyle w:val="ListNumber"/>
        <w:spacing w:after="60"/>
      </w:pPr>
      <w:r>
        <w:t>Compute event-level and campaign-level metrics with equal-event weighting as the primary aggregation and sample-weighted results as secondary.</w:t>
      </w:r>
    </w:p>
    <w:p>
      <w:pPr>
        <w:pStyle w:val="ListNumber"/>
        <w:spacing w:after="60"/>
      </w:pPr>
      <w:r>
        <w:t>Compare paired errors between models on the intersection of available forecasts; use a paired bootstrap or permutation test rather than comparing unrelated sample sets.</w:t>
      </w:r>
    </w:p>
    <w:p>
      <w:pPr>
        <w:pStyle w:val="ListNumber"/>
        <w:spacing w:after="60"/>
      </w:pPr>
      <w:r>
        <w:t>Perform ablations for kinematics, geometry, source dependence, and perpendicular diffusion to produce an attribution table for every material skill change.</w:t>
      </w:r>
    </w:p>
    <w:p>
      <w:pPr>
        <w:pStyle w:val="Heading2"/>
        <w:keepNext/>
      </w:pPr>
      <w:r>
        <w:t>Metrics and proposed acceptance</w:t>
      </w:r>
    </w:p>
    <w:p>
      <w:pPr>
        <w:pStyle w:val="ListBullet"/>
        <w:spacing w:after="60"/>
      </w:pPr>
      <w:r>
        <w:t>Release PASS requires every mandatory V1-V6 layer to be complete and pass its primary gate; one coupled SEP metric cannot compensate for a failed background, shock, or interface gate.</w:t>
      </w:r>
    </w:p>
    <w:p>
      <w:pPr>
        <w:pStyle w:val="ListBullet"/>
        <w:spacing w:after="60"/>
      </w:pPr>
      <w:r>
        <w:t>Report median and 90th-percentile error, bias, correlation, categorical skill, reliability, computational cost, and valid-forecast coverage with 95% event-bootstrap intervals.</w:t>
      </w:r>
    </w:p>
    <w:p>
      <w:pPr>
        <w:pStyle w:val="ListBullet"/>
        <w:spacing w:after="60"/>
      </w:pPr>
      <w:r>
        <w:t>Claim improvement over a reference model only when the paired metric difference exceeds the frozen practical threshold and its confidence interval excludes zero.</w:t>
      </w:r>
    </w:p>
    <w:p>
      <w:pPr>
        <w:pStyle w:val="Heading2"/>
        <w:keepNext/>
      </w:pPr>
      <w:r>
        <w:t>What the comparison result means</w:t>
      </w:r>
    </w:p>
    <w:p>
      <w:r>
        <w:t>PASS supports generalization over the declared event population and operating domain. It does not guarantee future-event performance outside that domain. A statistically indistinguishable result means no demonstrated advantage, not equivalence of physics. Strong mean skill with poor worst-case performance requires a conditional or restricted release statement. All conclusions must name the event set, model versions, inputs, energy range, and observer population.</w:t>
      </w:r>
    </w:p>
    <w:p>
      <w:pPr>
        <w:pStyle w:val="Heading2"/>
        <w:keepNext/>
      </w:pPr>
      <w:r>
        <w:t>Required evidence package</w:t>
      </w:r>
    </w:p>
    <w:p>
      <w:pPr>
        <w:pStyle w:val="ListBullet"/>
        <w:spacing w:after="60"/>
      </w:pPr>
      <w:r>
        <w:t>Resolved SWCME and coupled-model configuration, source revision, build metadata, seeds, and execution log.</w:t>
      </w:r>
    </w:p>
    <w:p>
      <w:pPr>
        <w:pStyle w:val="ListBullet"/>
        <w:spacing w:after="60"/>
      </w:pPr>
      <w:r>
        <w:t>Raw and processed observation inventories with product identifiers, versions, quality flags, retrieval dates, and SHA-256 hashes.</w:t>
      </w:r>
    </w:p>
    <w:p>
      <w:pPr>
        <w:pStyle w:val="ListBullet"/>
        <w:spacing w:after="60"/>
      </w:pPr>
      <w:r>
        <w:t>Canonical paired-comparison table containing observation, model, uncertainty, validity/status, and provenance fields.</w:t>
      </w:r>
    </w:p>
    <w:p>
      <w:pPr>
        <w:pStyle w:val="ListBullet"/>
        <w:spacing w:after="60"/>
      </w:pPr>
      <w:r>
        <w:t>Machine-readable metric table, plots with uncertainty, convergence or sensitivity results, and a PASS/FAIL/INCOMPLETE decision with rationale.</w:t>
      </w:r>
    </w:p>
    <w:p>
      <w:pPr>
        <w:pStyle w:val="Heading1"/>
        <w:keepNext/>
      </w:pPr>
      <w:r>
        <w:t>5 Campaign execution and release decision</w:t>
      </w:r>
    </w:p>
    <w:p>
      <w:pPr>
        <w:pStyle w:val="Heading2"/>
        <w:keepNext/>
      </w:pPr>
      <w:r>
        <w:t>5.1 Required execution order</w:t>
      </w:r>
    </w:p>
    <w:p>
      <w:pPr>
        <w:pStyle w:val="ListNumber"/>
        <w:spacing w:after="60"/>
      </w:pPr>
      <w:r>
        <w:t>Run the complete deterministic SWCME regression suite, sanitizer checks, coverage gate, and reproducibility checks.</w:t>
      </w:r>
    </w:p>
    <w:p>
      <w:pPr>
        <w:pStyle w:val="ListNumber"/>
        <w:spacing w:after="60"/>
      </w:pPr>
      <w:r>
        <w:t>Run VP01-VP03 and freeze the qualified background domain.</w:t>
      </w:r>
    </w:p>
    <w:p>
      <w:pPr>
        <w:pStyle w:val="ListNumber"/>
        <w:spacing w:after="60"/>
      </w:pPr>
      <w:r>
        <w:t>Run VP04-VP05 for kinematics and arrival; do not proceed with event-timed downstream claims if these fail.</w:t>
      </w:r>
    </w:p>
    <w:p>
      <w:pPr>
        <w:pStyle w:val="ListNumber"/>
        <w:spacing w:after="60"/>
      </w:pPr>
      <w:r>
        <w:t>Run VP06-VP07 for shock conservation, jump, normal, and acceleration geometry.</w:t>
      </w:r>
    </w:p>
    <w:p>
      <w:pPr>
        <w:pStyle w:val="ListNumber"/>
        <w:spacing w:after="60"/>
      </w:pPr>
      <w:r>
        <w:t>Run VP08-VP09 for three-dimensional encounter geometry and region profiles.</w:t>
      </w:r>
    </w:p>
    <w:p>
      <w:pPr>
        <w:pStyle w:val="ListNumber"/>
        <w:spacing w:after="60"/>
      </w:pPr>
      <w:r>
        <w:t>Run VP10-VP11 for Parker path quantities and connectivity histories.</w:t>
      </w:r>
    </w:p>
    <w:p>
      <w:pPr>
        <w:pStyle w:val="ListNumber"/>
        <w:spacing w:after="60"/>
      </w:pPr>
      <w:r>
        <w:t>Run VP12 source-boundary identity before launching any AMPS transport campaign.</w:t>
      </w:r>
    </w:p>
    <w:p>
      <w:pPr>
        <w:pStyle w:val="ListNumber"/>
        <w:spacing w:after="60"/>
      </w:pPr>
      <w:r>
        <w:t>Run VP13 controlled 1-D/3-D equivalence before enabling perpendicular diffusion.</w:t>
      </w:r>
    </w:p>
    <w:p>
      <w:pPr>
        <w:pStyle w:val="ListNumber"/>
        <w:spacing w:after="60"/>
      </w:pPr>
      <w:r>
        <w:t>Run VP14 and VP15 coupled transport comparisons with frozen source and transport controls.</w:t>
      </w:r>
    </w:p>
    <w:p>
      <w:pPr>
        <w:pStyle w:val="ListNumber"/>
        <w:spacing w:after="60"/>
      </w:pPr>
      <w:r>
        <w:t>Run VP16 on held-out events and issue the release decision with domain and limitations.</w:t>
      </w:r>
    </w:p>
    <w:p>
      <w:pPr>
        <w:pStyle w:val="Heading2"/>
        <w:keepNext/>
      </w:pPr>
      <w:r>
        <w:t>5.2 Release decision table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cantSplit/>
        </w:trPr>
        <w:tc>
          <w:tcPr>
            <w:tcW w:type="dxa" w:w="2232"/>
            <w:shd w:fill="17365D"/>
            <w:tcMar>
              <w:top w:w="100" w:type="dxa"/>
              <w:start w:w="120" w:type="dxa"/>
              <w:bottom w:w="100" w:type="dxa"/>
              <w:end w:w="120" w:type="dxa"/>
            </w:tcMar>
            <w:vAlign w:val="center"/>
          </w:tcPr>
          <w:p>
            <w:pPr>
              <w:spacing w:after="20" w:line="252" w:lineRule="auto"/>
            </w:pPr>
            <w:r>
              <w:rPr>
                <w:b/>
                <w:color w:val="FFFFFF"/>
              </w:rPr>
              <w:t>Decision</w:t>
            </w:r>
          </w:p>
        </w:tc>
        <w:tc>
          <w:tcPr>
            <w:tcW w:type="dxa" w:w="3816"/>
            <w:shd w:fill="17365D"/>
            <w:tcMar>
              <w:top w:w="100" w:type="dxa"/>
              <w:start w:w="120" w:type="dxa"/>
              <w:bottom w:w="100" w:type="dxa"/>
              <w:end w:w="120" w:type="dxa"/>
            </w:tcMar>
            <w:vAlign w:val="center"/>
          </w:tcPr>
          <w:p>
            <w:pPr>
              <w:spacing w:after="20" w:line="252" w:lineRule="auto"/>
            </w:pPr>
            <w:r>
              <w:rPr>
                <w:b/>
                <w:color w:val="FFFFFF"/>
              </w:rPr>
              <w:t>Minimum evidence</w:t>
            </w:r>
          </w:p>
        </w:tc>
        <w:tc>
          <w:tcPr>
            <w:tcW w:type="dxa" w:w="4392"/>
            <w:shd w:fill="17365D"/>
            <w:tcMar>
              <w:top w:w="100" w:type="dxa"/>
              <w:start w:w="120" w:type="dxa"/>
              <w:bottom w:w="100" w:type="dxa"/>
              <w:end w:w="120" w:type="dxa"/>
            </w:tcMar>
            <w:vAlign w:val="center"/>
          </w:tcPr>
          <w:p>
            <w:pPr>
              <w:spacing w:after="20" w:line="252" w:lineRule="auto"/>
            </w:pPr>
            <w:r>
              <w:rPr>
                <w:b/>
                <w:color w:val="FFFFFF"/>
              </w:rPr>
              <w:t>Permitted claim</w:t>
            </w:r>
          </w:p>
        </w:tc>
      </w:tr>
      <w:tr>
        <w:trPr>
          <w:cantSplit/>
        </w:trPr>
        <w:tc>
          <w:tcPr>
            <w:tcW w:type="dxa" w:w="2232"/>
            <w:tcMar>
              <w:top w:w="100" w:type="dxa"/>
              <w:start w:w="120" w:type="dxa"/>
              <w:bottom w:w="100" w:type="dxa"/>
              <w:end w:w="120" w:type="dxa"/>
            </w:tcMar>
            <w:vAlign w:val="center"/>
          </w:tcPr>
          <w:p>
            <w:pPr>
              <w:spacing w:after="20" w:line="252" w:lineRule="auto"/>
            </w:pPr>
            <w:r>
              <w:rPr>
                <w:sz w:val="17"/>
              </w:rPr>
              <w:t>Component validated</w:t>
            </w:r>
          </w:p>
        </w:tc>
        <w:tc>
          <w:tcPr>
            <w:tcW w:type="dxa" w:w="3816"/>
            <w:tcMar>
              <w:top w:w="100" w:type="dxa"/>
              <w:start w:w="120" w:type="dxa"/>
              <w:bottom w:w="100" w:type="dxa"/>
              <w:end w:w="120" w:type="dxa"/>
            </w:tcMar>
            <w:vAlign w:val="center"/>
          </w:tcPr>
          <w:p>
            <w:pPr>
              <w:spacing w:after="20" w:line="252" w:lineRule="auto"/>
            </w:pPr>
            <w:r>
              <w:rPr>
                <w:sz w:val="17"/>
              </w:rPr>
              <w:t>Relevant deterministic gate plus one or more observational tests pass.</w:t>
            </w:r>
          </w:p>
        </w:tc>
        <w:tc>
          <w:tcPr>
            <w:tcW w:type="dxa" w:w="4392"/>
            <w:tcMar>
              <w:top w:w="100" w:type="dxa"/>
              <w:start w:w="120" w:type="dxa"/>
              <w:bottom w:w="100" w:type="dxa"/>
              <w:end w:w="120" w:type="dxa"/>
            </w:tcMar>
            <w:vAlign w:val="center"/>
          </w:tcPr>
          <w:p>
            <w:pPr>
              <w:spacing w:after="20" w:line="252" w:lineRule="auto"/>
            </w:pPr>
            <w:r>
              <w:rPr>
                <w:sz w:val="17"/>
              </w:rPr>
              <w:t>Named component is credible only for the tested domain.</w:t>
            </w:r>
          </w:p>
        </w:tc>
      </w:tr>
      <w:tr>
        <w:trPr>
          <w:cantSplit/>
        </w:trPr>
        <w:tc>
          <w:tcPr>
            <w:tcW w:type="dxa" w:w="2232"/>
            <w:tcMar>
              <w:top w:w="100" w:type="dxa"/>
              <w:start w:w="120" w:type="dxa"/>
              <w:bottom w:w="100" w:type="dxa"/>
              <w:end w:w="120" w:type="dxa"/>
            </w:tcMar>
            <w:shd w:fill="EAF1F8"/>
            <w:vAlign w:val="center"/>
          </w:tcPr>
          <w:p>
            <w:pPr>
              <w:spacing w:after="20" w:line="252" w:lineRule="auto"/>
            </w:pPr>
            <w:r>
              <w:rPr>
                <w:sz w:val="17"/>
              </w:rPr>
              <w:t>Event reproduced</w:t>
            </w:r>
          </w:p>
        </w:tc>
        <w:tc>
          <w:tcPr>
            <w:tcW w:type="dxa" w:w="3816"/>
            <w:tcMar>
              <w:top w:w="100" w:type="dxa"/>
              <w:start w:w="120" w:type="dxa"/>
              <w:bottom w:w="100" w:type="dxa"/>
              <w:end w:w="120" w:type="dxa"/>
            </w:tcMar>
            <w:shd w:fill="EAF1F8"/>
            <w:vAlign w:val="center"/>
          </w:tcPr>
          <w:p>
            <w:pPr>
              <w:spacing w:after="20" w:line="252" w:lineRule="auto"/>
            </w:pPr>
            <w:r>
              <w:rPr>
                <w:sz w:val="17"/>
              </w:rPr>
              <w:t>All dependencies and event-level primary thresholds pass.</w:t>
            </w:r>
          </w:p>
        </w:tc>
        <w:tc>
          <w:tcPr>
            <w:tcW w:type="dxa" w:w="4392"/>
            <w:tcMar>
              <w:top w:w="100" w:type="dxa"/>
              <w:start w:w="120" w:type="dxa"/>
              <w:bottom w:w="100" w:type="dxa"/>
              <w:end w:w="120" w:type="dxa"/>
            </w:tcMar>
            <w:shd w:fill="EAF1F8"/>
            <w:vAlign w:val="center"/>
          </w:tcPr>
          <w:p>
            <w:pPr>
              <w:spacing w:after="20" w:line="252" w:lineRule="auto"/>
            </w:pPr>
            <w:r>
              <w:rPr>
                <w:sz w:val="17"/>
              </w:rPr>
              <w:t>The frozen configuration reproduces the named event and observers.</w:t>
            </w:r>
          </w:p>
        </w:tc>
      </w:tr>
      <w:tr>
        <w:trPr>
          <w:cantSplit/>
        </w:trPr>
        <w:tc>
          <w:tcPr>
            <w:tcW w:type="dxa" w:w="2232"/>
            <w:tcMar>
              <w:top w:w="100" w:type="dxa"/>
              <w:start w:w="120" w:type="dxa"/>
              <w:bottom w:w="100" w:type="dxa"/>
              <w:end w:w="120" w:type="dxa"/>
            </w:tcMar>
            <w:vAlign w:val="center"/>
          </w:tcPr>
          <w:p>
            <w:pPr>
              <w:spacing w:after="20" w:line="252" w:lineRule="auto"/>
            </w:pPr>
            <w:r>
              <w:rPr>
                <w:sz w:val="17"/>
              </w:rPr>
              <w:t>Campaign validated</w:t>
            </w:r>
          </w:p>
        </w:tc>
        <w:tc>
          <w:tcPr>
            <w:tcW w:type="dxa" w:w="3816"/>
            <w:tcMar>
              <w:top w:w="100" w:type="dxa"/>
              <w:start w:w="120" w:type="dxa"/>
              <w:bottom w:w="100" w:type="dxa"/>
              <w:end w:w="120" w:type="dxa"/>
            </w:tcMar>
            <w:vAlign w:val="center"/>
          </w:tcPr>
          <w:p>
            <w:pPr>
              <w:spacing w:after="20" w:line="252" w:lineRule="auto"/>
            </w:pPr>
            <w:r>
              <w:rPr>
                <w:sz w:val="17"/>
              </w:rPr>
              <w:t>Mandatory V1-V6 layers and VP16 held-out thresholds pass.</w:t>
            </w:r>
          </w:p>
        </w:tc>
        <w:tc>
          <w:tcPr>
            <w:tcW w:type="dxa" w:w="4392"/>
            <w:tcMar>
              <w:top w:w="100" w:type="dxa"/>
              <w:start w:w="120" w:type="dxa"/>
              <w:bottom w:w="100" w:type="dxa"/>
              <w:end w:w="120" w:type="dxa"/>
            </w:tcMar>
            <w:vAlign w:val="center"/>
          </w:tcPr>
          <w:p>
            <w:pPr>
              <w:spacing w:after="20" w:line="252" w:lineRule="auto"/>
            </w:pPr>
            <w:r>
              <w:rPr>
                <w:sz w:val="17"/>
              </w:rPr>
              <w:t>Skill is demonstrated for the declared event population and energy/radial domain.</w:t>
            </w:r>
          </w:p>
        </w:tc>
      </w:tr>
      <w:tr>
        <w:trPr>
          <w:cantSplit/>
        </w:trPr>
        <w:tc>
          <w:tcPr>
            <w:tcW w:type="dxa" w:w="2232"/>
            <w:tcMar>
              <w:top w:w="100" w:type="dxa"/>
              <w:start w:w="120" w:type="dxa"/>
              <w:bottom w:w="100" w:type="dxa"/>
              <w:end w:w="120" w:type="dxa"/>
            </w:tcMar>
            <w:shd w:fill="EAF1F8"/>
            <w:vAlign w:val="center"/>
          </w:tcPr>
          <w:p>
            <w:pPr>
              <w:spacing w:after="20" w:line="252" w:lineRule="auto"/>
            </w:pPr>
            <w:r>
              <w:rPr>
                <w:sz w:val="17"/>
              </w:rPr>
              <w:t>Research only</w:t>
            </w:r>
          </w:p>
        </w:tc>
        <w:tc>
          <w:tcPr>
            <w:tcW w:type="dxa" w:w="3816"/>
            <w:tcMar>
              <w:top w:w="100" w:type="dxa"/>
              <w:start w:w="120" w:type="dxa"/>
              <w:bottom w:w="100" w:type="dxa"/>
              <w:end w:w="120" w:type="dxa"/>
            </w:tcMar>
            <w:shd w:fill="EAF1F8"/>
            <w:vAlign w:val="center"/>
          </w:tcPr>
          <w:p>
            <w:pPr>
              <w:spacing w:after="20" w:line="252" w:lineRule="auto"/>
            </w:pPr>
            <w:r>
              <w:rPr>
                <w:sz w:val="17"/>
              </w:rPr>
              <w:t>Some layers incomplete or fail, but outputs remain diagnosable.</w:t>
            </w:r>
          </w:p>
        </w:tc>
        <w:tc>
          <w:tcPr>
            <w:tcW w:type="dxa" w:w="4392"/>
            <w:tcMar>
              <w:top w:w="100" w:type="dxa"/>
              <w:start w:w="120" w:type="dxa"/>
              <w:bottom w:w="100" w:type="dxa"/>
              <w:end w:w="120" w:type="dxa"/>
            </w:tcMar>
            <w:shd w:fill="EAF1F8"/>
            <w:vAlign w:val="center"/>
          </w:tcPr>
          <w:p>
            <w:pPr>
              <w:spacing w:after="20" w:line="252" w:lineRule="auto"/>
            </w:pPr>
            <w:r>
              <w:rPr>
                <w:sz w:val="17"/>
              </w:rPr>
              <w:t>Use for sensitivity and development; no release-level skill claim.</w:t>
            </w:r>
          </w:p>
        </w:tc>
      </w:tr>
    </w:tbl>
    <w:p>
      <w:pPr>
        <w:pStyle w:val="Heading2"/>
        <w:keepNext/>
      </w:pPr>
      <w:r>
        <w:t>5.3 Standard campaign deliverables</w:t>
      </w:r>
    </w:p>
    <w:p>
      <w:pPr>
        <w:pStyle w:val="ListBullet"/>
        <w:spacing w:after="60"/>
      </w:pPr>
      <w:r>
        <w:t>manifest.json containing code/build identity, source-tree hash, full resolved configuration, fixture inventory, seed, host, and selected tests.</w:t>
      </w:r>
    </w:p>
    <w:p>
      <w:pPr>
        <w:pStyle w:val="ListBullet"/>
        <w:spacing w:after="60"/>
      </w:pPr>
      <w:r>
        <w:t>observations_manifest.json containing every archive record, dataset ID, version, retrieval time, file hash, quality-screening rule, and citation.</w:t>
      </w:r>
    </w:p>
    <w:p>
      <w:pPr>
        <w:pStyle w:val="ListBullet"/>
        <w:spacing w:after="60"/>
      </w:pPr>
      <w:r>
        <w:t>paired_data files in a stable CSV or self-describing scientific format with units and coordinate metadata.</w:t>
      </w:r>
    </w:p>
    <w:p>
      <w:pPr>
        <w:pStyle w:val="ListBullet"/>
        <w:spacing w:after="60"/>
      </w:pPr>
      <w:r>
        <w:t>metrics.json and metrics.csv with event, observer, energy, comparison type, value, uncertainty, threshold, outcome, and coverage.</w:t>
      </w:r>
    </w:p>
    <w:p>
      <w:pPr>
        <w:pStyle w:val="ListBullet"/>
        <w:spacing w:after="60"/>
      </w:pPr>
      <w:r>
        <w:t>Attribution matrix for source, kinematics, geometry, connectivity, parallel transport, and perpendicular diffusion changes.</w:t>
      </w:r>
    </w:p>
    <w:p>
      <w:pPr>
        <w:pStyle w:val="ListBullet"/>
        <w:spacing w:after="60"/>
      </w:pPr>
      <w:r>
        <w:t>Human-readable report containing all figures, failures, exclusions, sensitivity results, model versions, and the exact scope of the conclusion.</w:t>
      </w:r>
    </w:p>
    <w:p>
      <w:pPr>
        <w:pStyle w:val="Heading1"/>
        <w:keepNext/>
      </w:pPr>
      <w:r>
        <w:t>6 Data sources models and references</w:t>
      </w:r>
    </w:p>
    <w:p>
      <w:r>
        <w:t>The resources below define the preferred archives and cross-model references. Before a production campaign, record the exact dataset or run identifier and version rather than citing only the portal home page. Accessed 2026-09-12.</w:t>
      </w:r>
    </w:p>
    <w:p>
      <w:pPr>
        <w:spacing w:after="100"/>
      </w:pPr>
      <w:r>
        <w:rPr>
          <w:b/>
        </w:rPr>
        <w:t xml:space="preserve">[D01] NASA Space Physics Data Facility CDAWeb. </w:t>
      </w:r>
      <w:r>
        <w:t xml:space="preserve">Mission plasma, magnetic field, energetic-particle, and ephemeris products. </w:t>
      </w:r>
      <w:hyperlink r:id="rId11">
        <w:r>
          <w:rPr>
            <w:color w:val="0563C1"/>
            <w:u w:val="single"/>
          </w:rPr>
          <w:t>https://cdaweb.gsfc.nasa.gov/</w:t>
        </w:r>
      </w:hyperlink>
    </w:p>
    <w:p>
      <w:pPr>
        <w:spacing w:after="100"/>
      </w:pPr>
      <w:r>
        <w:rPr>
          <w:b/>
        </w:rPr>
        <w:t xml:space="preserve">[D02] OMNI high-resolution 1-minute data. </w:t>
      </w:r>
      <w:r>
        <w:t xml:space="preserve">Definitive near-Earth plasma and IMF time shifted to the bow-shock nose. </w:t>
      </w:r>
      <w:hyperlink r:id="rId12">
        <w:r>
          <w:rPr>
            <w:color w:val="0563C1"/>
            <w:u w:val="single"/>
          </w:rPr>
          <w:t>https://doi.org/10.48322/mj0k-fq60</w:t>
        </w:r>
      </w:hyperlink>
    </w:p>
    <w:p>
      <w:pPr>
        <w:spacing w:after="100"/>
      </w:pPr>
      <w:r>
        <w:rPr>
          <w:b/>
        </w:rPr>
        <w:t xml:space="preserve">[D03] NASA SPDF and Parker Solar Probe data holdings. </w:t>
      </w:r>
      <w:r>
        <w:t xml:space="preserve">FIELDS, SWEAP, ISOIS and heliospheric ephemeris access. </w:t>
      </w:r>
      <w:hyperlink r:id="rId13">
        <w:r>
          <w:rPr>
            <w:color w:val="0563C1"/>
            <w:u w:val="single"/>
          </w:rPr>
          <w:t>https://spdf.gsfc.nasa.gov/</w:t>
        </w:r>
      </w:hyperlink>
    </w:p>
    <w:p>
      <w:pPr>
        <w:spacing w:after="100"/>
      </w:pPr>
      <w:r>
        <w:rPr>
          <w:b/>
        </w:rPr>
        <w:t xml:space="preserve">[D04] ESA Solar Orbiter Archive. </w:t>
      </w:r>
      <w:r>
        <w:t xml:space="preserve">MAG, SWA, EPD, RPW, SoloHI and calibration/support data. </w:t>
      </w:r>
      <w:hyperlink r:id="rId14">
        <w:r>
          <w:rPr>
            <w:color w:val="0563C1"/>
            <w:u w:val="single"/>
          </w:rPr>
          <w:t>https://soar.esac.esa.int/</w:t>
        </w:r>
      </w:hyperlink>
    </w:p>
    <w:p>
      <w:pPr>
        <w:spacing w:after="100"/>
      </w:pPr>
      <w:r>
        <w:rPr>
          <w:b/>
        </w:rPr>
        <w:t xml:space="preserve">[D05] NASA STEREO Science Center instrument data. </w:t>
      </w:r>
      <w:r>
        <w:t xml:space="preserve">IMPACT MAG, PLASTIC, SEPT, LET, HET and Level-3 event products. </w:t>
      </w:r>
      <w:hyperlink r:id="rId15">
        <w:r>
          <w:rPr>
            <w:color w:val="0563C1"/>
            <w:u w:val="single"/>
          </w:rPr>
          <w:t>https://stereo-ssc.nascom.nasa.gov/ins_data.shtml</w:t>
        </w:r>
      </w:hyperlink>
    </w:p>
    <w:p>
      <w:pPr>
        <w:spacing w:after="100"/>
      </w:pPr>
      <w:r>
        <w:rPr>
          <w:b/>
        </w:rPr>
        <w:t xml:space="preserve">[D06] SOHO LASCO CME Catalog. </w:t>
      </w:r>
      <w:r>
        <w:t xml:space="preserve">CME height-time measurements, speed, width, acceleration and onset metadata. </w:t>
      </w:r>
      <w:hyperlink r:id="rId16">
        <w:r>
          <w:rPr>
            <w:color w:val="0563C1"/>
            <w:u w:val="single"/>
          </w:rPr>
          <w:t>https://cdaw.gsfc.nasa.gov/CME_list/catalog_description.htm</w:t>
        </w:r>
      </w:hyperlink>
    </w:p>
    <w:p>
      <w:pPr>
        <w:spacing w:after="100"/>
      </w:pPr>
      <w:r>
        <w:rPr>
          <w:b/>
        </w:rPr>
        <w:t xml:space="preserve">[D07] STEREO SECCHI data. </w:t>
      </w:r>
      <w:r>
        <w:t xml:space="preserve">COR1, COR2, HI1 and HI2 remote-sensing observations. </w:t>
      </w:r>
      <w:hyperlink r:id="rId17">
        <w:r>
          <w:rPr>
            <w:color w:val="0563C1"/>
            <w:u w:val="single"/>
          </w:rPr>
          <w:t>https://secchi.nrl.navy.mil/</w:t>
        </w:r>
      </w:hyperlink>
    </w:p>
    <w:p>
      <w:pPr>
        <w:spacing w:after="100"/>
      </w:pPr>
      <w:r>
        <w:rPr>
          <w:b/>
        </w:rPr>
        <w:t xml:space="preserve">[D08] Parker Solar Probe WISPR data. </w:t>
      </w:r>
      <w:r>
        <w:t xml:space="preserve">Inner-heliosphere white-light imaging. </w:t>
      </w:r>
      <w:hyperlink r:id="rId18">
        <w:r>
          <w:rPr>
            <w:color w:val="0563C1"/>
            <w:u w:val="single"/>
          </w:rPr>
          <w:t>https://wispr.nrl.navy.mil/</w:t>
        </w:r>
      </w:hyperlink>
    </w:p>
    <w:p>
      <w:pPr>
        <w:spacing w:after="100"/>
      </w:pPr>
      <w:r>
        <w:rPr>
          <w:b/>
        </w:rPr>
        <w:t xml:space="preserve">[D09] NASA CCMC DONKI. </w:t>
      </w:r>
      <w:r>
        <w:t xml:space="preserve">Curated CME, IPS, SEP and event-association analyses. </w:t>
      </w:r>
      <w:hyperlink r:id="rId19">
        <w:r>
          <w:rPr>
            <w:color w:val="0563C1"/>
            <w:u w:val="single"/>
          </w:rPr>
          <w:t>https://kauai.ccmc.gsfc.nasa.gov/DONKI/</w:t>
        </w:r>
      </w:hyperlink>
    </w:p>
    <w:p>
      <w:pPr>
        <w:spacing w:after="100"/>
      </w:pPr>
      <w:r>
        <w:rPr>
          <w:b/>
        </w:rPr>
        <w:t xml:space="preserve">[D10] CfA Interplanetary Shock Database. </w:t>
      </w:r>
      <w:r>
        <w:t xml:space="preserve">Wind and ACE shock times, solutions, plots and uncertainties. </w:t>
      </w:r>
      <w:hyperlink r:id="rId20">
        <w:r>
          <w:rPr>
            <w:color w:val="0563C1"/>
            <w:u w:val="single"/>
          </w:rPr>
          <w:t>https://lweb.cfa.harvard.edu/shocks/</w:t>
        </w:r>
      </w:hyperlink>
    </w:p>
    <w:p>
      <w:pPr>
        <w:spacing w:after="100"/>
      </w:pPr>
      <w:r>
        <w:rPr>
          <w:b/>
        </w:rPr>
        <w:t xml:space="preserve">[D11] NASA SODA interplanetary shock list. </w:t>
      </w:r>
      <w:r>
        <w:t xml:space="preserve">PSP, Solar Orbiter and STEREO shock identifications. </w:t>
      </w:r>
      <w:hyperlink r:id="rId21">
        <w:r>
          <w:rPr>
            <w:color w:val="0563C1"/>
            <w:u w:val="single"/>
          </w:rPr>
          <w:t>https://parker.gsfc.nasa.gov/shocks.html</w:t>
        </w:r>
      </w:hyperlink>
    </w:p>
    <w:p>
      <w:pPr>
        <w:spacing w:after="100"/>
      </w:pPr>
      <w:r>
        <w:rPr>
          <w:b/>
        </w:rPr>
        <w:t xml:space="preserve">[D12] HELIO4CAST ICMECAT. </w:t>
      </w:r>
      <w:r>
        <w:t xml:space="preserve">Multi-mission ICME boundaries and in-situ properties. </w:t>
      </w:r>
      <w:hyperlink r:id="rId22">
        <w:r>
          <w:rPr>
            <w:color w:val="0563C1"/>
            <w:u w:val="single"/>
          </w:rPr>
          <w:t>https://helioforecast.space/icmecat</w:t>
        </w:r>
      </w:hyperlink>
    </w:p>
    <w:p>
      <w:pPr>
        <w:spacing w:after="100"/>
      </w:pPr>
      <w:r>
        <w:rPr>
          <w:b/>
        </w:rPr>
        <w:t xml:space="preserve">[D13] NASA LASSOS catalogs. </w:t>
      </w:r>
      <w:r>
        <w:t xml:space="preserve">Cross-mission CME, ICME, shock, SEP and radio associations. </w:t>
      </w:r>
      <w:hyperlink r:id="rId23">
        <w:r>
          <w:rPr>
            <w:color w:val="0563C1"/>
            <w:u w:val="single"/>
          </w:rPr>
          <w:t>https://science.gsfc.nasa.gov/lassos/catalogs.shtml</w:t>
        </w:r>
      </w:hyperlink>
    </w:p>
    <w:p>
      <w:pPr>
        <w:spacing w:after="100"/>
      </w:pPr>
      <w:r>
        <w:rPr>
          <w:b/>
        </w:rPr>
        <w:t xml:space="preserve">[D14] NASA CCMC CME Scoreboard. </w:t>
      </w:r>
      <w:r>
        <w:t xml:space="preserve">Archived CME arrival predictions and observed arrivals. </w:t>
      </w:r>
      <w:hyperlink r:id="rId24">
        <w:r>
          <w:rPr>
            <w:color w:val="0563C1"/>
            <w:u w:val="single"/>
          </w:rPr>
          <w:t>https://kauai.ccmc.gsfc.nasa.gov/CMEscoreboard/</w:t>
        </w:r>
      </w:hyperlink>
    </w:p>
    <w:p>
      <w:pPr>
        <w:spacing w:after="100"/>
      </w:pPr>
      <w:r>
        <w:rPr>
          <w:b/>
        </w:rPr>
        <w:t xml:space="preserve">[D15] NASA Wind ICME Catalog. </w:t>
      </w:r>
      <w:r>
        <w:t xml:space="preserve">Wind ICME and magnetic-structure intervals. </w:t>
      </w:r>
      <w:hyperlink r:id="rId25">
        <w:r>
          <w:rPr>
            <w:color w:val="0563C1"/>
            <w:u w:val="single"/>
          </w:rPr>
          <w:t>https://wind.nasa.gov/ICME_catalog/ICME_catalog_viewer.php</w:t>
        </w:r>
      </w:hyperlink>
    </w:p>
    <w:p>
      <w:pPr>
        <w:spacing w:after="100"/>
      </w:pPr>
      <w:r>
        <w:rPr>
          <w:b/>
        </w:rPr>
        <w:t xml:space="preserve">[D16] NASA SPDF HelioWeb and COHOweb. </w:t>
      </w:r>
      <w:r>
        <w:t xml:space="preserve">Spacecraft positions and cross-mission heliospheric data. </w:t>
      </w:r>
      <w:hyperlink r:id="rId13">
        <w:r>
          <w:rPr>
            <w:color w:val="0563C1"/>
            <w:u w:val="single"/>
          </w:rPr>
          <w:t>https://spdf.gsfc.nasa.gov/</w:t>
        </w:r>
      </w:hyperlink>
    </w:p>
    <w:p>
      <w:pPr>
        <w:spacing w:after="100"/>
      </w:pPr>
      <w:r>
        <w:rPr>
          <w:b/>
        </w:rPr>
        <w:t xml:space="preserve">[D17] NOAA solar proton event data. </w:t>
      </w:r>
      <w:r>
        <w:t xml:space="preserve">GOES proton flux and solar proton event products. </w:t>
      </w:r>
      <w:hyperlink r:id="rId26">
        <w:r>
          <w:rPr>
            <w:color w:val="0563C1"/>
            <w:u w:val="single"/>
          </w:rPr>
          <w:t>https://www.ngdc.noaa.gov/stp/satellite/goes/index.html</w:t>
        </w:r>
      </w:hyperlink>
    </w:p>
    <w:p>
      <w:pPr>
        <w:spacing w:after="100"/>
      </w:pPr>
      <w:r>
        <w:rPr>
          <w:b/>
        </w:rPr>
        <w:t xml:space="preserve">[D18] SOHO ERNE data collection. </w:t>
      </w:r>
      <w:r>
        <w:t xml:space="preserve">Public proton, helium and heavy-ion energetic-particle products. </w:t>
      </w:r>
      <w:hyperlink r:id="rId27">
        <w:r>
          <w:rPr>
            <w:color w:val="0563C1"/>
            <w:u w:val="single"/>
          </w:rPr>
          <w:t>https://cmr.earthdata.nasa.gov/search/concepts/C1214614563-SCIOPS.html</w:t>
        </w:r>
      </w:hyperlink>
    </w:p>
    <w:p>
      <w:pPr>
        <w:spacing w:after="100"/>
      </w:pPr>
      <w:r>
        <w:rPr>
          <w:b/>
        </w:rPr>
        <w:t xml:space="preserve">[D19] SOHO archive. </w:t>
      </w:r>
      <w:r>
        <w:t xml:space="preserve">SOHO mission instrument data including energetic-particle products. </w:t>
      </w:r>
      <w:hyperlink r:id="rId28">
        <w:r>
          <w:rPr>
            <w:color w:val="0563C1"/>
            <w:u w:val="single"/>
          </w:rPr>
          <w:t>https://soho.nascom.nasa.gov/data/archive.html</w:t>
        </w:r>
      </w:hyperlink>
    </w:p>
    <w:p>
      <w:pPr>
        <w:spacing w:after="100"/>
      </w:pPr>
      <w:r>
        <w:rPr>
          <w:b/>
        </w:rPr>
        <w:t xml:space="preserve">[D20] Solar Orbiter and PSP energetic-particle data. </w:t>
      </w:r>
      <w:r>
        <w:t xml:space="preserve">HDP discovery records for EPD and ISOIS products. </w:t>
      </w:r>
      <w:hyperlink r:id="rId29">
        <w:r>
          <w:rPr>
            <w:color w:val="0563C1"/>
            <w:u w:val="single"/>
          </w:rPr>
          <w:t>https://helio.data.nasa.gov/</w:t>
        </w:r>
      </w:hyperlink>
    </w:p>
    <w:p>
      <w:pPr>
        <w:spacing w:after="100"/>
      </w:pPr>
      <w:r>
        <w:rPr>
          <w:b/>
        </w:rPr>
        <w:t xml:space="preserve">[D21] ACE EPAM data through HDP and CDAWeb. </w:t>
      </w:r>
      <w:r>
        <w:t xml:space="preserve">Suprathermal and energetic-particle seed/context measurements. </w:t>
      </w:r>
      <w:hyperlink r:id="rId30">
        <w:r>
          <w:rPr>
            <w:color w:val="0563C1"/>
            <w:u w:val="single"/>
          </w:rPr>
          <w:t>https://heliophysicsdata.gsfc.nasa.gov/</w:t>
        </w:r>
      </w:hyperlink>
    </w:p>
    <w:p>
      <w:pPr>
        <w:spacing w:after="100"/>
      </w:pPr>
      <w:r>
        <w:rPr>
          <w:b/>
        </w:rPr>
        <w:t xml:space="preserve">[D22] CCMC SEP Model Validation Challenge. </w:t>
      </w:r>
      <w:r>
        <w:t xml:space="preserve">Common event inputs, requested channels, seed spectra and submission protocol. </w:t>
      </w:r>
      <w:hyperlink r:id="rId31">
        <w:r>
          <w:rPr>
            <w:color w:val="0563C1"/>
            <w:u w:val="single"/>
          </w:rPr>
          <w:t>https://ccmc.gsfc.nasa.gov/challenges/sep/</w:t>
        </w:r>
      </w:hyperlink>
    </w:p>
    <w:p>
      <w:pPr>
        <w:spacing w:after="100"/>
      </w:pPr>
      <w:r>
        <w:rPr>
          <w:b/>
        </w:rPr>
        <w:t xml:space="preserve">[D23] CCMC SEP Intensity Scoreboard. </w:t>
      </w:r>
      <w:r>
        <w:t xml:space="preserve">Operational/retrospective SEP intensity forecasts and validation guidance. </w:t>
      </w:r>
      <w:hyperlink r:id="rId32">
        <w:r>
          <w:rPr>
            <w:color w:val="0563C1"/>
            <w:u w:val="single"/>
          </w:rPr>
          <w:t>https://sep.ccmc.gsfc.nasa.gov/</w:t>
        </w:r>
      </w:hyperlink>
    </w:p>
    <w:p>
      <w:pPr>
        <w:spacing w:after="100"/>
      </w:pPr>
      <w:r>
        <w:rPr>
          <w:b/>
        </w:rPr>
        <w:t xml:space="preserve">[M01] SWMF AWSoM R at CCMC. </w:t>
      </w:r>
      <w:r>
        <w:t xml:space="preserve">Global MHD solar wind, CME and reconstructed shock surfaces. </w:t>
      </w:r>
      <w:hyperlink r:id="rId33">
        <w:r>
          <w:rPr>
            <w:color w:val="0563C1"/>
            <w:u w:val="single"/>
          </w:rPr>
          <w:t>https://ccmc.gsfc.nasa.gov/models/SWMF~AWSoM_R~1.0/</w:t>
        </w:r>
      </w:hyperlink>
    </w:p>
    <w:p>
      <w:pPr>
        <w:spacing w:after="100"/>
      </w:pPr>
      <w:r>
        <w:rPr>
          <w:b/>
        </w:rPr>
        <w:t xml:space="preserve">[M02] ENLIL 2.9e at CCMC. </w:t>
      </w:r>
      <w:r>
        <w:t xml:space="preserve">Time-dependent 3-D heliospheric MHD and CME propagation. </w:t>
      </w:r>
      <w:hyperlink r:id="rId34">
        <w:r>
          <w:rPr>
            <w:color w:val="0563C1"/>
            <w:u w:val="single"/>
          </w:rPr>
          <w:t>https://ccmc.gsfc.nasa.gov/models/ENLIL~2.9e</w:t>
        </w:r>
      </w:hyperlink>
    </w:p>
    <w:p>
      <w:pPr>
        <w:spacing w:after="100"/>
      </w:pPr>
      <w:r>
        <w:rPr>
          <w:b/>
        </w:rPr>
        <w:t xml:space="preserve">[M03] EUHFORIA 1.0.4 at CCMC. </w:t>
      </w:r>
      <w:r>
        <w:t xml:space="preserve">Coronal plus heliospheric MHD CME model. </w:t>
      </w:r>
      <w:hyperlink r:id="rId35">
        <w:r>
          <w:rPr>
            <w:color w:val="0563C1"/>
            <w:u w:val="single"/>
          </w:rPr>
          <w:t>https://ccmc.gsfc.nasa.gov/models/EUHFORIA~1.0.4/</w:t>
        </w:r>
      </w:hyperlink>
    </w:p>
    <w:p>
      <w:pPr>
        <w:spacing w:after="100"/>
      </w:pPr>
      <w:r>
        <w:rPr>
          <w:b/>
        </w:rPr>
        <w:t xml:space="preserve">[M04] WSA model and CCMC model catalog. </w:t>
      </w:r>
      <w:r>
        <w:t xml:space="preserve">Coronal magnetic mapping and ambient solar-wind reference products. </w:t>
      </w:r>
      <w:hyperlink r:id="rId36">
        <w:r>
          <w:rPr>
            <w:color w:val="0563C1"/>
            <w:u w:val="single"/>
          </w:rPr>
          <w:t>https://ccmc.gsfc.nasa.gov/models/</w:t>
        </w:r>
      </w:hyperlink>
    </w:p>
    <w:p>
      <w:pPr>
        <w:spacing w:after="100"/>
      </w:pPr>
      <w:r>
        <w:rPr>
          <w:b/>
        </w:rPr>
        <w:t xml:space="preserve">[M05] Drag-Based Model tool. </w:t>
      </w:r>
      <w:r>
        <w:t xml:space="preserve">Analytical CME propagation and arrival-time comparator. </w:t>
      </w:r>
      <w:hyperlink r:id="rId37">
        <w:r>
          <w:rPr>
            <w:color w:val="0563C1"/>
            <w:u w:val="single"/>
          </w:rPr>
          <w:t>https://oh.geof.unizg.hr/DBM/dbm.php</w:t>
        </w:r>
      </w:hyperlink>
    </w:p>
    <w:p>
      <w:pPr>
        <w:spacing w:after="100"/>
      </w:pPr>
      <w:r>
        <w:rPr>
          <w:b/>
        </w:rPr>
        <w:t xml:space="preserve">[M06] SWMF M FLAMPA at CCMC. </w:t>
      </w:r>
      <w:r>
        <w:t xml:space="preserve">Field-aligned SEP acceleration and transport reference. </w:t>
      </w:r>
      <w:hyperlink r:id="rId38">
        <w:r>
          <w:rPr>
            <w:color w:val="0563C1"/>
            <w:u w:val="single"/>
          </w:rPr>
          <w:t>https://ccmc.gsfc.nasa.gov/models/SWMF~M-FLAMPA~v1/</w:t>
        </w:r>
      </w:hyperlink>
    </w:p>
    <w:p>
      <w:pPr>
        <w:spacing w:after="100"/>
      </w:pPr>
      <w:r>
        <w:rPr>
          <w:b/>
        </w:rPr>
        <w:t xml:space="preserve">[M07] SEPMOD through the CCMC model catalog. </w:t>
      </w:r>
      <w:r>
        <w:t xml:space="preserve">Production SEP model reference and community comparison. </w:t>
      </w:r>
      <w:hyperlink r:id="rId36">
        <w:r>
          <w:rPr>
            <w:color w:val="0563C1"/>
            <w:u w:val="single"/>
          </w:rPr>
          <w:t>https://ccmc.gsfc.nasa.gov/models/</w:t>
        </w:r>
      </w:hyperlink>
    </w:p>
    <w:p>
      <w:pPr>
        <w:spacing w:after="100"/>
      </w:pPr>
      <w:r>
        <w:rPr>
          <w:b/>
        </w:rPr>
        <w:t xml:space="preserve">[M08] CCMC SEP challenge participant models. </w:t>
      </w:r>
      <w:r>
        <w:t xml:space="preserve">iPATH, SPARX and other documented community model submissions. </w:t>
      </w:r>
      <w:hyperlink r:id="rId31">
        <w:r>
          <w:rPr>
            <w:color w:val="0563C1"/>
            <w:u w:val="single"/>
          </w:rPr>
          <w:t>https://ccmc.gsfc.nasa.gov/challenges/sep/</w:t>
        </w:r>
      </w:hyperlink>
    </w:p>
    <w:p>
      <w:pPr>
        <w:spacing w:after="100"/>
      </w:pPr>
      <w:r>
        <w:rPr>
          <w:b/>
        </w:rPr>
        <w:t xml:space="preserve">[R01] Parker 1958. </w:t>
      </w:r>
      <w:r>
        <w:t xml:space="preserve">Dynamics of the interplanetary gas and magnetic fields. </w:t>
      </w:r>
      <w:hyperlink r:id="rId39">
        <w:r>
          <w:rPr>
            <w:color w:val="0563C1"/>
            <w:u w:val="single"/>
          </w:rPr>
          <w:t>https://doi.org/10.1086/146579</w:t>
        </w:r>
      </w:hyperlink>
    </w:p>
    <w:p>
      <w:pPr>
        <w:spacing w:after="100"/>
      </w:pPr>
      <w:r>
        <w:rPr>
          <w:b/>
        </w:rPr>
        <w:t xml:space="preserve">[R02] Leblanc Dulk and Bougeret 1998. </w:t>
      </w:r>
      <w:r>
        <w:t xml:space="preserve">Tracing the electron density from the corona to 1 AU. </w:t>
      </w:r>
      <w:hyperlink r:id="rId40">
        <w:r>
          <w:rPr>
            <w:color w:val="0563C1"/>
            <w:u w:val="single"/>
          </w:rPr>
          <w:t>https://doi.org/10.1029/98JA02611</w:t>
        </w:r>
      </w:hyperlink>
    </w:p>
    <w:p>
      <w:pPr>
        <w:spacing w:after="100"/>
      </w:pPr>
      <w:r>
        <w:rPr>
          <w:b/>
        </w:rPr>
        <w:t xml:space="preserve">[R03] Thernisien Vourlidas and Howard 2009. </w:t>
      </w:r>
      <w:r>
        <w:t xml:space="preserve">Forward modeling and 3-D reconstruction of CMEs with STEREO/SECCHI. </w:t>
      </w:r>
      <w:hyperlink r:id="rId41">
        <w:r>
          <w:rPr>
            <w:color w:val="0563C1"/>
            <w:u w:val="single"/>
          </w:rPr>
          <w:t>https://doi.org/10.1007/s11207-009-9346-5</w:t>
        </w:r>
      </w:hyperlink>
    </w:p>
    <w:p>
      <w:pPr>
        <w:spacing w:after="100"/>
      </w:pPr>
      <w:r>
        <w:rPr>
          <w:b/>
        </w:rPr>
        <w:t xml:space="preserve">[R04] Pomoell and Poedts 2018. </w:t>
      </w:r>
      <w:r>
        <w:t xml:space="preserve">EUHFORIA model description. </w:t>
      </w:r>
      <w:hyperlink r:id="rId42">
        <w:r>
          <w:rPr>
            <w:color w:val="0563C1"/>
            <w:u w:val="single"/>
          </w:rPr>
          <w:t>https://doi.org/10.1051/swsc/2018020</w:t>
        </w:r>
      </w:hyperlink>
    </w:p>
    <w:p>
      <w:pPr>
        <w:spacing w:after="100"/>
      </w:pPr>
      <w:r>
        <w:rPr>
          <w:b/>
        </w:rPr>
        <w:t xml:space="preserve">[R05] Borovikov et al 2018. </w:t>
      </w:r>
      <w:r>
        <w:t xml:space="preserve">MHD background for quantitative gradual-SEP modeling. </w:t>
      </w:r>
      <w:hyperlink r:id="rId43">
        <w:r>
          <w:rPr>
            <w:color w:val="0563C1"/>
            <w:u w:val="single"/>
          </w:rPr>
          <w:t>https://doi.org/10.3847/1538-4357/aad68d</w:t>
        </w:r>
      </w:hyperlink>
    </w:p>
    <w:p>
      <w:pPr>
        <w:spacing w:after="100"/>
      </w:pPr>
      <w:r>
        <w:rPr>
          <w:b/>
        </w:rPr>
        <w:t xml:space="preserve">[R06] Tao et al 2025. </w:t>
      </w:r>
      <w:r>
        <w:t xml:space="preserve">Multi-observer energetic-particle and magnetic-connectivity benchmark. </w:t>
      </w:r>
      <w:hyperlink r:id="rId44">
        <w:r>
          <w:rPr>
            <w:color w:val="0563C1"/>
            <w:u w:val="single"/>
          </w:rPr>
          <w:t>https://doi.org/10.3847/1538-4357/ae17bd</w:t>
        </w:r>
      </w:hyperlink>
    </w:p>
    <w:p>
      <w:pPr>
        <w:pStyle w:val="Heading2"/>
        <w:keepNext/>
      </w:pPr>
      <w:r>
        <w:t>6.1 Minimum citation and data use review</w:t>
      </w:r>
    </w:p>
    <w:p>
      <w:r>
        <w:t>Before publication or external release, consult each instrument team's current data-use and acknowledgement guidance, cite the dataset DOI where one exists, and include instrument papers requested by the provider. Catalog values should be traced to the underlying observations when they determine a primary threshold. A portal URL alone is not sufficient provenance for a release campaign.</w:t>
      </w:r>
    </w:p>
    <w:sectPr w:rsidR="00FC693F" w:rsidRPr="0006063C" w:rsidSect="00034616">
      <w:headerReference w:type="default" r:id="rId9"/>
      <w:footerReference w:type="default" r:id="rId10"/>
      <w:pgSz w:w="12240" w:h="15840"/>
      <w:pgMar w:top="1224"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05050"/>
        <w:sz w:val="17"/>
      </w:rPr>
      <w:t>SWCME Observational and Cross Model Validation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Display" w:hAnsi="Aptos Display"/>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daweb.gsfc.nasa.gov/" TargetMode="External"/><Relationship Id="rId12" Type="http://schemas.openxmlformats.org/officeDocument/2006/relationships/hyperlink" Target="https://doi.org/10.48322/mj0k-fq60" TargetMode="External"/><Relationship Id="rId13" Type="http://schemas.openxmlformats.org/officeDocument/2006/relationships/hyperlink" Target="https://spdf.gsfc.nasa.gov/" TargetMode="External"/><Relationship Id="rId14" Type="http://schemas.openxmlformats.org/officeDocument/2006/relationships/hyperlink" Target="https://soar.esac.esa.int/" TargetMode="External"/><Relationship Id="rId15" Type="http://schemas.openxmlformats.org/officeDocument/2006/relationships/hyperlink" Target="https://stereo-ssc.nascom.nasa.gov/ins_data.shtml" TargetMode="External"/><Relationship Id="rId16" Type="http://schemas.openxmlformats.org/officeDocument/2006/relationships/hyperlink" Target="https://cdaw.gsfc.nasa.gov/CME_list/catalog_description.htm" TargetMode="External"/><Relationship Id="rId17" Type="http://schemas.openxmlformats.org/officeDocument/2006/relationships/hyperlink" Target="https://secchi.nrl.navy.mil/" TargetMode="External"/><Relationship Id="rId18" Type="http://schemas.openxmlformats.org/officeDocument/2006/relationships/hyperlink" Target="https://wispr.nrl.navy.mil/" TargetMode="External"/><Relationship Id="rId19" Type="http://schemas.openxmlformats.org/officeDocument/2006/relationships/hyperlink" Target="https://kauai.ccmc.gsfc.nasa.gov/DONKI/" TargetMode="External"/><Relationship Id="rId20" Type="http://schemas.openxmlformats.org/officeDocument/2006/relationships/hyperlink" Target="https://lweb.cfa.harvard.edu/shocks/" TargetMode="External"/><Relationship Id="rId21" Type="http://schemas.openxmlformats.org/officeDocument/2006/relationships/hyperlink" Target="https://parker.gsfc.nasa.gov/shocks.html" TargetMode="External"/><Relationship Id="rId22" Type="http://schemas.openxmlformats.org/officeDocument/2006/relationships/hyperlink" Target="https://helioforecast.space/icmecat" TargetMode="External"/><Relationship Id="rId23" Type="http://schemas.openxmlformats.org/officeDocument/2006/relationships/hyperlink" Target="https://science.gsfc.nasa.gov/lassos/catalogs.shtml" TargetMode="External"/><Relationship Id="rId24" Type="http://schemas.openxmlformats.org/officeDocument/2006/relationships/hyperlink" Target="https://kauai.ccmc.gsfc.nasa.gov/CMEscoreboard/" TargetMode="External"/><Relationship Id="rId25" Type="http://schemas.openxmlformats.org/officeDocument/2006/relationships/hyperlink" Target="https://wind.nasa.gov/ICME_catalog/ICME_catalog_viewer.php" TargetMode="External"/><Relationship Id="rId26" Type="http://schemas.openxmlformats.org/officeDocument/2006/relationships/hyperlink" Target="https://www.ngdc.noaa.gov/stp/satellite/goes/index.html" TargetMode="External"/><Relationship Id="rId27" Type="http://schemas.openxmlformats.org/officeDocument/2006/relationships/hyperlink" Target="https://cmr.earthdata.nasa.gov/search/concepts/C1214614563-SCIOPS.html" TargetMode="External"/><Relationship Id="rId28" Type="http://schemas.openxmlformats.org/officeDocument/2006/relationships/hyperlink" Target="https://soho.nascom.nasa.gov/data/archive.html" TargetMode="External"/><Relationship Id="rId29" Type="http://schemas.openxmlformats.org/officeDocument/2006/relationships/hyperlink" Target="https://helio.data.nasa.gov/" TargetMode="External"/><Relationship Id="rId30" Type="http://schemas.openxmlformats.org/officeDocument/2006/relationships/hyperlink" Target="https://heliophysicsdata.gsfc.nasa.gov/" TargetMode="External"/><Relationship Id="rId31" Type="http://schemas.openxmlformats.org/officeDocument/2006/relationships/hyperlink" Target="https://ccmc.gsfc.nasa.gov/challenges/sep/" TargetMode="External"/><Relationship Id="rId32" Type="http://schemas.openxmlformats.org/officeDocument/2006/relationships/hyperlink" Target="https://sep.ccmc.gsfc.nasa.gov/" TargetMode="External"/><Relationship Id="rId33" Type="http://schemas.openxmlformats.org/officeDocument/2006/relationships/hyperlink" Target="https://ccmc.gsfc.nasa.gov/models/SWMF~AWSoM_R~1.0/" TargetMode="External"/><Relationship Id="rId34" Type="http://schemas.openxmlformats.org/officeDocument/2006/relationships/hyperlink" Target="https://ccmc.gsfc.nasa.gov/models/ENLIL~2.9e" TargetMode="External"/><Relationship Id="rId35" Type="http://schemas.openxmlformats.org/officeDocument/2006/relationships/hyperlink" Target="https://ccmc.gsfc.nasa.gov/models/EUHFORIA~1.0.4/" TargetMode="External"/><Relationship Id="rId36" Type="http://schemas.openxmlformats.org/officeDocument/2006/relationships/hyperlink" Target="https://ccmc.gsfc.nasa.gov/models/" TargetMode="External"/><Relationship Id="rId37" Type="http://schemas.openxmlformats.org/officeDocument/2006/relationships/hyperlink" Target="https://oh.geof.unizg.hr/DBM/dbm.php" TargetMode="External"/><Relationship Id="rId38" Type="http://schemas.openxmlformats.org/officeDocument/2006/relationships/hyperlink" Target="https://ccmc.gsfc.nasa.gov/models/SWMF~M-FLAMPA~v1/" TargetMode="External"/><Relationship Id="rId39" Type="http://schemas.openxmlformats.org/officeDocument/2006/relationships/hyperlink" Target="https://doi.org/10.1086/146579" TargetMode="External"/><Relationship Id="rId40" Type="http://schemas.openxmlformats.org/officeDocument/2006/relationships/hyperlink" Target="https://doi.org/10.1029/98JA02611" TargetMode="External"/><Relationship Id="rId41" Type="http://schemas.openxmlformats.org/officeDocument/2006/relationships/hyperlink" Target="https://doi.org/10.1007/s11207-009-9346-5" TargetMode="External"/><Relationship Id="rId42" Type="http://schemas.openxmlformats.org/officeDocument/2006/relationships/hyperlink" Target="https://doi.org/10.1051/swsc/2018020" TargetMode="External"/><Relationship Id="rId43" Type="http://schemas.openxmlformats.org/officeDocument/2006/relationships/hyperlink" Target="https://doi.org/10.3847/1538-4357/aad68d" TargetMode="External"/><Relationship Id="rId44" Type="http://schemas.openxmlformats.org/officeDocument/2006/relationships/hyperlink" Target="https://doi.org/10.3847/1538-4357/ae17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SWCME Observational and Cross Model Validation Plan</dc:title>
  <dc:subject>Observational and cross-model validation of SWCME and coupled SWCME plus AMPS</dc:subject>
  <dc:creator>SWCME Development Team</dc:creator>
  <cp:keywords>SWCME, AMPS, solar wind, CME, shock, SEP, validation, observations, cross-model</cp:keywords>
  <dc:description>Detailed staged validation plan</dc:description>
  <cp:lastModifiedBy/>
  <cp:revision>1</cp:revision>
  <dcterms:created xsi:type="dcterms:W3CDTF">2013-12-23T23:15:00Z</dcterms:created>
  <dcterms:modified xsi:type="dcterms:W3CDTF">2013-12-23T23:15:00Z</dcterms:modified>
  <cp:category/>
</cp:coreProperties>
</file>