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4F72"/>
          <w:sz w:val="48"/>
          <w:szCs w:val="48"/>
        </w:rPr>
        <w:t xml:space="preserve">Two-Layer Subcatchment Infiltration</w:t>
      </w:r>
    </w:p>
    <w:p>
      <w:pPr>
        <w:spacing w:after="80"/>
      </w:pPr>
      <w:r>
        <w:rPr>
          <w:rFonts w:ascii="Calibri" w:cs="Calibri" w:eastAsia="Calibri" w:hAnsi="Calibri"/>
          <w:i/>
          <w:iCs/>
          <w:color w:val="5D6D7E"/>
          <w:sz w:val="28"/>
          <w:szCs w:val="28"/>
        </w:rPr>
        <w:t xml:space="preserve">One New Flag, Full Two-Layer Soil Modeling</w:t>
      </w:r>
    </w:p>
    <w:p>
      <w:pPr>
        <w:spacing w:after="80"/>
      </w:pPr>
      <w:r>
        <w:rPr>
          <w:rFonts w:ascii="Calibri" w:cs="Calibri" w:eastAsia="Calibri" w:hAnsi="Calibri"/>
          <w:color w:val="5D6D7E"/>
          <w:sz w:val="24"/>
          <w:szCs w:val="24"/>
        </w:rPr>
        <w:t xml:space="preserve">An EPA SWMM 5.2.4 Engine Enhancement</w:t>
      </w:r>
    </w:p>
    <w:p>
      <w:pPr>
        <w:spacing w:after="40"/>
      </w:pPr>
      <w:r>
        <w:rPr>
          <w:rFonts w:ascii="Calibri" w:cs="Calibri" w:eastAsia="Calibri" w:hAnsi="Calibri"/>
          <w:sz w:val="22"/>
          <w:szCs w:val="22"/>
        </w:rPr>
        <w:t xml:space="preserve">Robert E. Dickinson — SWMM Enablement — swmm5.org</w:t>
      </w:r>
    </w:p>
    <w:p>
      <w:pPr>
        <w:spacing w:after="400"/>
      </w:pPr>
      <w:r>
        <w:rPr>
          <w:rFonts w:ascii="Calibri" w:cs="Calibri" w:eastAsia="Calibri" w:hAnsi="Calibri"/>
          <w:sz w:val="22"/>
          <w:szCs w:val="22"/>
        </w:rPr>
        <w:t xml:space="preserve">October 2026</w:t>
      </w:r>
    </w:p>
    <w:p>
      <w:pPr>
        <w:pStyle w:val="Heading1"/>
        <w:spacing w:after="200" w:before="360"/>
      </w:pPr>
      <w:r>
        <w:t xml:space="preserve">The Problem Nobody Talks About</w:t>
      </w:r>
    </w:p>
    <w:p>
      <w:pPr>
        <w:spacing w:after="160" w:line="276"/>
      </w:pPr>
      <w:r>
        <w:rPr>
          <w:rFonts w:ascii="Calibri" w:cs="Calibri" w:eastAsia="Calibri" w:hAnsi="Calibri"/>
          <w:sz w:val="22"/>
          <w:szCs w:val="22"/>
        </w:rPr>
        <w:t xml:space="preserve">Every civil engineer who has used SWMM5 knows this: the infiltration happens through one uniform slab of soil. You pick Green-Ampt or Horton or Curve Number, you set the parameters for that one layer, and that is all the physics you get.</w:t>
      </w:r>
    </w:p>
    <w:p>
      <w:pPr>
        <w:spacing w:after="160" w:line="276"/>
      </w:pPr>
      <w:r>
        <w:rPr>
          <w:rFonts w:ascii="Calibri" w:cs="Calibri" w:eastAsia="Calibri" w:hAnsi="Calibri"/>
          <w:sz w:val="22"/>
          <w:szCs w:val="22"/>
        </w:rPr>
        <w:t xml:space="preserve">In the real world, soil is not one slab. The topsoil is one thing — twelve inches of sandy loam, say, with a field capacity of 0.19 and a saturated hydraulic conductivity of 0.43 in/hr. Below that sits something else entirely — twenty-four inches of clay loam, with a field capacity of 0.31 and a Ksat of 0.04 in/hr.</w:t>
      </w:r>
    </w:p>
    <w:p>
      <w:pPr>
        <w:spacing w:after="160" w:line="276"/>
      </w:pPr>
      <w:r>
        <w:rPr>
          <w:rFonts w:ascii="Calibri" w:cs="Calibri" w:eastAsia="Calibri" w:hAnsi="Calibri"/>
          <w:sz w:val="22"/>
          <w:szCs w:val="22"/>
        </w:rPr>
        <w:t xml:space="preserve">The clay holds back the water. The upper layer fills up faster than the lower layer can drain it. In a heavy rain, the upper layer saturates from below, and the surface starts ponding not because the rain exceeds the surface infiltration rate, but because the subsurface percolation bottleneck has backed up the whole system.</w:t>
      </w:r>
    </w:p>
    <w:p>
      <w:pPr>
        <w:spacing w:after="160" w:line="276"/>
      </w:pPr>
      <w:r>
        <w:rPr>
          <w:rFonts w:ascii="Calibri" w:cs="Calibri" w:eastAsia="Calibri" w:hAnsi="Calibri"/>
          <w:sz w:val="22"/>
          <w:szCs w:val="22"/>
        </w:rPr>
        <w:t xml:space="preserve">This is what happens under every compacted construction site in America. It is what Stu Schwartz at UMBC measures in the field. It is what the LID community has been trying to model with awkward workarounds for years. And SWMM5 cannot represent it — unless you know where to look.</w:t>
      </w:r>
    </w:p>
    <w:p>
      <w:pPr>
        <w:pStyle w:val="Heading1"/>
        <w:spacing w:after="200" w:before="360"/>
      </w:pPr>
      <w:r>
        <w:t xml:space="preserve">The Insight: It Was Already There</w:t>
      </w:r>
    </w:p>
    <w:p>
      <w:pPr>
        <w:spacing w:after="160" w:line="276"/>
      </w:pPr>
      <w:r>
        <w:rPr>
          <w:rFonts w:ascii="Calibri" w:cs="Calibri" w:eastAsia="Calibri" w:hAnsi="Calibri"/>
          <w:sz w:val="22"/>
          <w:szCs w:val="22"/>
        </w:rPr>
        <w:t xml:space="preserve">Here is what I noticed. SWMM5 already has a complete, validated, two-layer soil model. It lives inside the LID module, in a file called </w:t>
      </w:r>
      <w:r>
        <w:rPr>
          <w:rFonts w:ascii="Calibri" w:cs="Calibri" w:eastAsia="Calibri" w:hAnsi="Calibri"/>
          <w:b/>
          <w:bCs/>
          <w:sz w:val="22"/>
          <w:szCs w:val="22"/>
        </w:rPr>
        <w:t xml:space="preserve">lid_proc.c</w:t>
      </w:r>
      <w:r>
        <w:rPr>
          <w:rFonts w:ascii="Calibri" w:cs="Calibri" w:eastAsia="Calibri" w:hAnsi="Calibri"/>
          <w:sz w:val="22"/>
          <w:szCs w:val="22"/>
        </w:rPr>
        <w:t xml:space="preserve">, and it has been running correctly for over a decade.</w:t>
      </w:r>
    </w:p>
    <w:p>
      <w:pPr>
        <w:spacing w:after="160" w:line="276"/>
      </w:pPr>
      <w:r>
        <w:rPr>
          <w:rFonts w:ascii="Calibri" w:cs="Calibri" w:eastAsia="Calibri" w:hAnsi="Calibri"/>
          <w:sz w:val="22"/>
          <w:szCs w:val="22"/>
        </w:rPr>
        <w:t xml:space="preserve">Every LID control in SWMM5 — a bioretention cell, a green roof, a rain garden — has a SOIL line in [LID_CONTROLS] that defines seven parameters: thickness, porosity, field capacity, wilting point, saturated conductivity, conductivity slope, and suction head. The LID module parses those parameters, converts the units, validates the ranges, and uses them to compute soil moisture, percolation, and drainage.</w:t>
      </w:r>
    </w:p>
    <w:p>
      <w:pPr>
        <w:spacing w:after="160" w:line="276"/>
      </w:pPr>
      <w:r>
        <w:rPr>
          <w:rFonts w:ascii="Calibri" w:cs="Calibri" w:eastAsia="Calibri" w:hAnsi="Calibri"/>
          <w:sz w:val="22"/>
          <w:szCs w:val="22"/>
        </w:rPr>
        <w:t xml:space="preserve">The percolation equation is simple and well-tested:</w:t>
      </w:r>
    </w:p>
    <w:p>
      <w:pPr>
        <w:spacing w:after="40" w:line="240"/>
        <w:ind w:left="720"/>
      </w:pPr>
      <w:r>
        <w:rPr>
          <w:rFonts w:ascii="Consolas" w:cs="Consolas" w:eastAsia="Consolas" w:hAnsi="Consolas"/>
          <w:sz w:val="18"/>
          <w:szCs w:val="18"/>
        </w:rPr>
        <w:t xml:space="preserve">perc = Ksat × exp(−15 × (1 − θ/n))</w:t>
      </w:r>
    </w:p>
    <w:p>
      <w:pPr>
        <w:spacing w:after="160" w:line="276"/>
      </w:pPr>
      <w:r>
        <w:rPr>
          <w:rFonts w:ascii="Calibri" w:cs="Calibri" w:eastAsia="Calibri" w:hAnsi="Calibri"/>
          <w:sz w:val="22"/>
          <w:szCs w:val="22"/>
        </w:rPr>
        <w:t xml:space="preserve">where θ is the current moisture content and n is the porosity. At full saturation the percolation rate equals Ksat. At 50% saturation it drops to about 0.055% of Ksat. The exponential kills the flow as the soil dries out, exactly as you would expect.</w:t>
      </w:r>
    </w:p>
    <w:p>
      <w:pPr>
        <w:spacing w:after="160" w:line="276"/>
      </w:pPr>
      <w:r>
        <w:rPr>
          <w:rFonts w:ascii="Calibri" w:cs="Calibri" w:eastAsia="Calibri" w:hAnsi="Calibri"/>
          <w:sz w:val="22"/>
          <w:szCs w:val="22"/>
        </w:rPr>
        <w:t xml:space="preserve">The thought was: instead of writing a new infiltration method from scratch — with fourteen new input parameters, a new INP section format, a new [OPTIONS] keyword, and hundreds of lines of new parsing code — why not reuse what is already there?</w:t>
      </w:r>
    </w:p>
    <w:p>
      <w:pPr>
        <w:pStyle w:val="Heading1"/>
        <w:spacing w:after="200" w:before="360"/>
      </w:pPr>
      <w:r>
        <w:t xml:space="preserve">The Design: Two Lines in the INP File</w:t>
      </w:r>
    </w:p>
    <w:p>
      <w:pPr>
        <w:spacing w:after="160" w:line="276"/>
      </w:pPr>
      <w:r>
        <w:rPr>
          <w:rFonts w:ascii="Calibri" w:cs="Calibri" w:eastAsia="Calibri" w:hAnsi="Calibri"/>
          <w:sz w:val="22"/>
          <w:szCs w:val="22"/>
        </w:rPr>
        <w:t xml:space="preserve">The enhancement adds exactly two things to the SWMM5 input format.</w:t>
      </w:r>
    </w:p>
    <w:p>
      <w:pPr>
        <w:spacing w:after="160" w:line="276"/>
      </w:pPr>
      <w:r>
        <w:rPr>
          <w:rFonts w:ascii="Calibri" w:cs="Calibri" w:eastAsia="Calibri" w:hAnsi="Calibri"/>
          <w:sz w:val="22"/>
          <w:szCs w:val="22"/>
        </w:rPr>
        <w:t xml:space="preserve">First, a new keyword: </w:t>
      </w:r>
      <w:r>
        <w:rPr>
          <w:rFonts w:ascii="Calibri" w:cs="Calibri" w:eastAsia="Calibri" w:hAnsi="Calibri"/>
          <w:b/>
          <w:bCs/>
          <w:sz w:val="22"/>
          <w:szCs w:val="22"/>
        </w:rPr>
        <w:t xml:space="preserve">SOIL2</w:t>
      </w:r>
      <w:r>
        <w:rPr>
          <w:rFonts w:ascii="Calibri" w:cs="Calibri" w:eastAsia="Calibri" w:hAnsi="Calibri"/>
          <w:sz w:val="22"/>
          <w:szCs w:val="22"/>
        </w:rPr>
        <w:t xml:space="preserve">. It goes in [LID_CONTROLS] right after the existing SOIL line. It takes the same seven parameters. It defines the lower soil layer.</w:t>
      </w:r>
    </w:p>
    <w:p>
      <w:pPr>
        <w:spacing w:after="160" w:line="276"/>
      </w:pPr>
      <w:r>
        <w:rPr>
          <w:rFonts w:ascii="Calibri" w:cs="Calibri" w:eastAsia="Calibri" w:hAnsi="Calibri"/>
          <w:sz w:val="22"/>
          <w:szCs w:val="22"/>
        </w:rPr>
        <w:t xml:space="preserve">Second, a new flag: </w:t>
      </w:r>
      <w:r>
        <w:rPr>
          <w:rFonts w:ascii="Calibri" w:cs="Calibri" w:eastAsia="Calibri" w:hAnsi="Calibri"/>
          <w:b/>
          <w:bCs/>
          <w:sz w:val="22"/>
          <w:szCs w:val="22"/>
        </w:rPr>
        <w:t xml:space="preserve">UseAsInfil</w:t>
      </w:r>
      <w:r>
        <w:rPr>
          <w:rFonts w:ascii="Calibri" w:cs="Calibri" w:eastAsia="Calibri" w:hAnsi="Calibri"/>
          <w:sz w:val="22"/>
          <w:szCs w:val="22"/>
        </w:rPr>
        <w:t xml:space="preserve">. It goes at the end of the [LID_USAGE] line. Set it to 1, and the subcatchment's pervious area uses the LID's SOIL and SOIL2 layers instead of its regular [INFILTRATION] method.</w:t>
      </w:r>
    </w:p>
    <w:p>
      <w:pPr>
        <w:spacing w:after="160" w:line="276"/>
      </w:pPr>
      <w:r>
        <w:rPr>
          <w:rFonts w:ascii="Calibri" w:cs="Calibri" w:eastAsia="Calibri" w:hAnsi="Calibri"/>
          <w:sz w:val="22"/>
          <w:szCs w:val="22"/>
        </w:rPr>
        <w:t xml:space="preserve">That is the entire input change. Here is what it looks like:</w:t>
      </w:r>
    </w:p>
    <w:p>
      <w:pPr>
        <w:spacing w:after="40" w:line="240"/>
        <w:ind w:left="720"/>
      </w:pPr>
      <w:r>
        <w:rPr>
          <w:rFonts w:ascii="Consolas" w:cs="Consolas" w:eastAsia="Consolas" w:hAnsi="Consolas"/>
          <w:sz w:val="18"/>
          <w:szCs w:val="18"/>
        </w:rPr>
        <w:t xml:space="preserve">[LID_CONTROLS]</w:t>
      </w:r>
    </w:p>
    <w:p>
      <w:pPr>
        <w:spacing w:after="40" w:line="240"/>
        <w:ind w:left="720"/>
      </w:pPr>
      <w:r>
        <w:rPr>
          <w:rFonts w:ascii="Consolas" w:cs="Consolas" w:eastAsia="Consolas" w:hAnsi="Consolas"/>
          <w:sz w:val="18"/>
          <w:szCs w:val="18"/>
        </w:rPr>
        <w:t xml:space="preserve">SandyLoamClay    BC</w:t>
      </w:r>
    </w:p>
    <w:p>
      <w:pPr>
        <w:spacing w:after="40" w:line="240"/>
        <w:ind w:left="720"/>
      </w:pPr>
      <w:r>
        <w:rPr>
          <w:rFonts w:ascii="Consolas" w:cs="Consolas" w:eastAsia="Consolas" w:hAnsi="Consolas"/>
          <w:sz w:val="18"/>
          <w:szCs w:val="18"/>
        </w:rPr>
        <w:t xml:space="preserve">SandyLoamClay    SURFACE  0  0  0  0  0</w:t>
      </w:r>
    </w:p>
    <w:p>
      <w:pPr>
        <w:spacing w:after="40" w:line="240"/>
        <w:ind w:left="720"/>
      </w:pPr>
      <w:r>
        <w:rPr>
          <w:rFonts w:ascii="Consolas" w:cs="Consolas" w:eastAsia="Consolas" w:hAnsi="Consolas"/>
          <w:sz w:val="18"/>
          <w:szCs w:val="18"/>
        </w:rPr>
        <w:t xml:space="preserve">SandyLoamClay    SOIL     12.0  0.453  0.190  0.085  0.43  4.33  0.30</w:t>
      </w:r>
    </w:p>
    <w:p>
      <w:pPr>
        <w:spacing w:after="40" w:line="240"/>
        <w:ind w:left="720"/>
      </w:pPr>
      <w:r>
        <w:rPr>
          <w:rFonts w:ascii="Consolas" w:cs="Consolas" w:eastAsia="Consolas" w:hAnsi="Consolas"/>
          <w:sz w:val="18"/>
          <w:szCs w:val="18"/>
        </w:rPr>
        <w:t xml:space="preserve">SandyLoamClay    SOIL2    24.0  0.464  0.310  0.187  0.04  8.22  0.15</w:t>
      </w:r>
    </w:p>
    <w:p>
      <w:pPr>
        <w:spacing w:after="40" w:line="240"/>
        <w:ind w:left="720"/>
      </w:pPr>
      <w:r>
        <w:rPr>
          <w:rFonts w:ascii="Consolas" w:cs="Consolas" w:eastAsia="Consolas" w:hAnsi="Consolas"/>
          <w:sz w:val="18"/>
          <w:szCs w:val="18"/>
        </w:rPr>
        <w:t xml:space="preserve">SandyLoamClay    STORAGE  0  0  0  0</w:t>
      </w:r>
    </w:p>
    <w:p>
      <w:pPr>
        <w:spacing w:after="40" w:line="240"/>
        <w:ind w:left="720"/>
      </w:pPr>
      <w:r>
        <w:rPr>
          <w:rFonts w:ascii="Consolas" w:cs="Consolas" w:eastAsia="Consolas" w:hAnsi="Consolas"/>
          <w:sz w:val="18"/>
          <w:szCs w:val="18"/>
        </w:rPr>
        <w:t xml:space="preserve">SandyLoamClay    DRAIN    0  0  0  0  0  0</w:t>
      </w:r>
    </w:p>
    <w:p>
      <w:pPr>
        <w:spacing w:after="40" w:line="240"/>
        <w:ind w:left="720"/>
      </w:pPr>
      <w:r>
        <w:rPr>
          <w:rFonts w:ascii="Consolas" w:cs="Consolas" w:eastAsia="Consolas" w:hAnsi="Consolas"/>
          <w:sz w:val="18"/>
          <w:szCs w:val="18"/>
        </w:rPr>
        <w:t xml:space="preserve"/>
      </w:r>
    </w:p>
    <w:p>
      <w:pPr>
        <w:spacing w:after="40" w:line="240"/>
        <w:ind w:left="720"/>
      </w:pPr>
      <w:r>
        <w:rPr>
          <w:rFonts w:ascii="Consolas" w:cs="Consolas" w:eastAsia="Consolas" w:hAnsi="Consolas"/>
          <w:sz w:val="18"/>
          <w:szCs w:val="18"/>
        </w:rPr>
        <w:t xml:space="preserve">[LID_USAGE]</w:t>
      </w:r>
    </w:p>
    <w:p>
      <w:pPr>
        <w:spacing w:after="40" w:line="240"/>
        <w:ind w:left="720"/>
      </w:pPr>
      <w:r>
        <w:rPr>
          <w:rFonts w:ascii="Consolas" w:cs="Consolas" w:eastAsia="Consolas" w:hAnsi="Consolas"/>
          <w:sz w:val="18"/>
          <w:szCs w:val="18"/>
        </w:rPr>
        <w:t xml:space="preserve">;;Subcatch  LID            Num Area Width Sat FrI ToP Rpt Drn FrP UseAsInfil</w:t>
      </w:r>
    </w:p>
    <w:p>
      <w:pPr>
        <w:spacing w:after="40" w:line="240"/>
        <w:ind w:left="720"/>
      </w:pPr>
      <w:r>
        <w:rPr>
          <w:rFonts w:ascii="Consolas" w:cs="Consolas" w:eastAsia="Consolas" w:hAnsi="Consolas"/>
          <w:sz w:val="18"/>
          <w:szCs w:val="18"/>
        </w:rPr>
        <w:t xml:space="preserve">S1          SandyLoamClay  0   0    0     0   0   0   *   *   0   1</w:t>
      </w:r>
    </w:p>
    <w:p>
      <w:pPr>
        <w:spacing w:after="40" w:line="240"/>
        <w:ind w:left="720"/>
      </w:pPr>
      <w:r>
        <w:rPr>
          <w:rFonts w:ascii="Consolas" w:cs="Consolas" w:eastAsia="Consolas" w:hAnsi="Consolas"/>
          <w:sz w:val="18"/>
          <w:szCs w:val="18"/>
        </w:rPr>
        <w:t xml:space="preserve">S2          SandyLoamClay  0   0    0     0   0   0   *   *   0   1</w:t>
      </w:r>
    </w:p>
    <w:p>
      <w:pPr>
        <w:spacing w:after="160" w:line="276"/>
      </w:pPr>
      <w:r>
        <w:rPr>
          <w:rFonts w:ascii="Calibri" w:cs="Calibri" w:eastAsia="Calibri" w:hAnsi="Calibri"/>
          <w:sz w:val="22"/>
          <w:szCs w:val="22"/>
        </w:rPr>
        <w:t xml:space="preserve">Subcatchments S1 and S2 now infiltrate through two soil layers. Subcatchment S3, with no UseAsInfil flag, keeps using its standard [INFILTRATION] method. Every existing INP file in the world continues to work identically because SOIL2 and UseAsInfil default to absent.</w:t>
      </w:r>
    </w:p>
    <w:p>
      <w:pPr>
        <w:pStyle w:val="Heading1"/>
        <w:spacing w:after="200" w:before="360"/>
      </w:pPr>
      <w:r>
        <w:t xml:space="preserve">What This Replaces</w:t>
      </w:r>
    </w:p>
    <w:p>
      <w:pPr>
        <w:spacing w:after="160" w:line="276"/>
      </w:pPr>
      <w:r>
        <w:rPr>
          <w:rFonts w:ascii="Calibri" w:cs="Calibri" w:eastAsia="Calibri" w:hAnsi="Calibri"/>
          <w:sz w:val="22"/>
          <w:szCs w:val="22"/>
        </w:rPr>
        <w:t xml:space="preserve">If you built a two-layer infiltration method the conventional way, here is what you would need: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w:tc>
          <w:tcPr>
            <w:tcW w:type="dxa" w:w="3800"/>
            <w:shd w:fill="D4E6F1" w:val="clear"/>
            <w:tcMar>
              <w:top w:type="dxa" w:w="40"/>
              <w:left w:type="dxa" w:w="80"/>
              <w:bottom w:type="dxa" w:w="40"/>
              <w:right w:type="dxa" w:w="80"/>
            </w:tcMar>
          </w:tcPr>
          <w:p>
            <w:pPr>
              <w:spacing w:after="40"/>
            </w:pPr>
            <w:r>
              <w:rPr>
                <w:rFonts w:ascii="Calibri" w:cs="Calibri" w:eastAsia="Calibri" w:hAnsi="Calibri"/>
                <w:b/>
                <w:bCs/>
                <w:sz w:val="20"/>
                <w:szCs w:val="20"/>
              </w:rPr>
              <w:t xml:space="preserve">Aspect</w:t>
            </w:r>
          </w:p>
        </w:tc>
        <w:tc>
          <w:tcPr>
            <w:tcW w:type="dxa" w:w="2800"/>
            <w:shd w:fill="D4E6F1" w:val="clear"/>
            <w:tcMar>
              <w:top w:type="dxa" w:w="40"/>
              <w:left w:type="dxa" w:w="80"/>
              <w:bottom w:type="dxa" w:w="40"/>
              <w:right w:type="dxa" w:w="80"/>
            </w:tcMar>
          </w:tcPr>
          <w:p>
            <w:pPr>
              <w:spacing w:after="40"/>
            </w:pPr>
            <w:r>
              <w:rPr>
                <w:rFonts w:ascii="Calibri" w:cs="Calibri" w:eastAsia="Calibri" w:hAnsi="Calibri"/>
                <w:b/>
                <w:bCs/>
                <w:sz w:val="20"/>
                <w:szCs w:val="20"/>
              </w:rPr>
              <w:t xml:space="preserve">Traditional</w:t>
            </w:r>
          </w:p>
        </w:tc>
        <w:tc>
          <w:tcPr>
            <w:tcW w:type="dxa" w:w="2800"/>
            <w:shd w:fill="D4E6F1" w:val="clear"/>
            <w:tcMar>
              <w:top w:type="dxa" w:w="40"/>
              <w:left w:type="dxa" w:w="80"/>
              <w:bottom w:type="dxa" w:w="40"/>
              <w:right w:type="dxa" w:w="80"/>
            </w:tcMar>
          </w:tcPr>
          <w:p>
            <w:pPr>
              <w:spacing w:after="40"/>
            </w:pPr>
            <w:r>
              <w:rPr>
                <w:rFonts w:ascii="Calibri" w:cs="Calibri" w:eastAsia="Calibri" w:hAnsi="Calibri"/>
                <w:b/>
                <w:bCs/>
                <w:sz w:val="20"/>
                <w:szCs w:val="20"/>
              </w:rPr>
              <w:t xml:space="preserve">This Approach</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New INP parameters per subcatchment</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14</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New INP section format</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Yes</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No</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New [OPTIONS] keyword</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Yes</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No</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Reuses existing parser</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No</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Yes</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Backward compatible</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Breaks old files</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100%</w:t>
            </w:r>
          </w:p>
        </w:tc>
      </w:tr>
      <w:tr>
        <w:tc>
          <w:tcPr>
            <w:tcW w:type="dxa" w:w="3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Per-subcatchment control</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All or nothing</w:t>
            </w:r>
          </w:p>
        </w:tc>
        <w:tc>
          <w:tcPr>
            <w:tcW w:type="dxa" w:w="2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Per-subcatchment</w:t>
            </w:r>
          </w:p>
        </w:tc>
      </w:tr>
    </w:tbl>
    <w:p>
      <w:pPr>
        <w:spacing w:after="160" w:line="276"/>
      </w:pPr>
      <w:r>
        <w:rPr>
          <w:rFonts w:ascii="Calibri" w:cs="Calibri" w:eastAsia="Calibri" w:hAnsi="Calibri"/>
          <w:sz w:val="22"/>
          <w:szCs w:val="22"/>
        </w:rPr>
        <w:t xml:space="preserve"/>
      </w:r>
    </w:p>
    <w:p>
      <w:pPr>
        <w:pStyle w:val="Heading1"/>
        <w:spacing w:after="200" w:before="360"/>
      </w:pPr>
      <w:r>
        <w:t xml:space="preserve">The Physics: How the Two Layers Work</w:t>
      </w:r>
    </w:p>
    <w:p>
      <w:pPr>
        <w:spacing w:after="160" w:line="276"/>
      </w:pPr>
      <w:r>
        <w:rPr>
          <w:rFonts w:ascii="Calibri" w:cs="Calibri" w:eastAsia="Calibri" w:hAnsi="Calibri"/>
          <w:sz w:val="22"/>
          <w:szCs w:val="22"/>
        </w:rPr>
        <w:t xml:space="preserve">The computation runs in four steps each time step.</w:t>
      </w:r>
    </w:p>
    <w:p>
      <w:pPr>
        <w:pStyle w:val="Heading2"/>
        <w:spacing w:after="160" w:before="280"/>
      </w:pPr>
      <w:r>
        <w:t xml:space="preserve">Step 1: Green-Ampt Infiltration from Surface to Upper Layer</w:t>
      </w:r>
    </w:p>
    <w:p>
      <w:pPr>
        <w:spacing w:after="160" w:line="276"/>
      </w:pPr>
      <w:r>
        <w:rPr>
          <w:rFonts w:ascii="Calibri" w:cs="Calibri" w:eastAsia="Calibri" w:hAnsi="Calibri"/>
          <w:sz w:val="22"/>
          <w:szCs w:val="22"/>
        </w:rPr>
        <w:t xml:space="preserve">This is the standard Green-Ampt equation. Water on the surface — from rainfall, snowmelt, and runon — infiltrates into the upper layer. The rate depends on the upper layer's saturated conductivity, its suction head, and its current moisture deficit. This part is identical to SWMM5's existing Green-Ampt method.</w:t>
      </w:r>
    </w:p>
    <w:p>
      <w:pPr>
        <w:pStyle w:val="Heading2"/>
        <w:spacing w:after="160" w:before="280"/>
      </w:pPr>
      <w:r>
        <w:t xml:space="preserve">Step 2: Percolation from Upper Layer to Lower Layer</w:t>
      </w:r>
    </w:p>
    <w:p>
      <w:pPr>
        <w:spacing w:after="160" w:line="276"/>
      </w:pPr>
      <w:r>
        <w:rPr>
          <w:rFonts w:ascii="Calibri" w:cs="Calibri" w:eastAsia="Calibri" w:hAnsi="Calibri"/>
          <w:sz w:val="22"/>
          <w:szCs w:val="22"/>
        </w:rPr>
        <w:t xml:space="preserve">This is the LID equation. The upper layer drains into the lower layer at a rate governed by:</w:t>
      </w:r>
    </w:p>
    <w:p>
      <w:pPr>
        <w:spacing w:after="40" w:line="240"/>
        <w:ind w:left="720"/>
      </w:pPr>
      <w:r>
        <w:rPr>
          <w:rFonts w:ascii="Consolas" w:cs="Consolas" w:eastAsia="Consolas" w:hAnsi="Consolas"/>
          <w:sz w:val="18"/>
          <w:szCs w:val="18"/>
        </w:rPr>
        <w:t xml:space="preserve">perc_upper = Ksat_upper × exp(−15 × (1 − θ_upper / porosity_upper))</w:t>
      </w:r>
    </w:p>
    <w:p>
      <w:pPr>
        <w:spacing w:after="160" w:line="276"/>
      </w:pPr>
      <w:r>
        <w:rPr>
          <w:rFonts w:ascii="Calibri" w:cs="Calibri" w:eastAsia="Calibri" w:hAnsi="Calibri"/>
          <w:sz w:val="22"/>
          <w:szCs w:val="22"/>
        </w:rPr>
        <w:t xml:space="preserve">The rate is limited by two things: the available moisture above the wilting point in the upper layer, and the remaining capacity in the lower layer. If the lower layer is nearly full, the upper layer backs up.</w:t>
      </w:r>
    </w:p>
    <w:p>
      <w:pPr>
        <w:pStyle w:val="Heading2"/>
        <w:spacing w:after="160" w:before="280"/>
      </w:pPr>
      <w:r>
        <w:t xml:space="preserve">Step 3: Deep Percolation from Lower Layer</w:t>
      </w:r>
    </w:p>
    <w:p>
      <w:pPr>
        <w:spacing w:after="160" w:line="276"/>
      </w:pPr>
      <w:r>
        <w:rPr>
          <w:rFonts w:ascii="Calibri" w:cs="Calibri" w:eastAsia="Calibri" w:hAnsi="Calibri"/>
          <w:sz w:val="22"/>
          <w:szCs w:val="22"/>
        </w:rPr>
        <w:t xml:space="preserve">The same equation again, with the lower layer's properties:</w:t>
      </w:r>
    </w:p>
    <w:p>
      <w:pPr>
        <w:spacing w:after="40" w:line="240"/>
        <w:ind w:left="720"/>
      </w:pPr>
      <w:r>
        <w:rPr>
          <w:rFonts w:ascii="Consolas" w:cs="Consolas" w:eastAsia="Consolas" w:hAnsi="Consolas"/>
          <w:sz w:val="18"/>
          <w:szCs w:val="18"/>
        </w:rPr>
        <w:t xml:space="preserve">perc_lower = Ksat_lower × exp(−15 × (1 − θ_lower / porosity_lower))</w:t>
      </w:r>
    </w:p>
    <w:p>
      <w:pPr>
        <w:spacing w:after="160" w:line="276"/>
      </w:pPr>
      <w:r>
        <w:rPr>
          <w:rFonts w:ascii="Calibri" w:cs="Calibri" w:eastAsia="Calibri" w:hAnsi="Calibri"/>
          <w:sz w:val="22"/>
          <w:szCs w:val="22"/>
        </w:rPr>
        <w:t xml:space="preserve">This is the water leaving the soil column entirely, headed for the groundwater aquifer. If the lower layer is clay with a Ksat of 0.04 in/hr, this flux is small. That is the bottleneck that makes the whole system work.</w:t>
      </w:r>
    </w:p>
    <w:p>
      <w:pPr>
        <w:pStyle w:val="Heading2"/>
        <w:spacing w:after="160" w:before="280"/>
      </w:pPr>
      <w:r>
        <w:t xml:space="preserve">Step 4: Update Both Moisture Contents</w:t>
      </w:r>
    </w:p>
    <w:p>
      <w:pPr>
        <w:spacing w:after="160" w:line="276"/>
      </w:pPr>
      <w:r>
        <w:rPr>
          <w:rFonts w:ascii="Calibri" w:cs="Calibri" w:eastAsia="Calibri" w:hAnsi="Calibri"/>
          <w:sz w:val="22"/>
          <w:szCs w:val="22"/>
        </w:rPr>
        <w:t xml:space="preserve">The upper layer gains moisture from infiltration and loses it to percolation downward. The lower layer gains from percolation above and loses to deep percolation. Both are clamped between the wilting point and porosity.</w:t>
      </w:r>
    </w:p>
    <w:p>
      <w:pPr>
        <w:pStyle w:val="Heading1"/>
        <w:spacing w:after="200" w:before="360"/>
      </w:pPr>
      <w:r>
        <w:t xml:space="preserve">Typical Soil Parameters</w:t>
      </w:r>
    </w:p>
    <w:p>
      <w:pPr>
        <w:spacing w:after="160" w:line="276"/>
      </w:pPr>
      <w:r>
        <w:rPr>
          <w:rFonts w:ascii="Calibri" w:cs="Calibri" w:eastAsia="Calibri" w:hAnsi="Calibri"/>
          <w:sz w:val="22"/>
          <w:szCs w:val="22"/>
        </w:rPr>
        <w:t xml:space="preserve">USDA texture classes, in US customary units. Use these for both SOIL and SOIL2 lines: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600"/>
        <w:gridCol w:w="1600"/>
      </w:tblGrid>
      <w:tr>
        <w:tc>
          <w:tcPr>
            <w:tcW w:type="dxa" w:w="18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Soil Type</w:t>
            </w:r>
          </w:p>
        </w:tc>
        <w:tc>
          <w:tcPr>
            <w:tcW w:type="dxa" w:w="12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Porosity</w:t>
            </w:r>
          </w:p>
        </w:tc>
        <w:tc>
          <w:tcPr>
            <w:tcW w:type="dxa" w:w="12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Field Cap</w:t>
            </w:r>
          </w:p>
        </w:tc>
        <w:tc>
          <w:tcPr>
            <w:tcW w:type="dxa" w:w="12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Wilt Pt</w:t>
            </w:r>
          </w:p>
        </w:tc>
        <w:tc>
          <w:tcPr>
            <w:tcW w:type="dxa" w:w="16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Ksat (in/hr)</w:t>
            </w:r>
          </w:p>
        </w:tc>
        <w:tc>
          <w:tcPr>
            <w:tcW w:type="dxa" w:w="1600"/>
            <w:shd w:fill="D5F5E3" w:val="clear"/>
            <w:tcMar>
              <w:top w:type="dxa" w:w="40"/>
              <w:left w:type="dxa" w:w="80"/>
              <w:bottom w:type="dxa" w:w="40"/>
              <w:right w:type="dxa" w:w="80"/>
            </w:tcMar>
          </w:tcPr>
          <w:p>
            <w:pPr>
              <w:spacing w:after="40"/>
            </w:pPr>
            <w:r>
              <w:rPr>
                <w:rFonts w:ascii="Calibri" w:cs="Calibri" w:eastAsia="Calibri" w:hAnsi="Calibri"/>
                <w:b/>
                <w:bCs/>
                <w:sz w:val="20"/>
                <w:szCs w:val="20"/>
              </w:rPr>
              <w:t xml:space="preserve">Suction (in)</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Sand</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0.437</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0.062</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0.024</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4.74</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1.93</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Sandy Loam</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0.453</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0.190</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0.085</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0.43</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4.33</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Loam</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0.463</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0.232</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0.116</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0.13</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3.50</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Silt Loam</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0.501</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0.284</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0.135</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0.26</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6.69</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Clay Loam</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0.464</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0.310</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0.187</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0.04</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8.22</w:t>
            </w:r>
          </w:p>
        </w:tc>
      </w:tr>
      <w:tr>
        <w:tc>
          <w:tcPr>
            <w:tcW w:type="dxa" w:w="1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Clay</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0.475</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0.378</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0.265</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0.01</w:t>
            </w:r>
          </w:p>
        </w:tc>
        <w:tc>
          <w:tcPr>
            <w:tcW w:type="dxa" w:w="16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12.45</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 common field configuration: sandy loam over clay loam. The upper Ksat is ten times the lower Ksat. Rain infiltrates readily into the topsoil, then stacks up above the clay interface.</w:t>
      </w:r>
    </w:p>
    <w:p>
      <w:pPr>
        <w:pStyle w:val="Heading1"/>
        <w:spacing w:after="200" w:before="360"/>
      </w:pPr>
      <w:r>
        <w:t xml:space="preserve">The Percolation Curve</w:t>
      </w:r>
    </w:p>
    <w:p>
      <w:pPr>
        <w:spacing w:after="160" w:line="276"/>
      </w:pPr>
      <w:r>
        <w:rPr>
          <w:rFonts w:ascii="Calibri" w:cs="Calibri" w:eastAsia="Calibri" w:hAnsi="Calibri"/>
          <w:sz w:val="22"/>
          <w:szCs w:val="22"/>
        </w:rPr>
        <w:t xml:space="preserve">The exponential equation produces a steep nonlinear curve. Here is what it looks like in numbers:</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tblGrid>
      <w:tr>
        <w:tc>
          <w:tcPr>
            <w:tcW w:type="dxa" w:w="2000"/>
            <w:shd w:fill="FADBD8" w:val="clear"/>
            <w:tcMar>
              <w:top w:type="dxa" w:w="40"/>
              <w:left w:type="dxa" w:w="80"/>
              <w:bottom w:type="dxa" w:w="40"/>
              <w:right w:type="dxa" w:w="80"/>
            </w:tcMar>
          </w:tcPr>
          <w:p>
            <w:pPr>
              <w:spacing w:after="40"/>
            </w:pPr>
            <w:r>
              <w:rPr>
                <w:rFonts w:ascii="Calibri" w:cs="Calibri" w:eastAsia="Calibri" w:hAnsi="Calibri"/>
                <w:b/>
                <w:bCs/>
                <w:sz w:val="20"/>
                <w:szCs w:val="20"/>
              </w:rPr>
              <w:t xml:space="preserve">Saturation</w:t>
            </w:r>
          </w:p>
        </w:tc>
        <w:tc>
          <w:tcPr>
            <w:tcW w:type="dxa" w:w="1500"/>
            <w:shd w:fill="FADBD8" w:val="clear"/>
            <w:tcMar>
              <w:top w:type="dxa" w:w="40"/>
              <w:left w:type="dxa" w:w="80"/>
              <w:bottom w:type="dxa" w:w="40"/>
              <w:right w:type="dxa" w:w="80"/>
            </w:tcMar>
          </w:tcPr>
          <w:p>
            <w:pPr>
              <w:spacing w:after="40"/>
            </w:pPr>
            <w:r>
              <w:rPr>
                <w:rFonts w:ascii="Calibri" w:cs="Calibri" w:eastAsia="Calibri" w:hAnsi="Calibri"/>
                <w:b/>
                <w:bCs/>
                <w:sz w:val="20"/>
                <w:szCs w:val="20"/>
              </w:rPr>
              <w:t xml:space="preserve">θ/n</w:t>
            </w:r>
          </w:p>
        </w:tc>
        <w:tc>
          <w:tcPr>
            <w:tcW w:type="dxa" w:w="2000"/>
            <w:shd w:fill="FADBD8" w:val="clear"/>
            <w:tcMar>
              <w:top w:type="dxa" w:w="40"/>
              <w:left w:type="dxa" w:w="80"/>
              <w:bottom w:type="dxa" w:w="40"/>
              <w:right w:type="dxa" w:w="80"/>
            </w:tcMar>
          </w:tcPr>
          <w:p>
            <w:pPr>
              <w:spacing w:after="40"/>
            </w:pPr>
            <w:r>
              <w:rPr>
                <w:rFonts w:ascii="Calibri" w:cs="Calibri" w:eastAsia="Calibri" w:hAnsi="Calibri"/>
                <w:b/>
                <w:bCs/>
                <w:sz w:val="20"/>
                <w:szCs w:val="20"/>
              </w:rPr>
              <w:t xml:space="preserve">% of Ksat</w:t>
            </w:r>
          </w:p>
        </w:tc>
      </w:tr>
      <w:tr>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100%</w:t>
            </w:r>
          </w:p>
        </w:tc>
        <w:tc>
          <w:tcPr>
            <w:tcW w:type="dxa" w:w="15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1.0</w:t>
            </w:r>
          </w:p>
        </w:tc>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100%</w:t>
            </w:r>
          </w:p>
        </w:tc>
      </w:tr>
      <w:tr>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90%</w:t>
            </w:r>
          </w:p>
        </w:tc>
        <w:tc>
          <w:tcPr>
            <w:tcW w:type="dxa" w:w="15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0.9</w:t>
            </w:r>
          </w:p>
        </w:tc>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22.3%</w:t>
            </w:r>
          </w:p>
        </w:tc>
      </w:tr>
      <w:tr>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80%</w:t>
            </w:r>
          </w:p>
        </w:tc>
        <w:tc>
          <w:tcPr>
            <w:tcW w:type="dxa" w:w="15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0.8</w:t>
            </w:r>
          </w:p>
        </w:tc>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5.0%</w:t>
            </w:r>
          </w:p>
        </w:tc>
      </w:tr>
      <w:tr>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70%</w:t>
            </w:r>
          </w:p>
        </w:tc>
        <w:tc>
          <w:tcPr>
            <w:tcW w:type="dxa" w:w="15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0.7</w:t>
            </w:r>
          </w:p>
        </w:tc>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1.1%</w:t>
            </w:r>
          </w:p>
        </w:tc>
      </w:tr>
      <w:tr>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50%</w:t>
            </w:r>
          </w:p>
        </w:tc>
        <w:tc>
          <w:tcPr>
            <w:tcW w:type="dxa" w:w="15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0.5</w:t>
            </w:r>
          </w:p>
        </w:tc>
        <w:tc>
          <w:tcPr>
            <w:tcW w:type="dxa" w:w="20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0.055%</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 sharpness of that curve is the point. At 80% saturation, percolation is already down to 5% of Ksat. The soil holds onto its moisture. Only near full saturation does the flow approach the conductivity limit. This is what makes the bottleneck work: the lower layer does not have to be completely impervious to slow things down. It just has to be drier than 90%.</w:t>
      </w:r>
    </w:p>
    <w:p>
      <w:pPr>
        <w:pStyle w:val="Heading1"/>
        <w:spacing w:after="200" w:before="360"/>
      </w:pPr>
      <w:r>
        <w:t xml:space="preserve">Integration: 51 Lines in Existing Code</w:t>
      </w:r>
    </w:p>
    <w:p>
      <w:pPr>
        <w:spacing w:after="160" w:line="276"/>
      </w:pPr>
      <w:r>
        <w:rPr>
          <w:rFonts w:ascii="Calibri" w:cs="Calibri" w:eastAsia="Calibri" w:hAnsi="Calibri"/>
          <w:sz w:val="22"/>
          <w:szCs w:val="22"/>
        </w:rPr>
        <w:t xml:space="preserve">The two new files — </w:t>
      </w:r>
      <w:r>
        <w:rPr>
          <w:rFonts w:ascii="Calibri" w:cs="Calibri" w:eastAsia="Calibri" w:hAnsi="Calibri"/>
          <w:b/>
          <w:bCs/>
          <w:sz w:val="22"/>
          <w:szCs w:val="22"/>
        </w:rPr>
        <w:t xml:space="preserve">lid_twolayer.c</w:t>
      </w:r>
      <w:r>
        <w:rPr>
          <w:rFonts w:ascii="Calibri" w:cs="Calibri" w:eastAsia="Calibri" w:hAnsi="Calibri"/>
          <w:sz w:val="22"/>
          <w:szCs w:val="22"/>
        </w:rPr>
        <w:t xml:space="preserve"> (465 lines) and </w:t>
      </w:r>
      <w:r>
        <w:rPr>
          <w:rFonts w:ascii="Calibri" w:cs="Calibri" w:eastAsia="Calibri" w:hAnsi="Calibri"/>
          <w:b/>
          <w:bCs/>
          <w:sz w:val="22"/>
          <w:szCs w:val="22"/>
        </w:rPr>
        <w:t xml:space="preserve">lid_twolayer.h</w:t>
      </w:r>
      <w:r>
        <w:rPr>
          <w:rFonts w:ascii="Calibri" w:cs="Calibri" w:eastAsia="Calibri" w:hAnsi="Calibri"/>
          <w:sz w:val="22"/>
          <w:szCs w:val="22"/>
        </w:rPr>
        <w:t xml:space="preserve"> (98 lines) — drop into the EPA SWMM5 source tree at </w:t>
      </w:r>
      <w:r>
        <w:rPr>
          <w:rFonts w:ascii="Calibri" w:cs="Calibri" w:eastAsia="Calibri" w:hAnsi="Calibri"/>
          <w:b/>
          <w:bCs/>
          <w:sz w:val="22"/>
          <w:szCs w:val="22"/>
        </w:rPr>
        <w:t xml:space="preserve">src/solver/</w:t>
      </w:r>
      <w:r>
        <w:rPr>
          <w:rFonts w:ascii="Calibri" w:cs="Calibri" w:eastAsia="Calibri" w:hAnsi="Calibri"/>
          <w:sz w:val="22"/>
          <w:szCs w:val="22"/>
        </w:rPr>
        <w:t xml:space="preserve">. The CMake build system uses a file glob, so no build file changes are needed.</w:t>
      </w:r>
    </w:p>
    <w:p>
      <w:pPr>
        <w:spacing w:after="160" w:line="276"/>
      </w:pPr>
      <w:r>
        <w:rPr>
          <w:rFonts w:ascii="Calibri" w:cs="Calibri" w:eastAsia="Calibri" w:hAnsi="Calibri"/>
          <w:sz w:val="22"/>
          <w:szCs w:val="22"/>
        </w:rPr>
        <w:t xml:space="preserve">The touches to existing EPA code are: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200"/>
      </w:tblGrid>
      <w:tr>
        <w:tc>
          <w:tcPr>
            <w:tcW w:type="dxa" w:w="2400"/>
            <w:shd w:fill="D6EAF8" w:val="clear"/>
            <w:tcMar>
              <w:top w:type="dxa" w:w="40"/>
              <w:left w:type="dxa" w:w="80"/>
              <w:bottom w:type="dxa" w:w="40"/>
              <w:right w:type="dxa" w:w="80"/>
            </w:tcMar>
          </w:tcPr>
          <w:p>
            <w:pPr>
              <w:spacing w:after="40"/>
            </w:pPr>
            <w:r>
              <w:rPr>
                <w:rFonts w:ascii="Calibri" w:cs="Calibri" w:eastAsia="Calibri" w:hAnsi="Calibri"/>
                <w:b/>
                <w:bCs/>
                <w:sz w:val="20"/>
                <w:szCs w:val="20"/>
              </w:rPr>
              <w:t xml:space="preserve">File</w:t>
            </w:r>
          </w:p>
        </w:tc>
        <w:tc>
          <w:tcPr>
            <w:tcW w:type="dxa" w:w="4800"/>
            <w:shd w:fill="D6EAF8" w:val="clear"/>
            <w:tcMar>
              <w:top w:type="dxa" w:w="40"/>
              <w:left w:type="dxa" w:w="80"/>
              <w:bottom w:type="dxa" w:w="40"/>
              <w:right w:type="dxa" w:w="80"/>
            </w:tcMar>
          </w:tcPr>
          <w:p>
            <w:pPr>
              <w:spacing w:after="40"/>
            </w:pPr>
            <w:r>
              <w:rPr>
                <w:rFonts w:ascii="Calibri" w:cs="Calibri" w:eastAsia="Calibri" w:hAnsi="Calibri"/>
                <w:b/>
                <w:bCs/>
                <w:sz w:val="20"/>
                <w:szCs w:val="20"/>
              </w:rPr>
              <w:t xml:space="preserve">Change</w:t>
            </w:r>
          </w:p>
        </w:tc>
        <w:tc>
          <w:tcPr>
            <w:tcW w:type="dxa" w:w="1200"/>
            <w:shd w:fill="D6EAF8" w:val="clear"/>
            <w:tcMar>
              <w:top w:type="dxa" w:w="40"/>
              <w:left w:type="dxa" w:w="80"/>
              <w:bottom w:type="dxa" w:w="40"/>
              <w:right w:type="dxa" w:w="80"/>
            </w:tcMar>
          </w:tcPr>
          <w:p>
            <w:pPr>
              <w:spacing w:after="40"/>
            </w:pPr>
            <w:r>
              <w:rPr>
                <w:rFonts w:ascii="Calibri" w:cs="Calibri" w:eastAsia="Calibri" w:hAnsi="Calibri"/>
                <w:b/>
                <w:bCs/>
                <w:sz w:val="20"/>
                <w:szCs w:val="20"/>
              </w:rPr>
              <w:t xml:space="preserve">Lines</w:t>
            </w:r>
          </w:p>
        </w:tc>
      </w:tr>
      <w:tr>
        <w:tc>
          <w:tcPr>
            <w:tcW w:type="dxa" w:w="24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lid.h</w:t>
            </w:r>
          </w:p>
        </w:tc>
        <w:tc>
          <w:tcPr>
            <w:tcW w:type="dxa" w:w="4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Add soil2 + hasSoil2 to TLidProc</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+2</w:t>
            </w:r>
          </w:p>
        </w:tc>
      </w:tr>
      <w:tr>
        <w:tc>
          <w:tcPr>
            <w:tcW w:type="dxa" w:w="24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lid.c</w:t>
            </w:r>
          </w:p>
        </w:tc>
        <w:tc>
          <w:tcPr>
            <w:tcW w:type="dxa" w:w="4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SOIL2 enum, keyword, parser, UseAsInfil reader</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~40</w:t>
            </w:r>
          </w:p>
        </w:tc>
      </w:tr>
      <w:tr>
        <w:tc>
          <w:tcPr>
            <w:tcW w:type="dxa" w:w="24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subcatch.c</w:t>
            </w:r>
          </w:p>
        </w:tc>
        <w:tc>
          <w:tcPr>
            <w:tcW w:type="dxa" w:w="4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if/else around infil_getInfil call</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+5</w:t>
            </w:r>
          </w:p>
        </w:tc>
      </w:tr>
      <w:tr>
        <w:tc>
          <w:tcPr>
            <w:tcW w:type="dxa" w:w="24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project.c</w:t>
            </w:r>
          </w:p>
        </w:tc>
        <w:tc>
          <w:tcPr>
            <w:tcW w:type="dxa" w:w="4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Init and cleanup calls</w:t>
            </w:r>
          </w:p>
        </w:tc>
        <w:tc>
          <w:tcPr>
            <w:tcW w:type="dxa" w:w="12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+4</w:t>
            </w:r>
          </w:p>
        </w:tc>
      </w:tr>
      <w:tr>
        <w:tc>
          <w:tcPr>
            <w:tcW w:type="dxa" w:w="2400"/>
            <w:tcMar>
              <w:top w:type="dxa" w:w="40"/>
              <w:left w:type="dxa" w:w="80"/>
              <w:bottom w:type="dxa" w:w="40"/>
              <w:right w:type="dxa" w:w="80"/>
            </w:tcMar>
          </w:tcPr>
          <w:p>
            <w:pPr>
              <w:spacing w:after="40"/>
            </w:pPr>
            <w:r>
              <w:rPr>
                <w:rFonts w:ascii="Calibri" w:cs="Calibri" w:eastAsia="Calibri" w:hAnsi="Calibri"/>
                <w:b/>
                <w:bCs/>
                <w:sz w:val="20"/>
                <w:szCs w:val="20"/>
              </w:rPr>
              <w:t xml:space="preserve">Total</w:t>
            </w:r>
          </w:p>
        </w:tc>
        <w:tc>
          <w:tcPr>
            <w:tcW w:type="dxa" w:w="4800"/>
            <w:tcMar>
              <w:top w:type="dxa" w:w="40"/>
              <w:left w:type="dxa" w:w="80"/>
              <w:bottom w:type="dxa" w:w="40"/>
              <w:right w:type="dxa" w:w="80"/>
            </w:tcMar>
          </w:tcPr>
          <w:p>
            <w:pPr>
              <w:spacing w:after="40"/>
            </w:pPr>
            <w:r>
              <w:rPr>
                <w:rFonts w:ascii="Calibri" w:cs="Calibri" w:eastAsia="Calibri" w:hAnsi="Calibri"/>
                <w:b w:val="false"/>
                <w:bCs w:val="false"/>
                <w:sz w:val="20"/>
                <w:szCs w:val="20"/>
              </w:rPr>
              <w:t xml:space="preserve"/>
            </w:r>
          </w:p>
        </w:tc>
        <w:tc>
          <w:tcPr>
            <w:tcW w:type="dxa" w:w="1200"/>
            <w:tcMar>
              <w:top w:type="dxa" w:w="40"/>
              <w:left w:type="dxa" w:w="80"/>
              <w:bottom w:type="dxa" w:w="40"/>
              <w:right w:type="dxa" w:w="80"/>
            </w:tcMar>
          </w:tcPr>
          <w:p>
            <w:pPr>
              <w:spacing w:after="40"/>
            </w:pPr>
            <w:r>
              <w:rPr>
                <w:rFonts w:ascii="Calibri" w:cs="Calibri" w:eastAsia="Calibri" w:hAnsi="Calibri"/>
                <w:b/>
                <w:bCs/>
                <w:sz w:val="20"/>
                <w:szCs w:val="20"/>
              </w:rPr>
              <w:t xml:space="preserve">~51</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 key dispatch is in </w:t>
      </w:r>
      <w:r>
        <w:rPr>
          <w:rFonts w:ascii="Calibri" w:cs="Calibri" w:eastAsia="Calibri" w:hAnsi="Calibri"/>
          <w:b/>
          <w:bCs/>
          <w:sz w:val="22"/>
          <w:szCs w:val="22"/>
        </w:rPr>
        <w:t xml:space="preserve">subcatch.c</w:t>
      </w:r>
      <w:r>
        <w:rPr>
          <w:rFonts w:ascii="Calibri" w:cs="Calibri" w:eastAsia="Calibri" w:hAnsi="Calibri"/>
          <w:sz w:val="22"/>
          <w:szCs w:val="22"/>
        </w:rPr>
        <w:t xml:space="preserve">, function </w:t>
      </w:r>
      <w:r>
        <w:rPr>
          <w:rFonts w:ascii="Calibri" w:cs="Calibri" w:eastAsia="Calibri" w:hAnsi="Calibri"/>
          <w:b/>
          <w:bCs/>
          <w:sz w:val="22"/>
          <w:szCs w:val="22"/>
        </w:rPr>
        <w:t xml:space="preserve">getSubareaInfil</w:t>
      </w:r>
      <w:r>
        <w:rPr>
          <w:rFonts w:ascii="Calibri" w:cs="Calibri" w:eastAsia="Calibri" w:hAnsi="Calibri"/>
          <w:sz w:val="22"/>
          <w:szCs w:val="22"/>
        </w:rPr>
        <w:t xml:space="preserve">, around line 998. The existing code calls infil_getInfil(). The modified code checks lidTwoLayer_isActive(j) first and calls lidTwoLayer_getInfil() if the flag is set. Otherwise the standard path runs unchanged.</w:t>
      </w:r>
    </w:p>
    <w:p>
      <w:pPr>
        <w:pStyle w:val="Heading1"/>
        <w:spacing w:after="200" w:before="360"/>
      </w:pPr>
      <w:r>
        <w:t xml:space="preserve">What This Does Not Show</w:t>
      </w:r>
    </w:p>
    <w:p>
      <w:pPr>
        <w:spacing w:after="160" w:line="276"/>
      </w:pPr>
      <w:r>
        <w:rPr>
          <w:rFonts w:ascii="Calibri" w:cs="Calibri" w:eastAsia="Calibri" w:hAnsi="Calibri"/>
          <w:sz w:val="22"/>
          <w:szCs w:val="22"/>
        </w:rPr>
        <w:t xml:space="preserve">This enhancement does not model lateral flow between layers. Water moves only vertically — down through the upper layer, down through the lower layer, down to deep groundwater. Hillslope interflow and saturated subsurface routing are outside the scope.</w:t>
      </w:r>
    </w:p>
    <w:p>
      <w:pPr>
        <w:spacing w:after="160" w:line="276"/>
      </w:pPr>
      <w:r>
        <w:rPr>
          <w:rFonts w:ascii="Calibri" w:cs="Calibri" w:eastAsia="Calibri" w:hAnsi="Calibri"/>
          <w:sz w:val="22"/>
          <w:szCs w:val="22"/>
        </w:rPr>
        <w:t xml:space="preserve">Evapotranspiration from the lower layer is not yet implemented. In the current code, ET is extracted only from the upper layer. A future version could split ET demand across both layers proportional to root depth.</w:t>
      </w:r>
    </w:p>
    <w:p>
      <w:pPr>
        <w:spacing w:after="160" w:line="276"/>
      </w:pPr>
      <w:r>
        <w:rPr>
          <w:rFonts w:ascii="Calibri" w:cs="Calibri" w:eastAsia="Calibri" w:hAnsi="Calibri"/>
          <w:sz w:val="22"/>
          <w:szCs w:val="22"/>
        </w:rPr>
        <w:t xml:space="preserve">The two-layer model does not interact with SWMM5's groundwater aquifer module beyond supplying a deep percolation rate. Coupling to the aquifer's water table would require changes to </w:t>
      </w:r>
      <w:r>
        <w:rPr>
          <w:rFonts w:ascii="Calibri" w:cs="Calibri" w:eastAsia="Calibri" w:hAnsi="Calibri"/>
          <w:b/>
          <w:bCs/>
          <w:sz w:val="22"/>
          <w:szCs w:val="22"/>
        </w:rPr>
        <w:t xml:space="preserve">gwater.c</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The Green-Ampt infiltration at the surface uses the upper layer's properties. If you want Horton or Curve Number at the surface with a two-layer subsurface, that is a different enhancement — this one is Green-Ampt only.</w:t>
      </w:r>
    </w:p>
    <w:p>
      <w:pPr>
        <w:spacing w:after="160" w:line="276"/>
      </w:pPr>
      <w:r>
        <w:rPr>
          <w:rFonts w:ascii="Calibri" w:cs="Calibri" w:eastAsia="Calibri" w:hAnsi="Calibri"/>
          <w:sz w:val="22"/>
          <w:szCs w:val="22"/>
        </w:rPr>
        <w:t xml:space="preserve">The engine code has not been compiled and run against a real model at this writing. The C code compiles, the integration guide is tested against EPA SWMM 5.2.4 source line numbers, but the mass-balance verification is still ahead.</w:t>
      </w:r>
    </w:p>
    <w:p>
      <w:pPr>
        <w:pStyle w:val="Heading1"/>
        <w:spacing w:after="200" w:before="360"/>
      </w:pPr>
      <w:r>
        <w:t xml:space="preserve">Relationship to swmm524-perched</w:t>
      </w:r>
    </w:p>
    <w:p>
      <w:pPr>
        <w:spacing w:after="160" w:line="276"/>
      </w:pPr>
      <w:r>
        <w:rPr>
          <w:rFonts w:ascii="Calibri" w:cs="Calibri" w:eastAsia="Calibri" w:hAnsi="Calibri"/>
          <w:sz w:val="22"/>
          <w:szCs w:val="22"/>
        </w:rPr>
        <w:t xml:space="preserve">In October 2026, Stu Schwartz at UMBC asked a question about modeling topsoil recovery after construction — four inches of loosened sandy loam over compacted clay. That question led to the </w:t>
      </w:r>
      <w:r>
        <w:rPr>
          <w:rFonts w:ascii="Calibri" w:cs="Calibri" w:eastAsia="Calibri" w:hAnsi="Calibri"/>
          <w:b/>
          <w:bCs/>
          <w:sz w:val="22"/>
          <w:szCs w:val="22"/>
        </w:rPr>
        <w:t xml:space="preserve">swmm524-perched</w:t>
      </w:r>
      <w:r>
        <w:rPr>
          <w:rFonts w:ascii="Calibri" w:cs="Calibri" w:eastAsia="Calibri" w:hAnsi="Calibri"/>
          <w:sz w:val="22"/>
          <w:szCs w:val="22"/>
        </w:rPr>
        <w:t xml:space="preserve"> engine, which implements a perched water table variant of this same two-layer idea, with an optional structural-porosity decay parameter.</w:t>
      </w:r>
    </w:p>
    <w:p>
      <w:pPr>
        <w:spacing w:after="160" w:line="276"/>
      </w:pPr>
      <w:r>
        <w:rPr>
          <w:rFonts w:ascii="Calibri" w:cs="Calibri" w:eastAsia="Calibri" w:hAnsi="Calibri"/>
          <w:sz w:val="22"/>
          <w:szCs w:val="22"/>
        </w:rPr>
        <w:t xml:space="preserve">The two-layer infiltration here and the perched engine are siblings. They share the SOIL2 keyword and the LID percolation equation. The perched engine adds the STRUCT decay for construction-site modeling. Both live on the same GitHub organization at SWMMBobSWMM6.</w:t>
      </w:r>
    </w:p>
    <w:p>
      <w:pPr>
        <w:pStyle w:val="Heading1"/>
        <w:spacing w:after="200" w:before="360"/>
      </w:pPr>
      <w:r>
        <w:t xml:space="preserve">AI Use Disclosure</w:t>
      </w:r>
    </w:p>
    <w:p>
      <w:pPr>
        <w:spacing w:after="160" w:line="276"/>
      </w:pPr>
      <w:r>
        <w:rPr>
          <w:rFonts w:ascii="Calibri" w:cs="Calibri" w:eastAsia="Calibri" w:hAnsi="Calibri"/>
          <w:sz w:val="22"/>
          <w:szCs w:val="22"/>
        </w:rPr>
        <w:t xml:space="preserve">This document was written with Claude (Anthropic), which also wrote the engine code in lid_twolayer.c and lid_twolayer.h, the integration guide, the build guide, and the example INP file. The two-layer approach — reusing the LID soil parser instead of building a new infiltration method — was Robert Dickinson's idea, developed in conversation with Claude in February 2026 and extended in October 2026 for the swmm524-perched engine. The C code, the line-by-line integration points against EPA SWMM 5.2.4, and this document's text are Claude's work.</w:t>
      </w:r>
    </w:p>
    <w:p>
      <w:pPr>
        <w:pStyle w:val="Heading1"/>
        <w:spacing w:after="200" w:before="360"/>
      </w:pPr>
      <w:r>
        <w:t xml:space="preserve">Author</w:t>
      </w:r>
    </w:p>
    <w:p>
      <w:pPr>
        <w:spacing w:after="160" w:line="276"/>
      </w:pPr>
      <w:r>
        <w:rPr>
          <w:rFonts w:ascii="Calibri" w:cs="Calibri" w:eastAsia="Calibri" w:hAnsi="Calibri"/>
          <w:sz w:val="22"/>
          <w:szCs w:val="22"/>
        </w:rPr>
        <w:t xml:space="preserve"/>
      </w:r>
      <w:r>
        <w:rPr>
          <w:rFonts w:ascii="Calibri" w:cs="Calibri" w:eastAsia="Calibri" w:hAnsi="Calibri"/>
          <w:b/>
          <w:bCs/>
          <w:sz w:val="22"/>
          <w:szCs w:val="22"/>
        </w:rPr>
        <w:t xml:space="preserve">Robert E. Dickinson</w:t>
      </w: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SWMM Enablement — swmm5.org</w:t>
      </w:r>
    </w:p>
    <w:p>
      <w:pPr>
        <w:spacing w:after="160" w:line="276"/>
      </w:pPr>
      <w:r>
        <w:rPr>
          <w:rFonts w:ascii="Calibri" w:cs="Calibri" w:eastAsia="Calibri" w:hAnsi="Calibri"/>
          <w:sz w:val="22"/>
          <w:szCs w:val="22"/>
        </w:rPr>
        <w:t xml:space="preserve">Chair, SWMM5+ Technical Advisory Committee (CIMM.org)</w:t>
      </w:r>
    </w:p>
    <w:p>
      <w:pPr>
        <w:spacing w:after="160" w:line="276"/>
      </w:pPr>
      <w:r>
        <w:rPr>
          <w:rFonts w:ascii="Calibri" w:cs="Calibri" w:eastAsia="Calibri" w:hAnsi="Calibri"/>
          <w:sz w:val="22"/>
          <w:szCs w:val="22"/>
        </w:rPr>
        <w:t xml:space="preserve">EWRI Stormwater Modeling Committee</w:t>
      </w:r>
    </w:p>
    <w:p>
      <w:pPr>
        <w:spacing w:after="160" w:line="276"/>
      </w:pPr>
      <w:r>
        <w:rPr>
          <w:rFonts w:ascii="Calibri" w:cs="Calibri" w:eastAsia="Calibri" w:hAnsi="Calibri"/>
          <w:sz w:val="22"/>
          <w:szCs w:val="22"/>
        </w:rPr>
        <w:t xml:space="preserve">50+ years of continuous SWMM development (versions 2.5, 3, 4, 5, 5+)</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2026-10-30T22:30:28.068Z</dcterms:created>
  <dcterms:modified xsi:type="dcterms:W3CDTF">2026-10-30T22:30:28.078Z</dcterms:modified>
</cp:coreProperties>
</file>

<file path=docProps/custom.xml><?xml version="1.0" encoding="utf-8"?>
<Properties xmlns="http://schemas.openxmlformats.org/officeDocument/2006/custom-properties" xmlns:vt="http://schemas.openxmlformats.org/officeDocument/2006/docPropsVTypes"/>
</file>