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Business Rules</w:t>
      </w:r>
    </w:p>
    <w:p>
      <w:pPr>
        <w:spacing w:after="100"/>
        <w:jc w:val="center"/>
      </w:pPr>
      <w:r>
        <w:rPr>
          <w:i/>
          <w:iCs/>
          <w:sz w:val="22"/>
          <w:szCs w:val="22"/>
        </w:rPr>
        <w:t xml:space="preserve">for</w:t>
      </w:r>
    </w:p>
    <w:p>
      <w:pPr>
        <w:spacing w:after="300"/>
        <w:jc w:val="center"/>
      </w:pPr>
      <w:r>
        <w:rPr>
          <w:b/>
          <w:bCs/>
          <w:sz w:val="26"/>
          <w:szCs w:val="26"/>
        </w:rPr>
        <w:t xml:space="preserve">Sport Center Management System – Center Management System (Fitness/Gym)</w:t>
      </w:r>
    </w:p>
    <w:p>
      <w:pPr>
        <w:spacing w:after="400"/>
        <w:jc w:val="center"/>
      </w:pPr>
      <w:r>
        <w:rPr>
          <w:i/>
          <w:iCs/>
          <w:sz w:val="20"/>
          <w:szCs w:val="20"/>
        </w:rPr>
        <w:t>Version 1.2 draft 3 — 10/09/2026</w:t>
      </w:r>
    </w:p>
    <w:p>
      <w:pPr>
        <w:pStyle w:val="Heading1"/>
        <w:spacing w:after="150" w:before="300"/>
      </w:pPr>
      <w:r>
        <w:t xml:space="preserve">Revision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4426"/>
        <w:gridCol w:w="1500"/>
      </w:tblGrid>
      <w:tr>
        <w:trPr>
          <w:tblHeader/>
        </w:trPr>
        <w:tc>
          <w:tcPr>
            <w:tcW w:type="dxa" w:w="1800"/>
            <w:shd w:fill="D9E2F3" w:color="auto" w:val="clear"/>
            <w:tcMar>
              <w:top w:type="dxa" w:w="80"/>
              <w:left w:type="dxa" w:w="100"/>
              <w:bottom w:type="dxa" w:w="80"/>
              <w:right w:type="dxa" w:w="100"/>
            </w:tcMar>
            <w:vAlign w:val="center"/>
          </w:tcPr>
          <w:p>
            <w:pPr>
              <w:jc w:val="left"/>
            </w:pPr>
            <w:r>
              <w:rPr>
                <w:b/>
                <w:bCs/>
                <w:sz w:val="18"/>
                <w:szCs w:val="18"/>
              </w:rPr>
              <w:t xml:space="preserve">Name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Date</w:t>
            </w:r>
          </w:p>
        </w:tc>
        <w:tc>
          <w:tcPr>
            <w:tcW w:type="dxa" w:w="4426"/>
            <w:shd w:fill="D9E2F3" w:color="auto" w:val="clear"/>
            <w:tcMar>
              <w:top w:type="dxa" w:w="80"/>
              <w:left w:type="dxa" w:w="100"/>
              <w:bottom w:type="dxa" w:w="80"/>
              <w:right w:type="dxa" w:w="100"/>
            </w:tcMar>
            <w:vAlign w:val="center"/>
          </w:tcPr>
          <w:p>
            <w:pPr>
              <w:jc w:val="left"/>
            </w:pPr>
            <w:r>
              <w:rPr>
                <w:b/>
                <w:bCs/>
                <w:sz w:val="18"/>
                <w:szCs w:val="18"/>
              </w:rPr>
              <w:t xml:space="preserve">Reason For Changes</w:t>
            </w:r>
          </w:p>
        </w:tc>
        <w:tc>
          <w:tcPr>
            <w:tcW w:type="dxa" w:w="1500"/>
            <w:shd w:fill="D9E2F3" w:color="auto" w:val="clear"/>
            <w:tcMar>
              <w:top w:type="dxa" w:w="80"/>
              <w:left w:type="dxa" w:w="100"/>
              <w:bottom w:type="dxa" w:w="80"/>
              <w:right w:type="dxa" w:w="100"/>
            </w:tcMar>
            <w:vAlign w:val="center"/>
          </w:tcPr>
          <w:p>
            <w:pPr>
              <w:jc w:val="left"/>
            </w:pPr>
            <w:r>
              <w:rPr>
                <w:b/>
                <w:bCs/>
                <w:sz w:val="18"/>
                <w:szCs w:val="18"/>
              </w:rPr>
              <w:t xml:space="preserve">Version</w:t>
            </w:r>
          </w:p>
        </w:tc>
      </w:tr>
      <w:tr>
        <w:tc>
          <w:tcPr>
            <w:tcW w:type="dxa" w:w="1800"/>
            <w:tcMar>
              <w:top w:type="dxa" w:w="80"/>
              <w:left w:type="dxa" w:w="100"/>
              <w:bottom w:type="dxa" w:w="80"/>
              <w:right w:type="dxa" w:w="100"/>
            </w:tcMar>
            <w:vAlign w:val="center"/>
          </w:tcPr>
          <w:p>
            <w:pPr>
              <w:jc w:val="left"/>
            </w:pPr>
            <w:r>
              <w:rPr>
                <w:b w:val="false"/>
                <w:bCs w:val="false"/>
                <w:sz w:val="18"/>
                <w:szCs w:val="18"/>
              </w:rPr>
              <w:t xml:space="preserve">SportManagement Project Team</w:t>
            </w:r>
          </w:p>
        </w:tc>
        <w:tc>
          <w:tcPr>
            <w:tcW w:type="dxa" w:w="1300"/>
            <w:tcMar>
              <w:top w:type="dxa" w:w="80"/>
              <w:left w:type="dxa" w:w="100"/>
              <w:bottom w:type="dxa" w:w="80"/>
              <w:right w:type="dxa" w:w="100"/>
            </w:tcMar>
            <w:vAlign w:val="center"/>
          </w:tcPr>
          <w:p>
            <w:pPr>
              <w:jc w:val="left"/>
            </w:pPr>
            <w:r>
              <w:rPr>
                <w:b w:val="false"/>
                <w:bCs w:val="false"/>
                <w:sz w:val="18"/>
                <w:szCs w:val="18"/>
              </w:rPr>
              <w:t xml:space="preserve">08/09/2026</w:t>
            </w:r>
          </w:p>
        </w:tc>
        <w:tc>
          <w:tcPr>
            <w:tcW w:type="dxa" w:w="4426"/>
            <w:tcMar>
              <w:top w:type="dxa" w:w="80"/>
              <w:left w:type="dxa" w:w="100"/>
              <w:bottom w:type="dxa" w:w="80"/>
              <w:right w:type="dxa" w:w="100"/>
            </w:tcMar>
            <w:vAlign w:val="center"/>
          </w:tcPr>
          <w:p>
            <w:pPr>
              <w:jc w:val="left"/>
            </w:pPr>
            <w:r>
              <w:rPr>
                <w:b w:val="false"/>
                <w:bCs w:val="false"/>
                <w:sz w:val="18"/>
                <w:szCs w:val="18"/>
              </w:rPr>
              <w:t xml:space="preserve">Initial draft, consolidated from the Actor Specification, Non-Functional Requirements, and the original core Business Rules (BR-01 to BR-06) for the Center Management System.</w:t>
            </w:r>
          </w:p>
        </w:tc>
        <w:tc>
          <w:tcPr>
            <w:tcW w:type="dxa" w:w="1500"/>
            <w:tcMar>
              <w:top w:type="dxa" w:w="80"/>
              <w:left w:type="dxa" w:w="100"/>
              <w:bottom w:type="dxa" w:w="80"/>
              <w:right w:type="dxa" w:w="100"/>
            </w:tcMar>
            <w:vAlign w:val="center"/>
          </w:tcPr>
          <w:p>
            <w:pPr>
              <w:jc w:val="left"/>
            </w:pPr>
            <w:r>
              <w:rPr>
                <w:b w:val="false"/>
                <w:bCs w:val="false"/>
                <w:sz w:val="18"/>
                <w:szCs w:val="18"/>
              </w:rPr>
              <w:t xml:space="preserve">1.0 draft 1</w:t>
            </w:r>
          </w:p>
        </w:tc>
      </w:tr>
      <w:tr>
        <w:tc>
          <w:tcPr>
            <w:tcW w:type="dxa" w:w="1800"/>
            <w:tcMar>
              <w:top w:type="dxa" w:w="80"/>
              <w:left w:type="dxa" w:w="100"/>
              <w:bottom w:type="dxa" w:w="80"/>
              <w:right w:type="dxa" w:w="100"/>
            </w:tcMar>
            <w:vAlign w:val="center"/>
          </w:tcPr>
          <w:p>
            <w:pPr>
              <w:jc w:val="left"/>
            </w:pPr>
            <w:r>
              <w:rPr>
                <w:b w:val="false"/>
                <w:bCs w:val="false"/>
                <w:sz w:val="18"/>
                <w:szCs w:val="18"/>
              </w:rPr>
              <w:t xml:space="preserve">SportManagement Project Team</w:t>
            </w:r>
          </w:p>
        </w:tc>
        <w:tc>
          <w:tcPr>
            <w:tcW w:type="dxa" w:w="1300"/>
            <w:tcMar>
              <w:top w:type="dxa" w:w="80"/>
              <w:left w:type="dxa" w:w="100"/>
              <w:bottom w:type="dxa" w:w="80"/>
              <w:right w:type="dxa" w:w="100"/>
            </w:tcMar>
            <w:vAlign w:val="center"/>
          </w:tcPr>
          <w:p>
            <w:pPr>
              <w:jc w:val="left"/>
            </w:pPr>
            <w:r>
              <w:rPr>
                <w:b w:val="false"/>
                <w:bCs w:val="false"/>
                <w:sz w:val="18"/>
                <w:szCs w:val="18"/>
              </w:rPr>
              <w:t xml:space="preserve">08/09/2026</w:t>
            </w:r>
          </w:p>
        </w:tc>
        <w:tc>
          <w:tcPr>
            <w:tcW w:type="dxa" w:w="4426"/>
            <w:tcMar>
              <w:top w:type="dxa" w:w="80"/>
              <w:left w:type="dxa" w:w="100"/>
              <w:bottom w:type="dxa" w:w="80"/>
              <w:right w:type="dxa" w:w="100"/>
            </w:tcMar>
            <w:vAlign w:val="center"/>
          </w:tcPr>
          <w:p>
            <w:pPr>
              <w:jc w:val="left"/>
            </w:pPr>
            <w:r>
              <w:rPr>
                <w:b w:val="false"/>
                <w:bCs w:val="false"/>
                <w:sz w:val="18"/>
                <w:szCs w:val="18"/>
              </w:rPr>
              <w:t xml:space="preserve">Added BR-40 to BR-43 (Payment &amp; Invoice group) following the Design v2 review: Invoice immutability, Payment-to-Invoice linkage, Adjustment/Refund approval workflow, and revenue report scope. Traceability from the old BR-01–BR-06 numbering to the current BR-1–BR-43 numbering is documented separately in Design v2, Section 0.</w:t>
            </w:r>
          </w:p>
        </w:tc>
        <w:tc>
          <w:tcPr>
            <w:tcW w:type="dxa" w:w="1500"/>
            <w:tcMar>
              <w:top w:type="dxa" w:w="80"/>
              <w:left w:type="dxa" w:w="100"/>
              <w:bottom w:type="dxa" w:w="80"/>
              <w:right w:type="dxa" w:w="100"/>
            </w:tcMar>
            <w:vAlign w:val="center"/>
          </w:tcPr>
          <w:p>
            <w:pPr>
              <w:jc w:val="left"/>
            </w:pPr>
            <w:r>
              <w:rPr>
                <w:b w:val="false"/>
                <w:bCs w:val="false"/>
                <w:sz w:val="18"/>
                <w:szCs w:val="18"/>
              </w:rPr>
              <w:t xml:space="preserve">1.1 draft 1</w:t>
            </w:r>
          </w:p>
        </w:tc>
      </w:tr>
      <w:tr>
        <w:tc>
          <w:tcPr>
            <w:tcW w:type="dxa" w:w="1800"/>
            <w:tcMar>
              <w:top w:type="dxa" w:w="80"/>
              <w:left w:type="dxa" w:w="100"/>
              <w:bottom w:type="dxa" w:w="80"/>
              <w:right w:type="dxa" w:w="100"/>
            </w:tcMar>
            <w:vAlign w:val="center"/>
          </w:tcPr>
          <w:p>
            <w:pPr>
              <w:jc w:val="left"/>
            </w:pPr>
            <w:r>
              <w:rPr>
                <w:b w:val="false"/>
                <w:bCs w:val="false"/>
                <w:sz w:val="18"/>
                <w:szCs w:val="18"/>
              </w:rPr>
              <w:t xml:space="preserve">SportManagement Project Team</w:t>
            </w:r>
          </w:p>
        </w:tc>
        <w:tc>
          <w:tcPr>
            <w:tcW w:type="dxa" w:w="1300"/>
            <w:tcMar>
              <w:top w:type="dxa" w:w="80"/>
              <w:left w:type="dxa" w:w="100"/>
              <w:bottom w:type="dxa" w:w="80"/>
              <w:right w:type="dxa" w:w="100"/>
            </w:tcMar>
            <w:vAlign w:val="center"/>
          </w:tcPr>
          <w:p>
            <w:pPr>
              <w:jc w:val="left"/>
            </w:pPr>
            <w:r>
              <w:rPr>
                <w:b w:val="false"/>
                <w:bCs w:val="false"/>
                <w:sz w:val="18"/>
                <w:szCs w:val="18"/>
              </w:rPr>
              <w:t xml:space="preserve">09/09/2026</w:t>
            </w:r>
          </w:p>
        </w:tc>
        <w:tc>
          <w:tcPr>
            <w:tcW w:type="dxa" w:w="4426"/>
            <w:tcMar>
              <w:top w:type="dxa" w:w="80"/>
              <w:left w:type="dxa" w:w="100"/>
              <w:bottom w:type="dxa" w:w="80"/>
              <w:right w:type="dxa" w:w="100"/>
            </w:tcMar>
            <w:vAlign w:val="center"/>
          </w:tcPr>
          <w:p>
            <w:pPr>
              <w:jc w:val="left"/>
            </w:pPr>
            <w:r>
              <w:rPr>
                <w:b w:val="false"/>
                <w:bCs w:val="false"/>
                <w:sz w:val="18"/>
                <w:szCs w:val="18"/>
              </w:rPr>
              <w:t xml:space="preserve">Design/Business-Rules reconciliation pass: revised BR-30 (Invoice is created at package-selection time, not at payment time) and BR-34 (background job/outbox at MVP instead of a mandatory message queue). Added new group K (Reporting &amp; Export, BR-44–BR-48) to back the /reports/export endpoint referenced in Design v2. Added BR-49 (case-insensitive email), BR-50 (configurable cancellation deadline), BR-51 (session capacity precedence), BR-52 (refund amount formula), BR-53 (Absent vs No-show distinction).</w:t>
            </w:r>
          </w:p>
        </w:tc>
        <w:tc>
          <w:tcPr>
            <w:tcW w:type="dxa" w:w="1500"/>
            <w:tcMar>
              <w:top w:type="dxa" w:w="80"/>
              <w:left w:type="dxa" w:w="100"/>
              <w:bottom w:type="dxa" w:w="80"/>
              <w:right w:type="dxa" w:w="100"/>
            </w:tcMar>
            <w:vAlign w:val="center"/>
          </w:tcPr>
          <w:p>
            <w:pPr>
              <w:jc w:val="left"/>
            </w:pPr>
            <w:r>
              <w:rPr>
                <w:b w:val="false"/>
                <w:bCs w:val="false"/>
                <w:sz w:val="18"/>
                <w:szCs w:val="18"/>
              </w:rPr>
              <w:t xml:space="preserve">1.2 draft 1</w:t>
            </w:r>
          </w:p>
        </w:tc>
      </w:tr>
      <w:tr>
        <w:tc>
          <w:tcPr>
            <w:tcW w:type="dxa" w:w="1800"/>
          </w:tcPr>
          <w:p>
            <w:r/>
            <w:r>
              <w:rPr>
                <w:sz w:val="18"/>
              </w:rPr>
              <w:t>SportManagement Project Team</w:t>
            </w:r>
          </w:p>
        </w:tc>
        <w:tc>
          <w:tcPr>
            <w:tcW w:type="dxa" w:w="1300"/>
          </w:tcPr>
          <w:p>
            <w:r/>
            <w:r>
              <w:rPr>
                <w:sz w:val="18"/>
              </w:rPr>
              <w:t>10/09/2026</w:t>
            </w:r>
          </w:p>
        </w:tc>
        <w:tc>
          <w:tcPr>
            <w:tcW w:type="dxa" w:w="4426"/>
          </w:tcPr>
          <w:p>
            <w:r/>
            <w:r>
              <w:rPr>
                <w:sz w:val="18"/>
              </w:rPr>
              <w:t>Added explicit uniqueness rules: BR-54 (phone), BR-55 (Role.role_name), BR-56 (MembershipPackage.name), BR-57 (Room.name), BR-58 (Invoice.invoice_number). Added Section L (Unique Constraints Summary) consolidating all unique/partial-unique fields, kept in sync with Design v2 §1 (ERD) and §3 (DB constraints).</w:t>
            </w:r>
          </w:p>
        </w:tc>
        <w:tc>
          <w:tcPr>
            <w:tcW w:type="dxa" w:w="1500"/>
          </w:tcPr>
          <w:p>
            <w:r/>
            <w:r>
              <w:rPr>
                <w:sz w:val="18"/>
              </w:rPr>
              <w:t>1.2 draft 2</w:t>
            </w:r>
          </w:p>
        </w:tc>
      </w:tr>
      <w:tr>
        <w:tc>
          <w:tcPr>
            <w:tcW w:type="dxa" w:w="1800"/>
          </w:tcPr>
          <w:p>
            <w:r>
              <w:rPr>
                <w:b w:val="0"/>
                <w:sz w:val="18"/>
              </w:rPr>
              <w:t>SportManagement Project Team</w:t>
            </w:r>
          </w:p>
        </w:tc>
        <w:tc>
          <w:tcPr>
            <w:tcW w:type="dxa" w:w="1300"/>
          </w:tcPr>
          <w:p>
            <w:r>
              <w:rPr>
                <w:b w:val="0"/>
                <w:sz w:val="18"/>
              </w:rPr>
              <w:t>10/09/2026</w:t>
            </w:r>
          </w:p>
        </w:tc>
        <w:tc>
          <w:tcPr>
            <w:tcW w:type="dxa" w:w="4426"/>
          </w:tcPr>
          <w:p>
            <w:r>
              <w:rPr>
                <w:b w:val="0"/>
                <w:sz w:val="18"/>
              </w:rPr>
              <w:t>Added BR-59–BR-61 (Google-login anti-pre-hijacking, password-login-requires-credential, WorkoutResult-requires-Confirmed-Enrollment); added Attendance.enrollment_id row to Unique Constraints Summary (Attendance/WorkoutResult normalization pass).</w:t>
            </w:r>
          </w:p>
        </w:tc>
        <w:tc>
          <w:tcPr>
            <w:tcW w:type="dxa" w:w="1500"/>
          </w:tcPr>
          <w:p>
            <w:r>
              <w:rPr>
                <w:b w:val="0"/>
                <w:sz w:val="18"/>
              </w:rPr>
              <w:t>1.2 draft 3</w:t>
            </w:r>
          </w:p>
        </w:tc>
      </w:tr>
    </w:tbl>
    <w:p>
      <w:pPr>
        <w:spacing w:after="200" w:before="300"/>
      </w:pPr>
      <w:r>
        <w:rPr>
          <w:i/>
          <w:iCs/>
          <w:sz w:val="20"/>
          <w:szCs w:val="20"/>
        </w:rPr>
        <w:t xml:space="preserve">The following business rules apply across the entire Sport Center Management System. They are grouped by functional area for readability; each rule keeps a single, system-wide BR-n identifier so it can be referenced directly from any use case.</w:t>
      </w:r>
    </w:p>
    <w:p>
      <w:pPr>
        <w:pStyle w:val="Heading1"/>
        <w:spacing w:after="150" w:before="300"/>
      </w:pPr>
      <w:r>
        <w:t xml:space="preserve">A. User Account &amp;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account may self-register with a unique, valid email address and a password meeting the system's strength requirements.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Member — "Đăng ký tài khoản"</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w:t>
            </w:r>
          </w:p>
        </w:tc>
        <w:tc>
          <w:tcPr>
            <w:tcW w:type="dxa" w:w="4200"/>
            <w:tcMar>
              <w:top w:type="dxa" w:w="80"/>
              <w:left w:type="dxa" w:w="100"/>
              <w:bottom w:type="dxa" w:w="80"/>
              <w:right w:type="dxa" w:w="100"/>
            </w:tcMar>
            <w:vAlign w:val="center"/>
          </w:tcPr>
          <w:p>
            <w:pPr>
              <w:jc w:val="left"/>
            </w:pPr>
            <w:r>
              <w:rPr>
                <w:b w:val="false"/>
                <w:bCs w:val="false"/>
                <w:sz w:val="18"/>
                <w:szCs w:val="18"/>
              </w:rPr>
              <w:t xml:space="preserve">Only a user with the Center Manager role may create accounts for Coach and Receptionist staff.</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BR-06</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w:t>
            </w:r>
          </w:p>
        </w:tc>
        <w:tc>
          <w:tcPr>
            <w:tcW w:type="dxa" w:w="4200"/>
            <w:tcMar>
              <w:top w:type="dxa" w:w="80"/>
              <w:left w:type="dxa" w:w="100"/>
              <w:bottom w:type="dxa" w:w="80"/>
              <w:right w:type="dxa" w:w="100"/>
            </w:tcMar>
            <w:vAlign w:val="center"/>
          </w:tcPr>
          <w:p>
            <w:pPr>
              <w:jc w:val="left"/>
            </w:pPr>
            <w:r>
              <w:rPr>
                <w:b w:val="false"/>
                <w:bCs w:val="false"/>
                <w:sz w:val="18"/>
                <w:szCs w:val="18"/>
              </w:rPr>
              <w:t xml:space="preserve">Every user account is assigned exactly one role: Center Manager, Coach, Member, or Receptionist.</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Specification, Section 2</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w:t>
            </w:r>
          </w:p>
        </w:tc>
        <w:tc>
          <w:tcPr>
            <w:tcW w:type="dxa" w:w="4200"/>
            <w:tcMar>
              <w:top w:type="dxa" w:w="80"/>
              <w:left w:type="dxa" w:w="100"/>
              <w:bottom w:type="dxa" w:w="80"/>
              <w:right w:type="dxa" w:w="100"/>
            </w:tcMar>
            <w:vAlign w:val="center"/>
          </w:tcPr>
          <w:p>
            <w:pPr>
              <w:jc w:val="left"/>
            </w:pPr>
            <w:r>
              <w:rPr>
                <w:b w:val="false"/>
                <w:bCs w:val="false"/>
                <w:sz w:val="18"/>
                <w:szCs w:val="18"/>
              </w:rPr>
              <w:t xml:space="preserve">Authentication and authorization are enforced via JWT/OAuth2 with Role-Based Access Control (RBAC) on every protected endpoint.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NFR-02 Security</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BR-5</w:t>
            </w:r>
          </w:p>
        </w:tc>
        <w:tc>
          <w:tcPr>
            <w:tcW w:type="dxa" w:w="4200"/>
            <w:tcMar>
              <w:top w:type="dxa" w:w="80"/>
              <w:left w:type="dxa" w:w="100"/>
              <w:bottom w:type="dxa" w:w="80"/>
              <w:right w:type="dxa" w:w="100"/>
            </w:tcMar>
            <w:vAlign w:val="center"/>
          </w:tcPr>
          <w:p>
            <w:pPr>
              <w:jc w:val="left"/>
            </w:pPr>
            <w:r>
              <w:rPr>
                <w:b w:val="false"/>
                <w:bCs w:val="false"/>
                <w:sz w:val="18"/>
                <w:szCs w:val="18"/>
              </w:rPr>
              <w:t xml:space="preserve">A user's password is stored only in hashed form (bcrypt or an equivalent standard algorithm); it is never stored or logged in plaintext.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NFR-02 Security</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BR-6</w:t>
            </w:r>
          </w:p>
        </w:tc>
        <w:tc>
          <w:tcPr>
            <w:tcW w:type="dxa" w:w="4200"/>
            <w:tcMar>
              <w:top w:type="dxa" w:w="80"/>
              <w:left w:type="dxa" w:w="100"/>
              <w:bottom w:type="dxa" w:w="80"/>
              <w:right w:type="dxa" w:w="100"/>
            </w:tcMar>
            <w:vAlign w:val="center"/>
          </w:tcPr>
          <w:p>
            <w:pPr>
              <w:jc w:val="left"/>
            </w:pPr>
            <w:r>
              <w:rPr>
                <w:b w:val="false"/>
                <w:bCs w:val="false"/>
                <w:sz w:val="18"/>
                <w:szCs w:val="18"/>
              </w:rPr>
              <w:t xml:space="preserve">An account marked as banned or deactivated is denied login and may not perform any authenticated action.</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 standard access-control rule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BR-7</w:t>
            </w:r>
          </w:p>
        </w:tc>
        <w:tc>
          <w:tcPr>
            <w:tcW w:type="dxa" w:w="4200"/>
            <w:tcMar>
              <w:top w:type="dxa" w:w="80"/>
              <w:left w:type="dxa" w:w="100"/>
              <w:bottom w:type="dxa" w:w="80"/>
              <w:right w:type="dxa" w:w="100"/>
            </w:tcMar>
            <w:vAlign w:val="center"/>
          </w:tcPr>
          <w:p>
            <w:pPr>
              <w:jc w:val="left"/>
            </w:pPr>
            <w:r>
              <w:rPr>
                <w:b w:val="false"/>
                <w:bCs w:val="false"/>
                <w:sz w:val="18"/>
                <w:szCs w:val="18"/>
              </w:rPr>
              <w:t xml:space="preserve">Every significant action performed by a Center Manager, Coach, or Receptionist account is recorded in the Audit Log with actor, action, target entity, and timestamp.</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Center Manager — "Xem lịch sử thao tác"; NFR-02</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BR-49</w:t>
            </w:r>
          </w:p>
        </w:tc>
        <w:tc>
          <w:tcPr>
            <w:tcW w:type="dxa" w:w="4200"/>
            <w:tcMar>
              <w:top w:type="dxa" w:w="80"/>
              <w:left w:type="dxa" w:w="100"/>
              <w:bottom w:type="dxa" w:w="80"/>
              <w:right w:type="dxa" w:w="100"/>
            </w:tcMar>
            <w:vAlign w:val="center"/>
          </w:tcPr>
          <w:p>
            <w:pPr>
              <w:jc w:val="left"/>
            </w:pPr>
            <w:r>
              <w:rPr>
                <w:b w:val="false"/>
                <w:bCs w:val="false"/>
                <w:sz w:val="18"/>
                <w:szCs w:val="18"/>
              </w:rPr>
              <w:t xml:space="preserve">Email uniqueness for a user account is enforced case-insensitively (e.g., a case-insensitive unique index or a stored canonical lowercase form), so "User@x.com" and "user@x.com" cannot both register.</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missing constraint (v1.2)</w:t>
            </w:r>
          </w:p>
        </w:tc>
      </w:tr>
      <w:tr>
        <w:tc>
          <w:tcPr>
            <w:tcW w:type="dxa" w:w="700"/>
          </w:tcPr>
          <w:p>
            <w:r/>
            <w:r>
              <w:rPr>
                <w:sz w:val="18"/>
              </w:rPr>
              <w:t>BR-54</w:t>
            </w:r>
          </w:p>
        </w:tc>
        <w:tc>
          <w:tcPr>
            <w:tcW w:type="dxa" w:w="4200"/>
          </w:tcPr>
          <w:p>
            <w:r/>
            <w:r>
              <w:rPr>
                <w:sz w:val="18"/>
              </w:rPr>
              <w:t>A user's phone number, when provided, must be unique across all accounts (a partial unique index ignoring NULL/blank values); registration or profile update is rejected on a duplicate phone number.</w:t>
            </w:r>
          </w:p>
        </w:tc>
        <w:tc>
          <w:tcPr>
            <w:tcW w:type="dxa" w:w="1300"/>
          </w:tcPr>
          <w:p>
            <w:r/>
            <w:r>
              <w:rPr>
                <w:sz w:val="18"/>
              </w:rPr>
              <w:t>Constraint</w:t>
            </w:r>
          </w:p>
        </w:tc>
        <w:tc>
          <w:tcPr>
            <w:tcW w:type="dxa" w:w="1300"/>
          </w:tcPr>
          <w:p>
            <w:r/>
            <w:r>
              <w:rPr>
                <w:sz w:val="18"/>
              </w:rPr>
              <w:t>Static</w:t>
            </w:r>
          </w:p>
        </w:tc>
        <w:tc>
          <w:tcPr>
            <w:tcW w:type="dxa" w:w="1526"/>
          </w:tcPr>
          <w:p>
            <w:r/>
            <w:r>
              <w:rPr>
                <w:sz w:val="18"/>
              </w:rPr>
              <w:t>Design v2 review — uniqueness audit (v1.2 draft 2)</w:t>
            </w:r>
          </w:p>
        </w:tc>
      </w:tr>
      <w:tr>
        <w:tc>
          <w:tcPr>
            <w:tcW w:type="dxa" w:w="700"/>
          </w:tcPr>
          <w:p>
            <w:r/>
            <w:r>
              <w:rPr>
                <w:sz w:val="18"/>
              </w:rPr>
              <w:t>BR-55</w:t>
            </w:r>
          </w:p>
        </w:tc>
        <w:tc>
          <w:tcPr>
            <w:tcW w:type="dxa" w:w="4200"/>
          </w:tcPr>
          <w:p>
            <w:r/>
            <w:r>
              <w:rPr>
                <w:sz w:val="18"/>
              </w:rPr>
              <w:t>Each of the four system roles (Center Manager, Coach, Member, Receptionist) has a globally unique role name; no two Role rows may share the same name — enforced by the fixed seed data plus a unique constraint.</w:t>
            </w:r>
          </w:p>
        </w:tc>
        <w:tc>
          <w:tcPr>
            <w:tcW w:type="dxa" w:w="1300"/>
          </w:tcPr>
          <w:p>
            <w:r/>
            <w:r>
              <w:rPr>
                <w:sz w:val="18"/>
              </w:rPr>
              <w:t>Fact</w:t>
            </w:r>
          </w:p>
        </w:tc>
        <w:tc>
          <w:tcPr>
            <w:tcW w:type="dxa" w:w="1300"/>
          </w:tcPr>
          <w:p>
            <w:r/>
            <w:r>
              <w:rPr>
                <w:sz w:val="18"/>
              </w:rPr>
              <w:t>Static</w:t>
            </w:r>
          </w:p>
        </w:tc>
        <w:tc>
          <w:tcPr>
            <w:tcW w:type="dxa" w:w="1526"/>
          </w:tcPr>
          <w:p>
            <w:r/>
            <w:r>
              <w:rPr>
                <w:sz w:val="18"/>
              </w:rPr>
              <w:t>Design v2 review — uniqueness audit (v1.2 draft 2)</w:t>
            </w:r>
          </w:p>
        </w:tc>
      </w:tr>
      <w:tr>
        <w:tc>
          <w:tcPr>
            <w:tcW w:type="dxa" w:w="700"/>
          </w:tcPr>
          <w:p>
            <w:r>
              <w:rPr>
                <w:b w:val="0"/>
                <w:sz w:val="18"/>
              </w:rPr>
              <w:t>BR-59</w:t>
            </w:r>
          </w:p>
        </w:tc>
        <w:tc>
          <w:tcPr>
            <w:tcW w:type="dxa" w:w="4200"/>
          </w:tcPr>
          <w:p>
            <w:r>
              <w:rPr>
                <w:b w:val="0"/>
                <w:sz w:val="18"/>
              </w:rPr>
              <w:t>A Google Sign-In identity may be linked to an existing local account only through an explicit "Link Google account" action performed while the user is already authenticated in that account; the system must never auto-link or auto-create an account solely because the Google profile's email matches an existing account's email (prevents account pre-hijacking).</w:t>
            </w:r>
          </w:p>
        </w:tc>
        <w:tc>
          <w:tcPr>
            <w:tcW w:type="dxa" w:w="1300"/>
          </w:tcPr>
          <w:p>
            <w:r>
              <w:rPr>
                <w:b w:val="0"/>
                <w:sz w:val="18"/>
              </w:rPr>
              <w:t>Constraint</w:t>
            </w:r>
          </w:p>
        </w:tc>
        <w:tc>
          <w:tcPr>
            <w:tcW w:type="dxa" w:w="1300"/>
          </w:tcPr>
          <w:p>
            <w:r>
              <w:rPr>
                <w:b w:val="0"/>
                <w:sz w:val="18"/>
              </w:rPr>
              <w:t>Dynamic</w:t>
            </w:r>
          </w:p>
        </w:tc>
        <w:tc>
          <w:tcPr>
            <w:tcW w:type="dxa" w:w="1526"/>
          </w:tcPr>
          <w:p>
            <w:r>
              <w:rPr>
                <w:b w:val="0"/>
                <w:sz w:val="18"/>
              </w:rPr>
              <w:t>Design v2 review — Google Login security (v1.2 draft 3, added 10/09/2026)</w:t>
            </w:r>
          </w:p>
        </w:tc>
      </w:tr>
      <w:tr>
        <w:tc>
          <w:tcPr>
            <w:tcW w:type="dxa" w:w="700"/>
          </w:tcPr>
          <w:p>
            <w:r>
              <w:rPr>
                <w:b w:val="0"/>
                <w:sz w:val="18"/>
              </w:rPr>
              <w:t>BR-60</w:t>
            </w:r>
          </w:p>
        </w:tc>
        <w:tc>
          <w:tcPr>
            <w:tcW w:type="dxa" w:w="4200"/>
          </w:tcPr>
          <w:p>
            <w:r>
              <w:rPr>
                <w:b w:val="0"/>
                <w:sz w:val="18"/>
              </w:rPr>
              <w:t>A user may authenticate with email/password only if that account's UserCredential.password_hash is not null. An account created exclusively via Google Sign-In (no password ever set) must sign in via Google until the user explicitly sets a password from within an authenticated session.</w:t>
            </w:r>
          </w:p>
        </w:tc>
        <w:tc>
          <w:tcPr>
            <w:tcW w:type="dxa" w:w="1300"/>
          </w:tcPr>
          <w:p>
            <w:r>
              <w:rPr>
                <w:b w:val="0"/>
                <w:sz w:val="18"/>
              </w:rPr>
              <w:t>Constraint</w:t>
            </w:r>
          </w:p>
        </w:tc>
        <w:tc>
          <w:tcPr>
            <w:tcW w:type="dxa" w:w="1300"/>
          </w:tcPr>
          <w:p>
            <w:r>
              <w:rPr>
                <w:b w:val="0"/>
                <w:sz w:val="18"/>
              </w:rPr>
              <w:t>Static</w:t>
            </w:r>
          </w:p>
        </w:tc>
        <w:tc>
          <w:tcPr>
            <w:tcW w:type="dxa" w:w="1526"/>
          </w:tcPr>
          <w:p>
            <w:r>
              <w:rPr>
                <w:b w:val="0"/>
                <w:sz w:val="18"/>
              </w:rPr>
              <w:t>Design v2 review — Google Login security (v1.2 draft 3, added 10/09/2026)</w:t>
            </w:r>
          </w:p>
        </w:tc>
      </w:tr>
    </w:tbl>
    <w:p>
      <w:pPr>
        <w:pStyle w:val="Heading1"/>
        <w:spacing w:after="150" w:before="300"/>
      </w:pPr>
      <w:r>
        <w:t xml:space="preserve">B. Member &amp; Membership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BR-8</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membership package (Name, Price, DurationDays, SessionLimit) can be created, edited, or retired only by the Center Manager.</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Center Manager — "Quản lý gói thành viên"</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BR-9</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member's package instance is Active only while both its date range (StartDate–EndDate) and its RemainingSessions, if session-limited, are still valid.</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BR-01</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BR-10</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may hold more than one MemberPackage record over time, but only one of a given package type may be Active at once unless the Center Manager explicitly allows stacking.</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BR-11</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package's status automatically transitions to Expired when its EndDate passes or its RemainingSessions reaches zero, whichever occurs first.</w:t>
            </w:r>
          </w:p>
        </w:tc>
        <w:tc>
          <w:tcPr>
            <w:tcW w:type="dxa" w:w="1300"/>
            <w:tcMar>
              <w:top w:type="dxa" w:w="80"/>
              <w:left w:type="dxa" w:w="100"/>
              <w:bottom w:type="dxa" w:w="80"/>
              <w:right w:type="dxa" w:w="100"/>
            </w:tcMar>
            <w:vAlign w:val="center"/>
          </w:tcPr>
          <w:p>
            <w:pPr>
              <w:jc w:val="left"/>
            </w:pPr>
            <w:r>
              <w:rPr>
                <w:b w:val="false"/>
                <w:bCs w:val="false"/>
                <w:sz w:val="18"/>
                <w:szCs w:val="18"/>
              </w:rPr>
              <w:t xml:space="preserve">Action Enabler</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from Original BR-01 / BR-05</w:t>
            </w:r>
          </w:p>
        </w:tc>
      </w:tr>
      <w:tr>
        <w:tc>
          <w:tcPr>
            <w:tcW w:type="dxa" w:w="700"/>
          </w:tcPr>
          <w:p>
            <w:r/>
            <w:r>
              <w:rPr>
                <w:sz w:val="18"/>
              </w:rPr>
              <w:t>BR-56</w:t>
            </w:r>
          </w:p>
        </w:tc>
        <w:tc>
          <w:tcPr>
            <w:tcW w:type="dxa" w:w="4200"/>
          </w:tcPr>
          <w:p>
            <w:r/>
            <w:r>
              <w:rPr>
                <w:sz w:val="18"/>
              </w:rPr>
              <w:t>Within the membership package catalog, no two MembershipPackage records may share the same Name; the Center Manager cannot create or rename a package to a name already in use by another package.</w:t>
            </w:r>
          </w:p>
        </w:tc>
        <w:tc>
          <w:tcPr>
            <w:tcW w:type="dxa" w:w="1300"/>
          </w:tcPr>
          <w:p>
            <w:r/>
            <w:r>
              <w:rPr>
                <w:sz w:val="18"/>
              </w:rPr>
              <w:t>Constraint</w:t>
            </w:r>
          </w:p>
        </w:tc>
        <w:tc>
          <w:tcPr>
            <w:tcW w:type="dxa" w:w="1300"/>
          </w:tcPr>
          <w:p>
            <w:r/>
            <w:r>
              <w:rPr>
                <w:sz w:val="18"/>
              </w:rPr>
              <w:t>Static</w:t>
            </w:r>
          </w:p>
        </w:tc>
        <w:tc>
          <w:tcPr>
            <w:tcW w:type="dxa" w:w="1526"/>
          </w:tcPr>
          <w:p>
            <w:r/>
            <w:r>
              <w:rPr>
                <w:sz w:val="18"/>
              </w:rPr>
              <w:t>Design v2 review — uniqueness audit (v1.2 draft 2)</w:t>
            </w:r>
          </w:p>
        </w:tc>
      </w:tr>
    </w:tbl>
    <w:p>
      <w:pPr>
        <w:pStyle w:val="Heading1"/>
        <w:spacing w:after="150" w:before="300"/>
      </w:pPr>
      <w:r>
        <w:t xml:space="preserve">C. Class, Schedule &amp; Room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BR-12</w:t>
            </w:r>
          </w:p>
        </w:tc>
        <w:tc>
          <w:tcPr>
            <w:tcW w:type="dxa" w:w="4200"/>
            <w:tcMar>
              <w:top w:type="dxa" w:w="80"/>
              <w:left w:type="dxa" w:w="100"/>
              <w:bottom w:type="dxa" w:w="80"/>
              <w:right w:type="dxa" w:w="100"/>
            </w:tcMar>
            <w:vAlign w:val="center"/>
          </w:tcPr>
          <w:p>
            <w:pPr>
              <w:jc w:val="left"/>
            </w:pPr>
            <w:r>
              <w:rPr>
                <w:b w:val="false"/>
                <w:bCs w:val="false"/>
                <w:sz w:val="18"/>
                <w:szCs w:val="18"/>
              </w:rPr>
              <w:t xml:space="preserve">A class can be created only with an assigned Room and Discipline; a Coach may optionally be assigned at creation or later.</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Center Manager</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BR-13</w:t>
            </w:r>
          </w:p>
        </w:tc>
        <w:tc>
          <w:tcPr>
            <w:tcW w:type="dxa" w:w="4200"/>
            <w:tcMar>
              <w:top w:type="dxa" w:w="80"/>
              <w:left w:type="dxa" w:w="100"/>
              <w:bottom w:type="dxa" w:w="80"/>
              <w:right w:type="dxa" w:w="100"/>
            </w:tcMar>
            <w:vAlign w:val="center"/>
          </w:tcPr>
          <w:p>
            <w:pPr>
              <w:jc w:val="left"/>
            </w:pPr>
            <w:r>
              <w:rPr>
                <w:b w:val="false"/>
                <w:bCs w:val="false"/>
                <w:sz w:val="18"/>
                <w:szCs w:val="18"/>
              </w:rPr>
              <w:t xml:space="preserve">The number of confirmed enrollments in a class session may never exceed the lower of the assigned Room's capacity and the Class's own configured capacity.</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BR-14</w:t>
            </w:r>
          </w:p>
        </w:tc>
        <w:tc>
          <w:tcPr>
            <w:tcW w:type="dxa" w:w="4200"/>
            <w:tcMar>
              <w:top w:type="dxa" w:w="80"/>
              <w:left w:type="dxa" w:w="100"/>
              <w:bottom w:type="dxa" w:w="80"/>
              <w:right w:type="dxa" w:w="100"/>
            </w:tcMar>
            <w:vAlign w:val="center"/>
          </w:tcPr>
          <w:p>
            <w:pPr>
              <w:jc w:val="left"/>
            </w:pPr>
            <w:r>
              <w:rPr>
                <w:b w:val="false"/>
                <w:bCs w:val="false"/>
                <w:sz w:val="18"/>
                <w:szCs w:val="18"/>
              </w:rPr>
              <w:t xml:space="preserve">Only the Center Manager may assign or reassign a Coach to a Class.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Center Manager — "Phân công huấn luyện viên"</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BR-15</w:t>
            </w:r>
          </w:p>
        </w:tc>
        <w:tc>
          <w:tcPr>
            <w:tcW w:type="dxa" w:w="4200"/>
            <w:tcMar>
              <w:top w:type="dxa" w:w="80"/>
              <w:left w:type="dxa" w:w="100"/>
              <w:bottom w:type="dxa" w:w="80"/>
              <w:right w:type="dxa" w:w="100"/>
            </w:tcMar>
            <w:vAlign w:val="center"/>
          </w:tcPr>
          <w:p>
            <w:pPr>
              <w:jc w:val="left"/>
            </w:pPr>
            <w:r>
              <w:rPr>
                <w:b w:val="false"/>
                <w:bCs w:val="false"/>
                <w:sz w:val="18"/>
                <w:szCs w:val="18"/>
              </w:rPr>
              <w:t xml:space="preserve">A Class Session inherits its schedule window from its parent Class's recurrence pattern unless explicitly overridden by the Center Manager (e.g., a reschedule).</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BR-51</w:t>
            </w:r>
          </w:p>
        </w:tc>
        <w:tc>
          <w:tcPr>
            <w:tcW w:type="dxa" w:w="4200"/>
            <w:tcMar>
              <w:top w:type="dxa" w:w="80"/>
              <w:left w:type="dxa" w:w="100"/>
              <w:bottom w:type="dxa" w:w="80"/>
              <w:right w:type="dxa" w:w="100"/>
            </w:tcMar>
            <w:vAlign w:val="center"/>
          </w:tcPr>
          <w:p>
            <w:pPr>
              <w:jc w:val="left"/>
            </w:pPr>
            <w:r>
              <w:rPr>
                <w:b w:val="false"/>
                <w:bCs w:val="false"/>
                <w:sz w:val="18"/>
                <w:szCs w:val="18"/>
              </w:rPr>
              <w:t xml:space="preserve">A Class Session's effective capacity is the lower of its assigned Room's capacity and its parent Class's configured capacity at the time the session is generated. The Center Manager may lower a specific session's capacity further (e.g., when rescheduling to a smaller room) but may never raise it above that minimum.</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extends BR-13 (v1.2)</w:t>
            </w:r>
          </w:p>
        </w:tc>
      </w:tr>
      <w:tr>
        <w:tc>
          <w:tcPr>
            <w:tcW w:type="dxa" w:w="700"/>
          </w:tcPr>
          <w:p>
            <w:r/>
            <w:r>
              <w:rPr>
                <w:sz w:val="18"/>
              </w:rPr>
              <w:t>BR-57</w:t>
            </w:r>
          </w:p>
        </w:tc>
        <w:tc>
          <w:tcPr>
            <w:tcW w:type="dxa" w:w="4200"/>
          </w:tcPr>
          <w:p>
            <w:r/>
            <w:r>
              <w:rPr>
                <w:sz w:val="18"/>
              </w:rPr>
              <w:t>Each Room has a unique Name across the center, since the name is used to identify the physical room in schedules and booking screens; the Center Manager cannot create two rooms with the same name.</w:t>
            </w:r>
          </w:p>
        </w:tc>
        <w:tc>
          <w:tcPr>
            <w:tcW w:type="dxa" w:w="1300"/>
          </w:tcPr>
          <w:p>
            <w:r/>
            <w:r>
              <w:rPr>
                <w:sz w:val="18"/>
              </w:rPr>
              <w:t>Constraint</w:t>
            </w:r>
          </w:p>
        </w:tc>
        <w:tc>
          <w:tcPr>
            <w:tcW w:type="dxa" w:w="1300"/>
          </w:tcPr>
          <w:p>
            <w:r/>
            <w:r>
              <w:rPr>
                <w:sz w:val="18"/>
              </w:rPr>
              <w:t>Static</w:t>
            </w:r>
          </w:p>
        </w:tc>
        <w:tc>
          <w:tcPr>
            <w:tcW w:type="dxa" w:w="1526"/>
          </w:tcPr>
          <w:p>
            <w:r/>
            <w:r>
              <w:rPr>
                <w:sz w:val="18"/>
              </w:rPr>
              <w:t>Design v2 review — uniqueness audit (v1.2 draft 2)</w:t>
            </w:r>
          </w:p>
        </w:tc>
      </w:tr>
    </w:tbl>
    <w:p>
      <w:pPr>
        <w:pStyle w:val="Heading1"/>
        <w:spacing w:after="150" w:before="300"/>
      </w:pPr>
      <w:r>
        <w:t xml:space="preserve">D. Class Enrollment (Registration &amp; Cancellation)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BR-16</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may register for a class session only while their selected MemberPackage is Active and has a remaining session/time balance.</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BR-01</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BR-17</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or Receptionist may cancel a class registration only up to X hours (e.g., 2 hours) before the session's scheduled start time, to avoid a fee or lost session.</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BR-02</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BR-18</w:t>
            </w:r>
          </w:p>
        </w:tc>
        <w:tc>
          <w:tcPr>
            <w:tcW w:type="dxa" w:w="4200"/>
            <w:tcMar>
              <w:top w:type="dxa" w:w="80"/>
              <w:left w:type="dxa" w:w="100"/>
              <w:bottom w:type="dxa" w:w="80"/>
              <w:right w:type="dxa" w:w="100"/>
            </w:tcMar>
            <w:vAlign w:val="center"/>
          </w:tcPr>
          <w:p>
            <w:pPr>
              <w:jc w:val="left"/>
            </w:pPr>
            <w:r>
              <w:rPr>
                <w:b w:val="false"/>
                <w:bCs w:val="false"/>
                <w:sz w:val="18"/>
                <w:szCs w:val="18"/>
              </w:rPr>
              <w:t xml:space="preserve">Cancelling a registration within the allowed window (BR-17) returns the consumed session/credit to the Member's package balance; cancelling after the deadline does not.</w:t>
            </w:r>
          </w:p>
        </w:tc>
        <w:tc>
          <w:tcPr>
            <w:tcW w:type="dxa" w:w="1300"/>
            <w:tcMar>
              <w:top w:type="dxa" w:w="80"/>
              <w:left w:type="dxa" w:w="100"/>
              <w:bottom w:type="dxa" w:w="80"/>
              <w:right w:type="dxa" w:w="100"/>
            </w:tcMar>
            <w:vAlign w:val="center"/>
          </w:tcPr>
          <w:p>
            <w:pPr>
              <w:jc w:val="left"/>
            </w:pPr>
            <w:r>
              <w:rPr>
                <w:b w:val="false"/>
                <w:bCs w:val="false"/>
                <w:sz w:val="18"/>
                <w:szCs w:val="18"/>
              </w:rPr>
              <w:t xml:space="preserve">Action Enabler</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from Original BR-02</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BR-19</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may hold at most one active registration per class session; duplicate enrollment in the same session is not permitted.</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BR-50</w:t>
            </w:r>
          </w:p>
        </w:tc>
        <w:tc>
          <w:tcPr>
            <w:tcW w:type="dxa" w:w="4200"/>
            <w:tcMar>
              <w:top w:type="dxa" w:w="80"/>
              <w:left w:type="dxa" w:w="100"/>
              <w:bottom w:type="dxa" w:w="80"/>
              <w:right w:type="dxa" w:w="100"/>
            </w:tcMar>
            <w:vAlign w:val="center"/>
          </w:tcPr>
          <w:p>
            <w:pPr>
              <w:jc w:val="left"/>
            </w:pPr>
            <w:r>
              <w:rPr>
                <w:b w:val="false"/>
                <w:bCs w:val="false"/>
                <w:sz w:val="18"/>
                <w:szCs w:val="18"/>
              </w:rPr>
              <w:t xml:space="preserve">The class-cancellation deadline referenced in BR-17 (X hours) is a configurable system setting maintained by the Center Manager, not a hardcoded value. The effective deadline applied at cancellation time is the one in effect at that moment.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missing constraint (v1.2)</w:t>
            </w:r>
          </w:p>
        </w:tc>
      </w:tr>
    </w:tbl>
    <w:p>
      <w:pPr>
        <w:pStyle w:val="Heading1"/>
        <w:spacing w:after="150" w:before="300"/>
      </w:pPr>
      <w:r>
        <w:t xml:space="preserve">E.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BR-20</w:t>
            </w:r>
          </w:p>
        </w:tc>
        <w:tc>
          <w:tcPr>
            <w:tcW w:type="dxa" w:w="4200"/>
            <w:tcMar>
              <w:top w:type="dxa" w:w="80"/>
              <w:left w:type="dxa" w:w="100"/>
              <w:bottom w:type="dxa" w:w="80"/>
              <w:right w:type="dxa" w:w="100"/>
            </w:tcMar>
            <w:vAlign w:val="center"/>
          </w:tcPr>
          <w:p>
            <w:pPr>
              <w:jc w:val="left"/>
            </w:pPr>
            <w:r>
              <w:rPr>
                <w:b w:val="false"/>
                <w:bCs w:val="false"/>
                <w:sz w:val="18"/>
                <w:szCs w:val="18"/>
              </w:rPr>
              <w:t xml:space="preserve">Attendance is tracked per class session. If a Member neither attends nor cancels before the deadline in BR-17, the system automatically records the session as "No-show."</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BR-03</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BR-21</w:t>
            </w:r>
          </w:p>
        </w:tc>
        <w:tc>
          <w:tcPr>
            <w:tcW w:type="dxa" w:w="4200"/>
            <w:tcMar>
              <w:top w:type="dxa" w:w="80"/>
              <w:left w:type="dxa" w:w="100"/>
              <w:bottom w:type="dxa" w:w="80"/>
              <w:right w:type="dxa" w:w="100"/>
            </w:tcMar>
            <w:vAlign w:val="center"/>
          </w:tcPr>
          <w:p>
            <w:pPr>
              <w:jc w:val="left"/>
            </w:pPr>
            <w:r>
              <w:rPr>
                <w:b w:val="false"/>
                <w:bCs w:val="false"/>
                <w:sz w:val="18"/>
                <w:szCs w:val="18"/>
              </w:rPr>
              <w:t xml:space="preserve">A session's attendance status must be one of Present, Absent, or No-show.</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BR-22</w:t>
            </w:r>
          </w:p>
        </w:tc>
        <w:tc>
          <w:tcPr>
            <w:tcW w:type="dxa" w:w="4200"/>
            <w:tcMar>
              <w:top w:type="dxa" w:w="80"/>
              <w:left w:type="dxa" w:w="100"/>
              <w:bottom w:type="dxa" w:w="80"/>
              <w:right w:type="dxa" w:w="100"/>
            </w:tcMar>
            <w:vAlign w:val="center"/>
          </w:tcPr>
          <w:p>
            <w:pPr>
              <w:jc w:val="left"/>
            </w:pPr>
            <w:r>
              <w:rPr>
                <w:b w:val="false"/>
                <w:bCs w:val="false"/>
                <w:sz w:val="18"/>
                <w:szCs w:val="18"/>
              </w:rPr>
              <w:t xml:space="preserve">Attendance may be marked only by the Coach assigned to that class session or by a Receptionist performing front-desk check-in.</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Coach / Receptionist</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BR-53</w:t>
            </w:r>
          </w:p>
        </w:tc>
        <w:tc>
          <w:tcPr>
            <w:tcW w:type="dxa" w:w="4200"/>
            <w:tcMar>
              <w:top w:type="dxa" w:w="80"/>
              <w:left w:type="dxa" w:w="100"/>
              <w:bottom w:type="dxa" w:w="80"/>
              <w:right w:type="dxa" w:w="100"/>
            </w:tcMar>
            <w:vAlign w:val="center"/>
          </w:tcPr>
          <w:p>
            <w:pPr>
              <w:jc w:val="left"/>
            </w:pPr>
            <w:r>
              <w:rPr>
                <w:b w:val="false"/>
                <w:bCs w:val="false"/>
                <w:sz w:val="18"/>
                <w:szCs w:val="18"/>
              </w:rPr>
              <w:t xml:space="preserve">An Attendance record is set to Absent only via a manual entry by the Coach or Receptionist (e.g., an excused absence); it is set to No-show only by the automated end-of-session process when a Confirmed enrollment has neither a check-in nor an on-time cancellation.</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extends BR-20/BR-21 (v1.2)</w:t>
            </w:r>
          </w:p>
        </w:tc>
      </w:tr>
    </w:tbl>
    <w:p>
      <w:pPr>
        <w:pStyle w:val="Heading1"/>
        <w:spacing w:after="150" w:before="300"/>
      </w:pPr>
      <w:r>
        <w:t xml:space="preserve">F. Coach &amp; Workout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BR-23</w:t>
            </w:r>
          </w:p>
        </w:tc>
        <w:tc>
          <w:tcPr>
            <w:tcW w:type="dxa" w:w="4200"/>
            <w:tcMar>
              <w:top w:type="dxa" w:w="80"/>
              <w:left w:type="dxa" w:w="100"/>
              <w:bottom w:type="dxa" w:w="80"/>
              <w:right w:type="dxa" w:w="100"/>
            </w:tcMar>
            <w:vAlign w:val="center"/>
          </w:tcPr>
          <w:p>
            <w:pPr>
              <w:jc w:val="left"/>
            </w:pPr>
            <w:r>
              <w:rPr>
                <w:b w:val="false"/>
                <w:bCs w:val="false"/>
                <w:sz w:val="18"/>
                <w:szCs w:val="18"/>
              </w:rPr>
              <w:t xml:space="preserve">A Workout Plan for a class may be created only by the Coach assigned to that class; a personal plan may be created by any Coach with an active training relationship with the Member.</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Coach — "Tạo kế hoạch tập luyện"</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BR-24</w:t>
            </w:r>
          </w:p>
        </w:tc>
        <w:tc>
          <w:tcPr>
            <w:tcW w:type="dxa" w:w="4200"/>
            <w:tcMar>
              <w:top w:type="dxa" w:w="80"/>
              <w:left w:type="dxa" w:w="100"/>
              <w:bottom w:type="dxa" w:w="80"/>
              <w:right w:type="dxa" w:w="100"/>
            </w:tcMar>
            <w:vAlign w:val="center"/>
          </w:tcPr>
          <w:p>
            <w:pPr>
              <w:jc w:val="left"/>
            </w:pPr>
            <w:r>
              <w:rPr>
                <w:b w:val="false"/>
                <w:bCs w:val="false"/>
                <w:sz w:val="18"/>
                <w:szCs w:val="18"/>
              </w:rPr>
              <w:t xml:space="preserve">A Workout Result or progress comment may be recorded only for a session the recording Coach actually taught.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BR-25</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can view their own Workout Plans, Workout Results, and Coach comments, but cannot edit them.</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Member</w:t>
            </w:r>
          </w:p>
        </w:tc>
      </w:tr>
      <w:tr>
        <w:tc>
          <w:tcPr>
            <w:tcW w:type="dxa" w:w="700"/>
          </w:tcPr>
          <w:p>
            <w:r>
              <w:rPr>
                <w:b w:val="0"/>
                <w:sz w:val="18"/>
              </w:rPr>
              <w:t>BR-61</w:t>
            </w:r>
          </w:p>
        </w:tc>
        <w:tc>
          <w:tcPr>
            <w:tcW w:type="dxa" w:w="4200"/>
          </w:tcPr>
          <w:p>
            <w:r>
              <w:rPr>
                <w:b w:val="0"/>
                <w:sz w:val="18"/>
              </w:rPr>
              <w:t>A Workout Result may be recorded only against an Enrollment whose status is Confirmed at the time of recording, ensuring a result can only exist for a Member who genuinely registered for that class session (extends BR-24).</w:t>
            </w:r>
          </w:p>
        </w:tc>
        <w:tc>
          <w:tcPr>
            <w:tcW w:type="dxa" w:w="1300"/>
          </w:tcPr>
          <w:p>
            <w:r>
              <w:rPr>
                <w:b w:val="0"/>
                <w:sz w:val="18"/>
              </w:rPr>
              <w:t>Constraint</w:t>
            </w:r>
          </w:p>
        </w:tc>
        <w:tc>
          <w:tcPr>
            <w:tcW w:type="dxa" w:w="1300"/>
          </w:tcPr>
          <w:p>
            <w:r>
              <w:rPr>
                <w:b w:val="0"/>
                <w:sz w:val="18"/>
              </w:rPr>
              <w:t>Dynamic</w:t>
            </w:r>
          </w:p>
        </w:tc>
        <w:tc>
          <w:tcPr>
            <w:tcW w:type="dxa" w:w="1526"/>
          </w:tcPr>
          <w:p>
            <w:r>
              <w:rPr>
                <w:b w:val="0"/>
                <w:sz w:val="18"/>
              </w:rPr>
              <w:t>Design v2 review — Attendance/WorkoutResult normalization (v1.2 draft 3, added 10/09/2026)</w:t>
            </w:r>
          </w:p>
        </w:tc>
      </w:tr>
    </w:tbl>
    <w:p>
      <w:pPr>
        <w:pStyle w:val="Heading1"/>
        <w:spacing w:after="150" w:before="300"/>
      </w:pPr>
      <w:r>
        <w:t xml:space="preserve">G. AI Integration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BR-26</w:t>
            </w:r>
          </w:p>
        </w:tc>
        <w:tc>
          <w:tcPr>
            <w:tcW w:type="dxa" w:w="4200"/>
            <w:tcMar>
              <w:top w:type="dxa" w:w="80"/>
              <w:left w:type="dxa" w:w="100"/>
              <w:bottom w:type="dxa" w:w="80"/>
              <w:right w:type="dxa" w:w="100"/>
            </w:tcMar>
            <w:vAlign w:val="center"/>
          </w:tcPr>
          <w:p>
            <w:pPr>
              <w:jc w:val="left"/>
            </w:pPr>
            <w:r>
              <w:rPr>
                <w:b w:val="false"/>
                <w:bCs w:val="false"/>
                <w:sz w:val="18"/>
                <w:szCs w:val="18"/>
              </w:rPr>
              <w:t xml:space="preserve">An AI workout suggestion for a Coach must be computed from at least three required inputs: (1) the Member's personal goal, (2) current skill level, and (3) training history covering at least the last 30 days.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BR-04</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BR-27</w:t>
            </w:r>
          </w:p>
        </w:tc>
        <w:tc>
          <w:tcPr>
            <w:tcW w:type="dxa" w:w="4200"/>
            <w:tcMar>
              <w:top w:type="dxa" w:w="80"/>
              <w:left w:type="dxa" w:w="100"/>
              <w:bottom w:type="dxa" w:w="80"/>
              <w:right w:type="dxa" w:w="100"/>
            </w:tcMar>
            <w:vAlign w:val="center"/>
          </w:tcPr>
          <w:p>
            <w:pPr>
              <w:jc w:val="left"/>
            </w:pPr>
            <w:r>
              <w:rPr>
                <w:b w:val="false"/>
                <w:bCs w:val="false"/>
                <w:sz w:val="18"/>
                <w:szCs w:val="18"/>
              </w:rPr>
              <w:t xml:space="preserve">Every AI request (workout suggestion; chat only if Flow 6 is implemented) and its response is logged in AI_Logs with input payload, response payload, and response time, for audit and quality review.</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NFR-02</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BR-28</w:t>
            </w:r>
          </w:p>
        </w:tc>
        <w:tc>
          <w:tcPr>
            <w:tcW w:type="dxa" w:w="4200"/>
            <w:tcMar>
              <w:top w:type="dxa" w:w="80"/>
              <w:left w:type="dxa" w:w="100"/>
              <w:bottom w:type="dxa" w:w="80"/>
              <w:right w:type="dxa" w:w="100"/>
            </w:tcMar>
            <w:vAlign w:val="center"/>
          </w:tcPr>
          <w:p>
            <w:pPr>
              <w:jc w:val="left"/>
            </w:pPr>
            <w:r>
              <w:rPr>
                <w:b w:val="false"/>
                <w:bCs w:val="false"/>
                <w:sz w:val="18"/>
                <w:szCs w:val="18"/>
              </w:rPr>
              <w:t xml:space="preserve">[Flow 6 — Stretch, build only if time permits] An AI Chatbot response to a Member query must be returned within 3 seconds.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NFR-01 Performance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BR-29</w:t>
            </w:r>
          </w:p>
        </w:tc>
        <w:tc>
          <w:tcPr>
            <w:tcW w:type="dxa" w:w="4200"/>
            <w:tcMar>
              <w:top w:type="dxa" w:w="80"/>
              <w:left w:type="dxa" w:w="100"/>
              <w:bottom w:type="dxa" w:w="80"/>
              <w:right w:type="dxa" w:w="100"/>
            </w:tcMar>
            <w:vAlign w:val="center"/>
          </w:tcPr>
          <w:p>
            <w:pPr>
              <w:jc w:val="left"/>
            </w:pPr>
            <w:r>
              <w:rPr>
                <w:b w:val="false"/>
                <w:bCs w:val="false"/>
                <w:sz w:val="18"/>
                <w:szCs w:val="18"/>
              </w:rPr>
              <w:t xml:space="preserve">[Flow 6 — Stretch, build only if time permits] The AI system may answer Member queries only about schedule, workouts, or center services; it must not provide medical, legal, or financial advice.</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 safety scope limitation</w:t>
            </w:r>
          </w:p>
        </w:tc>
      </w:tr>
    </w:tbl>
    <w:p>
      <w:pPr>
        <w:pStyle w:val="Heading1"/>
        <w:spacing w:after="150" w:before="300"/>
      </w:pPr>
      <w:r>
        <w:t xml:space="preserve">H. Payment &amp; Invoice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BR-30</w:t>
            </w:r>
          </w:p>
        </w:tc>
        <w:tc>
          <w:tcPr>
            <w:tcW w:type="dxa" w:w="4200"/>
            <w:tcMar>
              <w:top w:type="dxa" w:w="80"/>
              <w:left w:type="dxa" w:w="100"/>
              <w:bottom w:type="dxa" w:w="80"/>
              <w:right w:type="dxa" w:w="100"/>
            </w:tcMar>
            <w:vAlign w:val="center"/>
          </w:tcPr>
          <w:p>
            <w:pPr>
              <w:jc w:val="left"/>
            </w:pPr>
            <w:r>
              <w:rPr>
                <w:b w:val="false"/>
                <w:bCs w:val="false"/>
                <w:sz w:val="18"/>
                <w:szCs w:val="18"/>
              </w:rPr>
              <w:t xml:space="preserve">An Invoice (with its InvoiceItems) is created immediately when a Member or Receptionist selects a MembershipPackage — before any payment is collected. Each Payment subsequently recorded against that Invoice updates the Invoice's status, and the linked MemberPackage transitions to Active only once the Invoice is fully paid.</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BR-05; revised v1.2 — Design v2 review (invoice-timing reconciliation)</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BR-31</w:t>
            </w:r>
          </w:p>
        </w:tc>
        <w:tc>
          <w:tcPr>
            <w:tcW w:type="dxa" w:w="4200"/>
            <w:tcMar>
              <w:top w:type="dxa" w:w="80"/>
              <w:left w:type="dxa" w:w="100"/>
              <w:bottom w:type="dxa" w:w="80"/>
              <w:right w:type="dxa" w:w="100"/>
            </w:tcMar>
            <w:vAlign w:val="center"/>
          </w:tcPr>
          <w:p>
            <w:pPr>
              <w:jc w:val="left"/>
            </w:pPr>
            <w:r>
              <w:rPr>
                <w:b w:val="false"/>
                <w:bCs w:val="false"/>
                <w:sz w:val="18"/>
                <w:szCs w:val="18"/>
              </w:rPr>
              <w:t xml:space="preserve">Once issued, an Invoice cannot be deleted; a correction requires a linked adjustment or refund record.</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BR-32</w:t>
            </w:r>
          </w:p>
        </w:tc>
        <w:tc>
          <w:tcPr>
            <w:tcW w:type="dxa" w:w="4200"/>
            <w:tcMar>
              <w:top w:type="dxa" w:w="80"/>
              <w:left w:type="dxa" w:w="100"/>
              <w:bottom w:type="dxa" w:w="80"/>
              <w:right w:type="dxa" w:w="100"/>
            </w:tcMar>
            <w:vAlign w:val="center"/>
          </w:tcPr>
          <w:p>
            <w:pPr>
              <w:jc w:val="left"/>
            </w:pPr>
            <w:r>
              <w:rPr>
                <w:b w:val="false"/>
                <w:bCs w:val="false"/>
                <w:sz w:val="18"/>
                <w:szCs w:val="18"/>
              </w:rPr>
              <w:t xml:space="preserve">Only the Center Manager may view or export center-wide revenue and financial reports.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BR-06</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BR-40</w:t>
            </w:r>
          </w:p>
        </w:tc>
        <w:tc>
          <w:tcPr>
            <w:tcW w:type="dxa" w:w="4200"/>
            <w:tcMar>
              <w:top w:type="dxa" w:w="80"/>
              <w:left w:type="dxa" w:w="100"/>
              <w:bottom w:type="dxa" w:w="80"/>
              <w:right w:type="dxa" w:w="100"/>
            </w:tcMar>
            <w:vAlign w:val="center"/>
          </w:tcPr>
          <w:p>
            <w:pPr>
              <w:jc w:val="left"/>
            </w:pPr>
            <w:r>
              <w:rPr>
                <w:b w:val="false"/>
                <w:bCs w:val="false"/>
                <w:sz w:val="18"/>
                <w:szCs w:val="18"/>
              </w:rPr>
              <w:t xml:space="preserve">An Invoice is never deleted from the system; any correction must be handled through a PaymentAdjustment (refund or correction) that references the original Invoice/Payment.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Payment flow gap</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BR-41</w:t>
            </w:r>
          </w:p>
        </w:tc>
        <w:tc>
          <w:tcPr>
            <w:tcW w:type="dxa" w:w="4200"/>
            <w:tcMar>
              <w:top w:type="dxa" w:w="80"/>
              <w:left w:type="dxa" w:w="100"/>
              <w:bottom w:type="dxa" w:w="80"/>
              <w:right w:type="dxa" w:w="100"/>
            </w:tcMar>
            <w:vAlign w:val="center"/>
          </w:tcPr>
          <w:p>
            <w:pPr>
              <w:jc w:val="left"/>
            </w:pPr>
            <w:r>
              <w:rPr>
                <w:b w:val="false"/>
                <w:bCs w:val="false"/>
                <w:sz w:val="18"/>
                <w:szCs w:val="18"/>
              </w:rPr>
              <w:t xml:space="preserve">A Payment must always be linked to exactly one Invoice; the sum of SUCCESS Payments on an Invoice must never exceed its TotalAmount after subtracting any COMPLETED adjustments.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Payment flow gap</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BR-42</w:t>
            </w:r>
          </w:p>
        </w:tc>
        <w:tc>
          <w:tcPr>
            <w:tcW w:type="dxa" w:w="4200"/>
            <w:tcMar>
              <w:top w:type="dxa" w:w="80"/>
              <w:left w:type="dxa" w:w="100"/>
              <w:bottom w:type="dxa" w:w="80"/>
              <w:right w:type="dxa" w:w="100"/>
            </w:tcMar>
            <w:vAlign w:val="center"/>
          </w:tcPr>
          <w:p>
            <w:pPr>
              <w:jc w:val="left"/>
            </w:pPr>
            <w:r>
              <w:rPr>
                <w:b w:val="false"/>
                <w:bCs w:val="false"/>
                <w:sz w:val="18"/>
                <w:szCs w:val="18"/>
              </w:rPr>
              <w:t xml:space="preserve">A PaymentAdjustment (refund/correction) request created by a Receptionist must be approved by the Center Manager before taking effect; a Receptionist may not approve their own request.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Payment flow gap</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BR-43</w:t>
            </w:r>
          </w:p>
        </w:tc>
        <w:tc>
          <w:tcPr>
            <w:tcW w:type="dxa" w:w="4200"/>
            <w:tcMar>
              <w:top w:type="dxa" w:w="80"/>
              <w:left w:type="dxa" w:w="100"/>
              <w:bottom w:type="dxa" w:w="80"/>
              <w:right w:type="dxa" w:w="100"/>
            </w:tcMar>
            <w:vAlign w:val="center"/>
          </w:tcPr>
          <w:p>
            <w:pPr>
              <w:jc w:val="left"/>
            </w:pPr>
            <w:r>
              <w:rPr>
                <w:b w:val="false"/>
                <w:bCs w:val="false"/>
                <w:sz w:val="18"/>
                <w:szCs w:val="18"/>
              </w:rPr>
              <w:t xml:space="preserve">The revenue report (/reports/revenue) is accessible only to the Center Manager, and its figures must subtract any adjustments completed within the reporting period.</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Payment flow gap</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BR-52</w:t>
            </w:r>
          </w:p>
        </w:tc>
        <w:tc>
          <w:tcPr>
            <w:tcW w:type="dxa" w:w="4200"/>
            <w:tcMar>
              <w:top w:type="dxa" w:w="80"/>
              <w:left w:type="dxa" w:w="100"/>
              <w:bottom w:type="dxa" w:w="80"/>
              <w:right w:type="dxa" w:w="100"/>
            </w:tcMar>
            <w:vAlign w:val="center"/>
          </w:tcPr>
          <w:p>
            <w:pPr>
              <w:jc w:val="left"/>
            </w:pPr>
            <w:r>
              <w:rPr>
                <w:b w:val="false"/>
                <w:bCs w:val="false"/>
                <w:sz w:val="18"/>
                <w:szCs w:val="18"/>
              </w:rPr>
              <w:t xml:space="preserve">When a PaymentAdjustment of type REFUND is requested, its default Amount is computed as a pro-rated share of the Invoice's TotalAmount — proportional to the MemberPackage's unused RemainingSessions for session-limited packages, or unused remaining days for duration-based packages. The Center Manager may override this default amount when approving.</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extends BR-42 (v1.2)</w:t>
            </w:r>
          </w:p>
        </w:tc>
      </w:tr>
      <w:tr>
        <w:tc>
          <w:tcPr>
            <w:tcW w:type="dxa" w:w="700"/>
          </w:tcPr>
          <w:p>
            <w:r/>
            <w:r>
              <w:rPr>
                <w:sz w:val="18"/>
              </w:rPr>
              <w:t>BR-58</w:t>
            </w:r>
          </w:p>
        </w:tc>
        <w:tc>
          <w:tcPr>
            <w:tcW w:type="dxa" w:w="4200"/>
          </w:tcPr>
          <w:p>
            <w:r/>
            <w:r>
              <w:rPr>
                <w:sz w:val="18"/>
              </w:rPr>
              <w:t>Every Invoice has a globally unique, human-readable InvoiceNumber generated from a DB sequence (never randomly assigned at the app layer), guaranteeing no duplicate invoice numbers even when two invoices are created concurrently.</w:t>
            </w:r>
          </w:p>
        </w:tc>
        <w:tc>
          <w:tcPr>
            <w:tcW w:type="dxa" w:w="1300"/>
          </w:tcPr>
          <w:p>
            <w:r/>
            <w:r>
              <w:rPr>
                <w:sz w:val="18"/>
              </w:rPr>
              <w:t>Constraint</w:t>
            </w:r>
          </w:p>
        </w:tc>
        <w:tc>
          <w:tcPr>
            <w:tcW w:type="dxa" w:w="1300"/>
          </w:tcPr>
          <w:p>
            <w:r/>
            <w:r>
              <w:rPr>
                <w:sz w:val="18"/>
              </w:rPr>
              <w:t>Static</w:t>
            </w:r>
          </w:p>
        </w:tc>
        <w:tc>
          <w:tcPr>
            <w:tcW w:type="dxa" w:w="1526"/>
          </w:tcPr>
          <w:p>
            <w:r/>
            <w:r>
              <w:rPr>
                <w:sz w:val="18"/>
              </w:rPr>
              <w:t>Design v2 review — uniqueness audit (v1.2 draft 2); formalizes Design v2 §3 constraint #5</w:t>
            </w:r>
          </w:p>
        </w:tc>
      </w:tr>
    </w:tbl>
    <w:p>
      <w:pPr>
        <w:pStyle w:val="Heading1"/>
        <w:spacing w:after="150" w:before="300"/>
      </w:pPr>
      <w:r>
        <w:t xml:space="preserve">K. Reporting &amp; Export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BR-44</w:t>
            </w:r>
          </w:p>
        </w:tc>
        <w:tc>
          <w:tcPr>
            <w:tcW w:type="dxa" w:w="4200"/>
            <w:tcMar>
              <w:top w:type="dxa" w:w="80"/>
              <w:left w:type="dxa" w:w="100"/>
              <w:bottom w:type="dxa" w:w="80"/>
              <w:right w:type="dxa" w:w="100"/>
            </w:tcMar>
            <w:vAlign w:val="center"/>
          </w:tcPr>
          <w:p>
            <w:pPr>
              <w:jc w:val="left"/>
            </w:pPr>
            <w:r>
              <w:rPr>
                <w:b w:val="false"/>
                <w:bCs w:val="false"/>
                <w:sz w:val="18"/>
                <w:szCs w:val="18"/>
              </w:rPr>
              <w:t xml:space="preserve">A generated report or export must contain only the fields the Center Manager explicitly selected before export (e.g., revenue breakdown, membership summary columns).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Payment/Report flow gap</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BR-45</w:t>
            </w:r>
          </w:p>
        </w:tc>
        <w:tc>
          <w:tcPr>
            <w:tcW w:type="dxa" w:w="4200"/>
            <w:tcMar>
              <w:top w:type="dxa" w:w="80"/>
              <w:left w:type="dxa" w:w="100"/>
              <w:bottom w:type="dxa" w:w="80"/>
              <w:right w:type="dxa" w:w="100"/>
            </w:tcMar>
            <w:vAlign w:val="center"/>
          </w:tcPr>
          <w:p>
            <w:pPr>
              <w:jc w:val="left"/>
            </w:pPr>
            <w:r>
              <w:rPr>
                <w:b w:val="false"/>
                <w:bCs w:val="false"/>
                <w:sz w:val="18"/>
                <w:szCs w:val="18"/>
              </w:rPr>
              <w:t xml:space="preserve">A user may view or download only the reports/exports they personally generated; the Center Manager may access all generated reports.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BR-46</w:t>
            </w:r>
          </w:p>
        </w:tc>
        <w:tc>
          <w:tcPr>
            <w:tcW w:type="dxa" w:w="4200"/>
            <w:tcMar>
              <w:top w:type="dxa" w:w="80"/>
              <w:left w:type="dxa" w:w="100"/>
              <w:bottom w:type="dxa" w:w="80"/>
              <w:right w:type="dxa" w:w="100"/>
            </w:tcMar>
            <w:vAlign w:val="center"/>
          </w:tcPr>
          <w:p>
            <w:pPr>
              <w:jc w:val="left"/>
            </w:pPr>
            <w:r>
              <w:rPr>
                <w:b w:val="false"/>
                <w:bCs w:val="false"/>
                <w:sz w:val="18"/>
                <w:szCs w:val="18"/>
              </w:rPr>
              <w:t xml:space="preserve">A generated report/export is retained for at least 6 months, after which it may be archived or deleted.</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BR-47</w:t>
            </w:r>
          </w:p>
        </w:tc>
        <w:tc>
          <w:tcPr>
            <w:tcW w:type="dxa" w:w="4200"/>
            <w:tcMar>
              <w:top w:type="dxa" w:w="80"/>
              <w:left w:type="dxa" w:w="100"/>
              <w:bottom w:type="dxa" w:w="80"/>
              <w:right w:type="dxa" w:w="100"/>
            </w:tcMar>
            <w:vAlign w:val="center"/>
          </w:tcPr>
          <w:p>
            <w:pPr>
              <w:jc w:val="left"/>
            </w:pPr>
            <w:r>
              <w:rPr>
                <w:b w:val="false"/>
                <w:bCs w:val="false"/>
                <w:sz w:val="18"/>
                <w:szCs w:val="18"/>
              </w:rPr>
              <w:t xml:space="preserve">When a generated report/export is deleted, it is removed from the report list and can no longer be accessed via its previous link.</w:t>
            </w:r>
          </w:p>
        </w:tc>
        <w:tc>
          <w:tcPr>
            <w:tcW w:type="dxa" w:w="1300"/>
            <w:tcMar>
              <w:top w:type="dxa" w:w="80"/>
              <w:left w:type="dxa" w:w="100"/>
              <w:bottom w:type="dxa" w:w="80"/>
              <w:right w:type="dxa" w:w="100"/>
            </w:tcMar>
            <w:vAlign w:val="center"/>
          </w:tcPr>
          <w:p>
            <w:pPr>
              <w:jc w:val="left"/>
            </w:pPr>
            <w:r>
              <w:rPr>
                <w:b w:val="false"/>
                <w:bCs w:val="false"/>
                <w:sz w:val="18"/>
                <w:szCs w:val="18"/>
              </w:rPr>
              <w:t xml:space="preserve">Action Enabler</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BR-48</w:t>
            </w:r>
          </w:p>
        </w:tc>
        <w:tc>
          <w:tcPr>
            <w:tcW w:type="dxa" w:w="4200"/>
            <w:tcMar>
              <w:top w:type="dxa" w:w="80"/>
              <w:left w:type="dxa" w:w="100"/>
              <w:bottom w:type="dxa" w:w="80"/>
              <w:right w:type="dxa" w:w="100"/>
            </w:tcMar>
            <w:vAlign w:val="center"/>
          </w:tcPr>
          <w:p>
            <w:pPr>
              <w:jc w:val="left"/>
            </w:pPr>
            <w:r>
              <w:rPr>
                <w:b w:val="false"/>
                <w:bCs w:val="false"/>
                <w:sz w:val="18"/>
                <w:szCs w:val="18"/>
              </w:rPr>
              <w:t xml:space="preserve">A PDF report of up to 20 pages must be generated within 15 seconds. If generation is interrupted (e.g., network loss), the system records a FAILED status and allows the user to retry generating the report later.</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Design v2 review — referenced by API /reports/export</w:t>
            </w:r>
          </w:p>
        </w:tc>
      </w:tr>
    </w:tbl>
    <w:p>
      <w:pPr>
        <w:pStyle w:val="Heading1"/>
        <w:spacing w:after="150" w:before="300"/>
      </w:pPr>
      <w:r>
        <w:t xml:space="preserve">I. Notification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BR-33</w:t>
            </w:r>
          </w:p>
        </w:tc>
        <w:tc>
          <w:tcPr>
            <w:tcW w:type="dxa" w:w="4200"/>
            <w:tcMar>
              <w:top w:type="dxa" w:w="80"/>
              <w:left w:type="dxa" w:w="100"/>
              <w:bottom w:type="dxa" w:w="80"/>
              <w:right w:type="dxa" w:w="100"/>
            </w:tcMar>
            <w:vAlign w:val="center"/>
          </w:tcPr>
          <w:p>
            <w:pPr>
              <w:jc w:val="left"/>
            </w:pPr>
            <w:r>
              <w:rPr>
                <w:b w:val="false"/>
                <w:bCs w:val="false"/>
                <w:sz w:val="18"/>
                <w:szCs w:val="18"/>
              </w:rPr>
              <w:t xml:space="preserve">A Member receives a notification whenever their class schedule changes, a session is cancelled by the center, or their package is nearing expiration (e.g., within 7 days).</w:t>
            </w:r>
          </w:p>
        </w:tc>
        <w:tc>
          <w:tcPr>
            <w:tcW w:type="dxa" w:w="1300"/>
            <w:tcMar>
              <w:top w:type="dxa" w:w="80"/>
              <w:left w:type="dxa" w:w="100"/>
              <w:bottom w:type="dxa" w:w="80"/>
              <w:right w:type="dxa" w:w="100"/>
            </w:tcMar>
            <w:vAlign w:val="center"/>
          </w:tcPr>
          <w:p>
            <w:pPr>
              <w:jc w:val="left"/>
            </w:pPr>
            <w:r>
              <w:rPr>
                <w:b w:val="false"/>
                <w:bCs w:val="false"/>
                <w:sz w:val="18"/>
                <w:szCs w:val="18"/>
              </w:rPr>
              <w:t xml:space="preserve">Action Enabler</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Actor Spec: Member — "Nhận thông báo"</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BR-34</w:t>
            </w:r>
          </w:p>
        </w:tc>
        <w:tc>
          <w:tcPr>
            <w:tcW w:type="dxa" w:w="4200"/>
            <w:tcMar>
              <w:top w:type="dxa" w:w="80"/>
              <w:left w:type="dxa" w:w="100"/>
              <w:bottom w:type="dxa" w:w="80"/>
              <w:right w:type="dxa" w:w="100"/>
            </w:tcMar>
            <w:vAlign w:val="center"/>
          </w:tcPr>
          <w:p>
            <w:pPr>
              <w:jc w:val="left"/>
            </w:pPr>
            <w:r>
              <w:rPr>
                <w:b w:val="false"/>
                <w:bCs w:val="false"/>
                <w:sz w:val="18"/>
                <w:szCs w:val="18"/>
              </w:rPr>
              <w:t xml:space="preserve">Notifications are delivered asynchronously so that a delivery failure never blocks the originating action (e.g., a class cancellation). At MVP scale this is implemented via a background job / outbox table within the same database transaction; a dedicated message queue (e.g., RabbitMQ) is introduced only when notification volume or retry complexity requires it.</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Derived — architecture design; revised v1.2 — Design v2 review, MVP scope (Section 6)</w:t>
            </w:r>
          </w:p>
        </w:tc>
      </w:tr>
    </w:tbl>
    <w:p>
      <w:pPr>
        <w:pStyle w:val="Heading1"/>
        <w:spacing w:after="150" w:before="300"/>
      </w:pPr>
      <w:r>
        <w:t xml:space="preserve">J. System Quality &amp; Administration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26"/>
      </w:tblGrid>
      <w:tr>
        <w:trPr>
          <w:tblHeader/>
        </w:trPr>
        <w:tc>
          <w:tcPr>
            <w:tcW w:type="dxa" w:w="700"/>
            <w:shd w:fill="D9E2F3" w:color="auto" w:val="clear"/>
            <w:tcMar>
              <w:top w:type="dxa" w:w="80"/>
              <w:left w:type="dxa" w:w="100"/>
              <w:bottom w:type="dxa" w:w="80"/>
              <w:right w:type="dxa" w:w="100"/>
            </w:tcMar>
            <w:vAlign w:val="center"/>
          </w:tcPr>
          <w:p>
            <w:pPr>
              <w:jc w:val="left"/>
            </w:pPr>
            <w:r>
              <w:rPr>
                <w:b/>
                <w:bCs/>
                <w:sz w:val="18"/>
                <w:szCs w:val="18"/>
              </w:rPr>
              <w:t xml:space="preserve">ID</w:t>
            </w:r>
          </w:p>
        </w:tc>
        <w:tc>
          <w:tcPr>
            <w:tcW w:type="dxa" w:w="4200"/>
            <w:shd w:fill="D9E2F3" w:color="auto" w:val="clear"/>
            <w:tcMar>
              <w:top w:type="dxa" w:w="80"/>
              <w:left w:type="dxa" w:w="100"/>
              <w:bottom w:type="dxa" w:w="80"/>
              <w:right w:type="dxa" w:w="100"/>
            </w:tcMar>
            <w:vAlign w:val="center"/>
          </w:tcPr>
          <w:p>
            <w:pPr>
              <w:jc w:val="left"/>
            </w:pPr>
            <w:r>
              <w:rPr>
                <w:b/>
                <w:bCs/>
                <w:sz w:val="18"/>
                <w:szCs w:val="18"/>
              </w:rPr>
              <w:t xml:space="preserve">Rule Definition</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Type of Rule</w:t>
            </w:r>
          </w:p>
        </w:tc>
        <w:tc>
          <w:tcPr>
            <w:tcW w:type="dxa" w:w="1300"/>
            <w:shd w:fill="D9E2F3" w:color="auto" w:val="clear"/>
            <w:tcMar>
              <w:top w:type="dxa" w:w="80"/>
              <w:left w:type="dxa" w:w="100"/>
              <w:bottom w:type="dxa" w:w="80"/>
              <w:right w:type="dxa" w:w="100"/>
            </w:tcMar>
            <w:vAlign w:val="center"/>
          </w:tcPr>
          <w:p>
            <w:pPr>
              <w:jc w:val="left"/>
            </w:pPr>
            <w:r>
              <w:rPr>
                <w:b/>
                <w:bCs/>
                <w:sz w:val="18"/>
                <w:szCs w:val="18"/>
              </w:rPr>
              <w:t xml:space="preserve">Static or Dynamic</w:t>
            </w:r>
          </w:p>
        </w:tc>
        <w:tc>
          <w:tcPr>
            <w:tcW w:type="dxa" w:w="1526"/>
            <w:shd w:fill="D9E2F3" w:color="auto" w:val="clear"/>
            <w:tcMar>
              <w:top w:type="dxa" w:w="80"/>
              <w:left w:type="dxa" w:w="100"/>
              <w:bottom w:type="dxa" w:w="80"/>
              <w:right w:type="dxa" w:w="100"/>
            </w:tcMar>
            <w:vAlign w:val="center"/>
          </w:tcPr>
          <w:p>
            <w:pPr>
              <w:jc w:val="left"/>
            </w:pPr>
            <w:r>
              <w:rPr>
                <w:b/>
                <w:bCs/>
                <w:sz w:val="18"/>
                <w:szCs w:val="18"/>
              </w:rPr>
              <w:t xml:space="preserve">Source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BR-35</w:t>
            </w:r>
          </w:p>
        </w:tc>
        <w:tc>
          <w:tcPr>
            <w:tcW w:type="dxa" w:w="4200"/>
            <w:tcMar>
              <w:top w:type="dxa" w:w="80"/>
              <w:left w:type="dxa" w:w="100"/>
              <w:bottom w:type="dxa" w:w="80"/>
              <w:right w:type="dxa" w:w="100"/>
            </w:tcMar>
            <w:vAlign w:val="center"/>
          </w:tcPr>
          <w:p>
            <w:pPr>
              <w:jc w:val="left"/>
            </w:pPr>
            <w:r>
              <w:rPr>
                <w:b w:val="false"/>
                <w:bCs w:val="false"/>
                <w:sz w:val="18"/>
                <w:szCs w:val="18"/>
              </w:rPr>
              <w:t xml:space="preserve">Average API response time for standard (non-AI) operations must not exceed 200 ms.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NFR-01 Performance</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BR-36</w:t>
            </w:r>
          </w:p>
        </w:tc>
        <w:tc>
          <w:tcPr>
            <w:tcW w:type="dxa" w:w="4200"/>
            <w:tcMar>
              <w:top w:type="dxa" w:w="80"/>
              <w:left w:type="dxa" w:w="100"/>
              <w:bottom w:type="dxa" w:w="80"/>
              <w:right w:type="dxa" w:w="100"/>
            </w:tcMar>
            <w:vAlign w:val="center"/>
          </w:tcPr>
          <w:p>
            <w:pPr>
              <w:jc w:val="left"/>
            </w:pPr>
            <w:r>
              <w:rPr>
                <w:b w:val="false"/>
                <w:bCs w:val="false"/>
                <w:sz w:val="18"/>
                <w:szCs w:val="18"/>
              </w:rPr>
              <w:t xml:space="preserve">The system must maintain at least 99.9% uptime, excluding announced maintenance windows.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NFR-03 Availability</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BR-37</w:t>
            </w:r>
          </w:p>
        </w:tc>
        <w:tc>
          <w:tcPr>
            <w:tcW w:type="dxa" w:w="4200"/>
            <w:tcMar>
              <w:top w:type="dxa" w:w="80"/>
              <w:left w:type="dxa" w:w="100"/>
              <w:bottom w:type="dxa" w:w="80"/>
              <w:right w:type="dxa" w:w="100"/>
            </w:tcMar>
            <w:vAlign w:val="center"/>
          </w:tcPr>
          <w:p>
            <w:pPr>
              <w:jc w:val="left"/>
            </w:pPr>
            <w:r>
              <w:rPr>
                <w:b w:val="false"/>
                <w:bCs w:val="false"/>
                <w:sz w:val="18"/>
                <w:szCs w:val="18"/>
              </w:rPr>
              <w:t xml:space="preserve">The database is backed up automatically at least once per day.</w:t>
            </w:r>
          </w:p>
        </w:tc>
        <w:tc>
          <w:tcPr>
            <w:tcW w:type="dxa" w:w="1300"/>
            <w:tcMar>
              <w:top w:type="dxa" w:w="80"/>
              <w:left w:type="dxa" w:w="100"/>
              <w:bottom w:type="dxa" w:w="80"/>
              <w:right w:type="dxa" w:w="100"/>
            </w:tcMar>
            <w:vAlign w:val="center"/>
          </w:tcPr>
          <w:p>
            <w:pPr>
              <w:jc w:val="left"/>
            </w:pPr>
            <w:r>
              <w:rPr>
                <w:b w:val="false"/>
                <w:bCs w:val="false"/>
                <w:sz w:val="18"/>
                <w:szCs w:val="18"/>
              </w:rPr>
              <w:t xml:space="preserve">Fact</w:t>
            </w:r>
          </w:p>
        </w:tc>
        <w:tc>
          <w:tcPr>
            <w:tcW w:type="dxa" w:w="1300"/>
            <w:tcMar>
              <w:top w:type="dxa" w:w="80"/>
              <w:left w:type="dxa" w:w="100"/>
              <w:bottom w:type="dxa" w:w="80"/>
              <w:right w:type="dxa" w:w="100"/>
            </w:tcMar>
            <w:vAlign w:val="center"/>
          </w:tcPr>
          <w:p>
            <w:pPr>
              <w:jc w:val="left"/>
            </w:pPr>
            <w:r>
              <w:rPr>
                <w:b w:val="false"/>
                <w:bCs w:val="false"/>
                <w:sz w:val="18"/>
                <w:szCs w:val="18"/>
              </w:rPr>
              <w:t xml:space="preserve">Dynamic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NFR-03 Availability</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BR-38</w:t>
            </w:r>
          </w:p>
        </w:tc>
        <w:tc>
          <w:tcPr>
            <w:tcW w:type="dxa" w:w="4200"/>
            <w:tcMar>
              <w:top w:type="dxa" w:w="80"/>
              <w:left w:type="dxa" w:w="100"/>
              <w:bottom w:type="dxa" w:w="80"/>
              <w:right w:type="dxa" w:w="100"/>
            </w:tcMar>
            <w:vAlign w:val="center"/>
          </w:tcPr>
          <w:p>
            <w:pPr>
              <w:jc w:val="left"/>
            </w:pPr>
            <w:r>
              <w:rPr>
                <w:b w:val="false"/>
                <w:bCs w:val="false"/>
                <w:sz w:val="18"/>
                <w:szCs w:val="18"/>
              </w:rPr>
              <w:t xml:space="preserve">Personal data in transit (passwords, contact info) must be transmitted over HTTPS, and passwords at rest must be hashed/encrypted with a standard algorithm.</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NFR-02 Security</w:t>
            </w:r>
          </w:p>
        </w:tc>
      </w:tr>
      <w:tr>
        <w:tc>
          <w:tcPr>
            <w:tcW w:type="dxa" w:w="700"/>
            <w:tcMar>
              <w:top w:type="dxa" w:w="80"/>
              <w:left w:type="dxa" w:w="100"/>
              <w:bottom w:type="dxa" w:w="80"/>
              <w:right w:type="dxa" w:w="100"/>
            </w:tcMar>
            <w:vAlign w:val="center"/>
          </w:tcPr>
          <w:p>
            <w:pPr>
              <w:jc w:val="left"/>
            </w:pPr>
            <w:r>
              <w:rPr>
                <w:b w:val="false"/>
                <w:bCs w:val="false"/>
                <w:sz w:val="18"/>
                <w:szCs w:val="18"/>
              </w:rPr>
              <w:t xml:space="preserve">BR-39</w:t>
            </w:r>
          </w:p>
        </w:tc>
        <w:tc>
          <w:tcPr>
            <w:tcW w:type="dxa" w:w="4200"/>
            <w:tcMar>
              <w:top w:type="dxa" w:w="80"/>
              <w:left w:type="dxa" w:w="100"/>
              <w:bottom w:type="dxa" w:w="80"/>
              <w:right w:type="dxa" w:w="100"/>
            </w:tcMar>
            <w:vAlign w:val="center"/>
          </w:tcPr>
          <w:p>
            <w:pPr>
              <w:jc w:val="left"/>
            </w:pPr>
            <w:r>
              <w:rPr>
                <w:b w:val="false"/>
                <w:bCs w:val="false"/>
                <w:sz w:val="18"/>
                <w:szCs w:val="18"/>
              </w:rPr>
              <w:t xml:space="preserve">Only the Center Manager may configure system-wide settings, including package catalog, discipline/room catalog, and role permissions.</w:t>
            </w:r>
          </w:p>
        </w:tc>
        <w:tc>
          <w:tcPr>
            <w:tcW w:type="dxa" w:w="1300"/>
            <w:tcMar>
              <w:top w:type="dxa" w:w="80"/>
              <w:left w:type="dxa" w:w="100"/>
              <w:bottom w:type="dxa" w:w="80"/>
              <w:right w:type="dxa" w:w="100"/>
            </w:tcMar>
            <w:vAlign w:val="center"/>
          </w:tcPr>
          <w:p>
            <w:pPr>
              <w:jc w:val="left"/>
            </w:pPr>
            <w:r>
              <w:rPr>
                <w:b w:val="false"/>
                <w:bCs w:val="false"/>
                <w:sz w:val="18"/>
                <w:szCs w:val="18"/>
              </w:rPr>
              <w:t xml:space="preserve">Constraint</w:t>
            </w:r>
          </w:p>
        </w:tc>
        <w:tc>
          <w:tcPr>
            <w:tcW w:type="dxa" w:w="1300"/>
            <w:tcMar>
              <w:top w:type="dxa" w:w="80"/>
              <w:left w:type="dxa" w:w="100"/>
              <w:bottom w:type="dxa" w:w="80"/>
              <w:right w:type="dxa" w:w="100"/>
            </w:tcMar>
            <w:vAlign w:val="center"/>
          </w:tcPr>
          <w:p>
            <w:pPr>
              <w:jc w:val="left"/>
            </w:pPr>
            <w:r>
              <w:rPr>
                <w:b w:val="false"/>
                <w:bCs w:val="false"/>
                <w:sz w:val="18"/>
                <w:szCs w:val="18"/>
              </w:rPr>
              <w:t xml:space="preserve">Static</w:t>
            </w:r>
          </w:p>
        </w:tc>
        <w:tc>
          <w:tcPr>
            <w:tcW w:type="dxa" w:w="1526"/>
            <w:tcMar>
              <w:top w:type="dxa" w:w="80"/>
              <w:left w:type="dxa" w:w="100"/>
              <w:bottom w:type="dxa" w:w="80"/>
              <w:right w:type="dxa" w:w="100"/>
            </w:tcMar>
            <w:vAlign w:val="center"/>
          </w:tcPr>
          <w:p>
            <w:pPr>
              <w:jc w:val="left"/>
            </w:pPr>
            <w:r>
              <w:rPr>
                <w:b w:val="false"/>
                <w:bCs w:val="false"/>
                <w:sz w:val="18"/>
                <w:szCs w:val="18"/>
              </w:rPr>
              <w:t xml:space="preserve">Original BR-06</w:t>
            </w:r>
          </w:p>
        </w:tc>
      </w:tr>
    </w:tbl>
    <w:p>
      <w:pPr>
        <w:pStyle w:val="Heading1"/>
      </w:pPr>
      <w:r>
        <w:t>L. Unique Constraints Summary (added 10/09/2026)</w:t>
      </w:r>
    </w:p>
    <w:p>
      <w:r>
        <w:t>Consolidated list of every unique / partial-unique field or field combination in the schema, so "which fields must be unique" is answered in one place instead of scattered across rule groups. Kept in sync with Design v2 §1 (ERD "UK" markers) and §3 (DB constraint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Pr>
          <w:p>
            <w:r/>
            <w:r>
              <w:rPr>
                <w:sz w:val="18"/>
              </w:rPr>
              <w:t>Entity.Field</w:t>
            </w:r>
          </w:p>
        </w:tc>
        <w:tc>
          <w:tcPr>
            <w:tcW w:type="dxa" w:w="2256"/>
          </w:tcPr>
          <w:p>
            <w:r/>
            <w:r>
              <w:rPr>
                <w:sz w:val="18"/>
              </w:rPr>
              <w:t>Phạm vi Unique</w:t>
            </w:r>
          </w:p>
        </w:tc>
        <w:tc>
          <w:tcPr>
            <w:tcW w:type="dxa" w:w="2256"/>
          </w:tcPr>
          <w:p>
            <w:r/>
            <w:r>
              <w:rPr>
                <w:sz w:val="18"/>
              </w:rPr>
              <w:t>Cơ chế thực thi (DB)</w:t>
            </w:r>
          </w:p>
        </w:tc>
        <w:tc>
          <w:tcPr>
            <w:tcW w:type="dxa" w:w="2256"/>
          </w:tcPr>
          <w:p>
            <w:r/>
            <w:r>
              <w:rPr>
                <w:sz w:val="18"/>
              </w:rPr>
              <w:t>BR / Ghi chú</w:t>
            </w:r>
          </w:p>
        </w:tc>
      </w:tr>
      <w:tr>
        <w:tc>
          <w:tcPr>
            <w:tcW w:type="dxa" w:w="2256"/>
          </w:tcPr>
          <w:p>
            <w:r/>
            <w:r>
              <w:rPr>
                <w:sz w:val="18"/>
              </w:rPr>
              <w:t>User.email</w:t>
            </w:r>
          </w:p>
        </w:tc>
        <w:tc>
          <w:tcPr>
            <w:tcW w:type="dxa" w:w="2256"/>
          </w:tcPr>
          <w:p>
            <w:r/>
            <w:r>
              <w:rPr>
                <w:sz w:val="18"/>
              </w:rPr>
              <w:t>Toàn hệ thống, không phân biệt hoa/thường</w:t>
            </w:r>
          </w:p>
        </w:tc>
        <w:tc>
          <w:tcPr>
            <w:tcW w:type="dxa" w:w="2256"/>
          </w:tcPr>
          <w:p>
            <w:r/>
            <w:r>
              <w:rPr>
                <w:sz w:val="18"/>
              </w:rPr>
              <w:t>UNIQUE INDEX trên LOWER(email), hoặc kiểu citext</w:t>
            </w:r>
          </w:p>
        </w:tc>
        <w:tc>
          <w:tcPr>
            <w:tcW w:type="dxa" w:w="2256"/>
          </w:tcPr>
          <w:p>
            <w:r/>
            <w:r>
              <w:rPr>
                <w:sz w:val="18"/>
              </w:rPr>
              <w:t>BR-1, BR-49</w:t>
            </w:r>
          </w:p>
        </w:tc>
      </w:tr>
      <w:tr>
        <w:tc>
          <w:tcPr>
            <w:tcW w:type="dxa" w:w="2256"/>
          </w:tcPr>
          <w:p>
            <w:r/>
            <w:r>
              <w:rPr>
                <w:sz w:val="18"/>
              </w:rPr>
              <w:t>User.phone</w:t>
            </w:r>
          </w:p>
        </w:tc>
        <w:tc>
          <w:tcPr>
            <w:tcW w:type="dxa" w:w="2256"/>
          </w:tcPr>
          <w:p>
            <w:r/>
            <w:r>
              <w:rPr>
                <w:sz w:val="18"/>
              </w:rPr>
              <w:t>Toàn hệ thống (bỏ qua NULL/rỗng)</w:t>
            </w:r>
          </w:p>
        </w:tc>
        <w:tc>
          <w:tcPr>
            <w:tcW w:type="dxa" w:w="2256"/>
          </w:tcPr>
          <w:p>
            <w:r/>
            <w:r>
              <w:rPr>
                <w:sz w:val="18"/>
              </w:rPr>
              <w:t>Partial UNIQUE INDEX WHERE phone IS NOT NULL</w:t>
            </w:r>
          </w:p>
        </w:tc>
        <w:tc>
          <w:tcPr>
            <w:tcW w:type="dxa" w:w="2256"/>
          </w:tcPr>
          <w:p>
            <w:r/>
            <w:r>
              <w:rPr>
                <w:sz w:val="18"/>
              </w:rPr>
              <w:t>BR-54</w:t>
            </w:r>
          </w:p>
        </w:tc>
      </w:tr>
      <w:tr>
        <w:tc>
          <w:tcPr>
            <w:tcW w:type="dxa" w:w="2256"/>
          </w:tcPr>
          <w:p>
            <w:r/>
            <w:r>
              <w:rPr>
                <w:sz w:val="18"/>
              </w:rPr>
              <w:t>Role.role_name</w:t>
            </w:r>
          </w:p>
        </w:tc>
        <w:tc>
          <w:tcPr>
            <w:tcW w:type="dxa" w:w="2256"/>
          </w:tcPr>
          <w:p>
            <w:r/>
            <w:r>
              <w:rPr>
                <w:sz w:val="18"/>
              </w:rPr>
              <w:t>Toàn hệ thống (chỉ 4 giá trị cố định)</w:t>
            </w:r>
          </w:p>
        </w:tc>
        <w:tc>
          <w:tcPr>
            <w:tcW w:type="dxa" w:w="2256"/>
          </w:tcPr>
          <w:p>
            <w:r/>
            <w:r>
              <w:rPr>
                <w:sz w:val="18"/>
              </w:rPr>
              <w:t>UNIQUE constraint + seed data cố định (4 dòng)</w:t>
            </w:r>
          </w:p>
        </w:tc>
        <w:tc>
          <w:tcPr>
            <w:tcW w:type="dxa" w:w="2256"/>
          </w:tcPr>
          <w:p>
            <w:r/>
            <w:r>
              <w:rPr>
                <w:sz w:val="18"/>
              </w:rPr>
              <w:t>BR-55</w:t>
            </w:r>
          </w:p>
        </w:tc>
      </w:tr>
      <w:tr>
        <w:tc>
          <w:tcPr>
            <w:tcW w:type="dxa" w:w="2256"/>
          </w:tcPr>
          <w:p>
            <w:r/>
            <w:r>
              <w:rPr>
                <w:sz w:val="18"/>
              </w:rPr>
              <w:t>MembershipPackage.name</w:t>
            </w:r>
          </w:p>
        </w:tc>
        <w:tc>
          <w:tcPr>
            <w:tcW w:type="dxa" w:w="2256"/>
          </w:tcPr>
          <w:p>
            <w:r/>
            <w:r>
              <w:rPr>
                <w:sz w:val="18"/>
              </w:rPr>
              <w:t>Trong toàn bộ danh mục gói</w:t>
            </w:r>
          </w:p>
        </w:tc>
        <w:tc>
          <w:tcPr>
            <w:tcW w:type="dxa" w:w="2256"/>
          </w:tcPr>
          <w:p>
            <w:r/>
            <w:r>
              <w:rPr>
                <w:sz w:val="18"/>
              </w:rPr>
              <w:t>UNIQUE constraint</w:t>
            </w:r>
          </w:p>
        </w:tc>
        <w:tc>
          <w:tcPr>
            <w:tcW w:type="dxa" w:w="2256"/>
          </w:tcPr>
          <w:p>
            <w:r/>
            <w:r>
              <w:rPr>
                <w:sz w:val="18"/>
              </w:rPr>
              <w:t>BR-56</w:t>
            </w:r>
          </w:p>
        </w:tc>
      </w:tr>
      <w:tr>
        <w:tc>
          <w:tcPr>
            <w:tcW w:type="dxa" w:w="2256"/>
          </w:tcPr>
          <w:p>
            <w:r/>
            <w:r>
              <w:rPr>
                <w:sz w:val="18"/>
              </w:rPr>
              <w:t>Room.name</w:t>
            </w:r>
          </w:p>
        </w:tc>
        <w:tc>
          <w:tcPr>
            <w:tcW w:type="dxa" w:w="2256"/>
          </w:tcPr>
          <w:p>
            <w:r/>
            <w:r>
              <w:rPr>
                <w:sz w:val="18"/>
              </w:rPr>
              <w:t>Toàn trung tâm</w:t>
            </w:r>
          </w:p>
        </w:tc>
        <w:tc>
          <w:tcPr>
            <w:tcW w:type="dxa" w:w="2256"/>
          </w:tcPr>
          <w:p>
            <w:r/>
            <w:r>
              <w:rPr>
                <w:sz w:val="18"/>
              </w:rPr>
              <w:t>UNIQUE constraint</w:t>
            </w:r>
          </w:p>
        </w:tc>
        <w:tc>
          <w:tcPr>
            <w:tcW w:type="dxa" w:w="2256"/>
          </w:tcPr>
          <w:p>
            <w:r/>
            <w:r>
              <w:rPr>
                <w:sz w:val="18"/>
              </w:rPr>
              <w:t>BR-57</w:t>
            </w:r>
          </w:p>
        </w:tc>
      </w:tr>
      <w:tr>
        <w:tc>
          <w:tcPr>
            <w:tcW w:type="dxa" w:w="2256"/>
          </w:tcPr>
          <w:p>
            <w:r/>
            <w:r>
              <w:rPr>
                <w:sz w:val="18"/>
              </w:rPr>
              <w:t>Invoice.invoice_number</w:t>
            </w:r>
          </w:p>
        </w:tc>
        <w:tc>
          <w:tcPr>
            <w:tcW w:type="dxa" w:w="2256"/>
          </w:tcPr>
          <w:p>
            <w:r/>
            <w:r>
              <w:rPr>
                <w:sz w:val="18"/>
              </w:rPr>
              <w:t>Toàn hệ thống, sinh từ DB sequence</w:t>
            </w:r>
          </w:p>
        </w:tc>
        <w:tc>
          <w:tcPr>
            <w:tcW w:type="dxa" w:w="2256"/>
          </w:tcPr>
          <w:p>
            <w:r/>
            <w:r>
              <w:rPr>
                <w:sz w:val="18"/>
              </w:rPr>
              <w:t>UNIQUE constraint + nextval() (không random ở app layer)</w:t>
            </w:r>
          </w:p>
        </w:tc>
        <w:tc>
          <w:tcPr>
            <w:tcW w:type="dxa" w:w="2256"/>
          </w:tcPr>
          <w:p>
            <w:r/>
            <w:r>
              <w:rPr>
                <w:sz w:val="18"/>
              </w:rPr>
              <w:t>BR-30, BR-40, BR-58</w:t>
            </w:r>
          </w:p>
        </w:tc>
      </w:tr>
      <w:tr>
        <w:tc>
          <w:tcPr>
            <w:tcW w:type="dxa" w:w="2256"/>
          </w:tcPr>
          <w:p>
            <w:r/>
            <w:r>
              <w:rPr>
                <w:sz w:val="18"/>
              </w:rPr>
              <w:t>MemberTrainingProfile.member_id</w:t>
            </w:r>
          </w:p>
        </w:tc>
        <w:tc>
          <w:tcPr>
            <w:tcW w:type="dxa" w:w="2256"/>
          </w:tcPr>
          <w:p>
            <w:r/>
            <w:r>
              <w:rPr>
                <w:sz w:val="18"/>
              </w:rPr>
              <w:t>1 Member chỉ có 1 hồ sơ (1–1 với User)</w:t>
            </w:r>
          </w:p>
        </w:tc>
        <w:tc>
          <w:tcPr>
            <w:tcW w:type="dxa" w:w="2256"/>
          </w:tcPr>
          <w:p>
            <w:r/>
            <w:r>
              <w:rPr>
                <w:sz w:val="18"/>
              </w:rPr>
              <w:t>UNIQUE constraint trên FK member_id</w:t>
            </w:r>
          </w:p>
        </w:tc>
        <w:tc>
          <w:tcPr>
            <w:tcW w:type="dxa" w:w="2256"/>
          </w:tcPr>
          <w:p>
            <w:r/>
            <w:r>
              <w:rPr>
                <w:sz w:val="18"/>
              </w:rPr>
              <w:t>BR-9 (ngầm định qua quan hệ 1–1)</w:t>
            </w:r>
          </w:p>
        </w:tc>
      </w:tr>
      <w:tr>
        <w:tc>
          <w:tcPr>
            <w:tcW w:type="dxa" w:w="2256"/>
          </w:tcPr>
          <w:p>
            <w:r/>
            <w:r>
              <w:rPr>
                <w:sz w:val="18"/>
              </w:rPr>
              <w:t>Enrollment (session_id, member_id) khi status = CONFIRMED</w:t>
            </w:r>
          </w:p>
        </w:tc>
        <w:tc>
          <w:tcPr>
            <w:tcW w:type="dxa" w:w="2256"/>
          </w:tcPr>
          <w:p>
            <w:r/>
            <w:r>
              <w:rPr>
                <w:sz w:val="18"/>
              </w:rPr>
              <w:t>Không được có 2 đăng ký CONFIRMED trùng cùng 1 session</w:t>
            </w:r>
          </w:p>
        </w:tc>
        <w:tc>
          <w:tcPr>
            <w:tcW w:type="dxa" w:w="2256"/>
          </w:tcPr>
          <w:p>
            <w:r/>
            <w:r>
              <w:rPr>
                <w:sz w:val="18"/>
              </w:rPr>
              <w:t>Partial UNIQUE INDEX WHERE status = 'CONFIRMED'</w:t>
            </w:r>
          </w:p>
        </w:tc>
        <w:tc>
          <w:tcPr>
            <w:tcW w:type="dxa" w:w="2256"/>
          </w:tcPr>
          <w:p>
            <w:r/>
            <w:r>
              <w:rPr>
                <w:sz w:val="18"/>
              </w:rPr>
              <w:t>BR-19; Design v2 §3 constraint #1</w:t>
            </w:r>
          </w:p>
        </w:tc>
      </w:tr>
      <w:tr>
        <w:tc>
          <w:tcPr>
            <w:tcW w:type="dxa" w:w="2256"/>
          </w:tcPr>
          <w:p>
            <w:r/>
            <w:r>
              <w:rPr>
                <w:sz w:val="18"/>
              </w:rPr>
              <w:t>CoachMemberRelationship (coach_id, member_id) khi status = ACTIVE</w:t>
            </w:r>
          </w:p>
        </w:tc>
        <w:tc>
          <w:tcPr>
            <w:tcW w:type="dxa" w:w="2256"/>
          </w:tcPr>
          <w:p>
            <w:r/>
            <w:r>
              <w:rPr>
                <w:sz w:val="18"/>
              </w:rPr>
              <w:t>Chỉ 1 quan hệ ACTIVE giữa 1 cặp Coach–Member tại 1 thời điểm</w:t>
            </w:r>
          </w:p>
        </w:tc>
        <w:tc>
          <w:tcPr>
            <w:tcW w:type="dxa" w:w="2256"/>
          </w:tcPr>
          <w:p>
            <w:r/>
            <w:r>
              <w:rPr>
                <w:sz w:val="18"/>
              </w:rPr>
              <w:t>Partial UNIQUE INDEX WHERE status = 'ACTIVE'</w:t>
            </w:r>
          </w:p>
        </w:tc>
        <w:tc>
          <w:tcPr>
            <w:tcW w:type="dxa" w:w="2256"/>
          </w:tcPr>
          <w:p>
            <w:r/>
            <w:r>
              <w:rPr>
                <w:sz w:val="18"/>
              </w:rPr>
              <w:t>BR-23/BR-24 (ngầm định); Design v2 §3 constraint #7</w:t>
            </w:r>
          </w:p>
        </w:tc>
      </w:tr>
      <w:tr>
        <w:tc>
          <w:tcPr>
            <w:tcW w:type="dxa" w:w="2256"/>
          </w:tcPr>
          <w:p>
            <w:r>
              <w:rPr>
                <w:b w:val="0"/>
                <w:sz w:val="18"/>
              </w:rPr>
              <w:t>Attendance.enrollment_id</w:t>
            </w:r>
          </w:p>
        </w:tc>
        <w:tc>
          <w:tcPr>
            <w:tcW w:type="dxa" w:w="2256"/>
          </w:tcPr>
          <w:p>
            <w:r>
              <w:rPr>
                <w:b w:val="0"/>
                <w:sz w:val="18"/>
              </w:rPr>
              <w:t>1 Enrollment chỉ có tối đa 1 Attendance (1–1); session_id/member_id không lưu riêng, suy ra qua Enrollment</w:t>
            </w:r>
          </w:p>
        </w:tc>
        <w:tc>
          <w:tcPr>
            <w:tcW w:type="dxa" w:w="2256"/>
          </w:tcPr>
          <w:p>
            <w:r>
              <w:rPr>
                <w:b w:val="0"/>
                <w:sz w:val="18"/>
              </w:rPr>
              <w:t>UNIQUE constraint trên FK enrollment_id</w:t>
            </w:r>
          </w:p>
        </w:tc>
        <w:tc>
          <w:tcPr>
            <w:tcW w:type="dxa" w:w="2256"/>
          </w:tcPr>
          <w:p>
            <w:r>
              <w:rPr>
                <w:b w:val="0"/>
                <w:sz w:val="18"/>
              </w:rPr>
              <w:t>Design v2 §3 constraint #17 (added 10/09/2026)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2026-09-08T20:19:46.449Z</dcterms:created>
  <dcterms:modified xsi:type="dcterms:W3CDTF">2026-09-08T20:19:46.459Z</dcterms:modified>
</cp:coreProperties>
</file>

<file path=docProps/custom.xml><?xml version="1.0" encoding="utf-8"?>
<Properties xmlns="http://schemas.openxmlformats.org/officeDocument/2006/custom-properties" xmlns:vt="http://schemas.openxmlformats.org/officeDocument/2006/docPropsVTypes"/>
</file>