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06865A" w14:textId="77777777" w:rsidR="004F65E4" w:rsidRPr="007C563B" w:rsidRDefault="004F65E4" w:rsidP="007C563B">
      <w:pPr>
        <w:pStyle w:val="Heading2"/>
      </w:pPr>
      <w:bookmarkStart w:id="0" w:name="_Toc421025886"/>
      <w:bookmarkStart w:id="1" w:name="_Toc428383842"/>
      <w:bookmarkStart w:id="2" w:name="_Toc428436064"/>
      <w:bookmarkStart w:id="3" w:name="_Toc428436365"/>
      <w:bookmarkStart w:id="4" w:name="_Toc428436491"/>
      <w:r w:rsidRPr="007C563B">
        <w:t>Industrial use</w:t>
      </w:r>
      <w:bookmarkEnd w:id="0"/>
      <w:bookmarkEnd w:id="1"/>
      <w:bookmarkEnd w:id="2"/>
      <w:bookmarkEnd w:id="3"/>
      <w:bookmarkEnd w:id="4"/>
    </w:p>
    <w:p w14:paraId="7B5CE283" w14:textId="3C1500E9" w:rsidR="004F65E4" w:rsidRPr="007C563B" w:rsidRDefault="004F65E4" w:rsidP="004F65E4">
      <w:pPr>
        <w:jc w:val="both"/>
        <w:rPr>
          <w:rFonts w:asciiTheme="majorBidi" w:hAnsiTheme="majorBidi"/>
          <w:color w:val="000000" w:themeColor="text1"/>
          <w:lang w:val="en-GB"/>
        </w:rPr>
      </w:pPr>
      <w:r w:rsidRPr="007C563B">
        <w:rPr>
          <w:rFonts w:asciiTheme="majorBidi" w:hAnsiTheme="majorBidi"/>
          <w:color w:val="000000" w:themeColor="text1"/>
          <w:lang w:val="en-GB"/>
        </w:rPr>
        <w:t>The 2000s have seen a number of important changes in the global commodity landscape. Many of them have originated outside of food and agriculture, but many have had a direct and sometimes massive impact on food and agricultural markets. Rising energy prices, in particular, have made a growing number of agricultural products competitive inputs in non-food markets, and have done so in growing volumes (</w:t>
      </w:r>
      <w:r w:rsidR="00C3452B" w:rsidRPr="007C563B">
        <w:fldChar w:fldCharType="begin"/>
      </w:r>
      <w:r w:rsidR="00C3452B">
        <w:instrText xml:space="preserve"> REF _Ref420755964 \h  \* MERGEFORMAT </w:instrText>
      </w:r>
      <w:r w:rsidR="00C3452B" w:rsidRPr="007C563B">
        <w:fldChar w:fldCharType="separate"/>
      </w:r>
      <w:r w:rsidR="000B360D" w:rsidRPr="007C563B">
        <w:rPr>
          <w:rFonts w:asciiTheme="majorBidi" w:hAnsiTheme="majorBidi"/>
          <w:color w:val="000000" w:themeColor="text1"/>
          <w:lang w:val="en-GB"/>
        </w:rPr>
        <w:t xml:space="preserve">Figure </w:t>
      </w:r>
      <w:r w:rsidR="000B360D" w:rsidRPr="00F31509">
        <w:rPr>
          <w:rFonts w:asciiTheme="majorBidi" w:eastAsia="Times New Roman" w:hAnsiTheme="majorBidi" w:cstheme="majorBidi"/>
          <w:noProof/>
          <w:color w:val="000000" w:themeColor="text1"/>
          <w:lang w:val="en-GB"/>
        </w:rPr>
        <w:t>20</w:t>
      </w:r>
      <w:r w:rsidR="00C3452B" w:rsidRPr="007C563B">
        <w:fldChar w:fldCharType="end"/>
      </w:r>
      <w:r w:rsidRPr="007C563B">
        <w:rPr>
          <w:rFonts w:asciiTheme="majorBidi" w:hAnsiTheme="majorBidi"/>
          <w:color w:val="000000" w:themeColor="text1"/>
          <w:lang w:val="en-GB"/>
        </w:rPr>
        <w:t xml:space="preserve">). Arguably, the most important example is the biofuels market, where rising energy prices in conjunction with policies to promote the use of agricultural feed stocks for energy uses have diverted a growing amount of (food) commodities into the fuel market. Maize for bioethanol in the US and rapeseed oil for biodiesel in the EU are the most popular and most important examples, but by far not the only ones. With rising energy prices, many countries have embarked on similar programmes, albeit to a smaller extent. </w:t>
      </w:r>
    </w:p>
    <w:p w14:paraId="356AC828" w14:textId="77777777" w:rsidR="004F65E4" w:rsidRPr="00F31509" w:rsidRDefault="00040401" w:rsidP="004F65E4">
      <w:pPr>
        <w:keepNext/>
        <w:jc w:val="both"/>
        <w:rPr>
          <w:rFonts w:asciiTheme="majorBidi" w:hAnsiTheme="majorBidi" w:cstheme="majorBidi"/>
          <w:color w:val="000000" w:themeColor="text1"/>
          <w:lang w:val="en-GB"/>
        </w:rPr>
      </w:pPr>
      <w:r w:rsidRPr="00F31509">
        <w:rPr>
          <w:rFonts w:asciiTheme="majorBidi" w:hAnsiTheme="majorBidi" w:cstheme="majorBidi"/>
          <w:noProof/>
          <w:color w:val="000000" w:themeColor="text1"/>
          <w:lang w:eastAsia="en-US"/>
        </w:rPr>
        <w:drawing>
          <wp:inline distT="0" distB="0" distL="0" distR="0">
            <wp:extent cx="5722620" cy="4244340"/>
            <wp:effectExtent l="0" t="0" r="11430" b="2286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8D7714" w14:textId="33121D3F" w:rsidR="004F65E4" w:rsidRPr="007C563B" w:rsidRDefault="004F65E4" w:rsidP="004F65E4">
      <w:pPr>
        <w:pStyle w:val="Caption"/>
        <w:jc w:val="both"/>
        <w:rPr>
          <w:rFonts w:asciiTheme="majorBidi" w:hAnsiTheme="majorBidi"/>
          <w:b/>
          <w:color w:val="000000" w:themeColor="text1"/>
          <w:lang w:val="en-GB"/>
        </w:rPr>
      </w:pPr>
      <w:bookmarkStart w:id="5" w:name="_Ref420755964"/>
      <w:bookmarkStart w:id="6" w:name="_Toc421026228"/>
      <w:bookmarkStart w:id="7" w:name="_Toc428383867"/>
      <w:bookmarkStart w:id="8" w:name="_Toc430872520"/>
      <w:r w:rsidRPr="007C563B">
        <w:rPr>
          <w:rFonts w:asciiTheme="majorBidi" w:hAnsiTheme="majorBidi"/>
          <w:color w:val="000000" w:themeColor="text1"/>
          <w:lang w:val="en-GB"/>
        </w:rPr>
        <w:t xml:space="preserve">Figure </w:t>
      </w:r>
      <w:r w:rsidR="00846B16" w:rsidRPr="007C563B">
        <w:rPr>
          <w:rFonts w:asciiTheme="majorBidi" w:hAnsiTheme="majorBidi"/>
          <w:lang w:val="en-GB"/>
        </w:rPr>
        <w:fldChar w:fldCharType="begin"/>
      </w:r>
      <w:r w:rsidRPr="00F31509">
        <w:rPr>
          <w:rFonts w:asciiTheme="majorBidi" w:hAnsiTheme="majorBidi" w:cstheme="majorBidi"/>
          <w:color w:val="000000" w:themeColor="text1"/>
          <w:lang w:val="en-GB"/>
        </w:rPr>
        <w:instrText xml:space="preserve"> SEQ Figure \* ARABIC </w:instrText>
      </w:r>
      <w:r w:rsidR="00846B16" w:rsidRPr="007C563B">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20</w:t>
      </w:r>
      <w:r w:rsidR="00846B16" w:rsidRPr="007C563B">
        <w:rPr>
          <w:rFonts w:asciiTheme="majorBidi" w:hAnsiTheme="majorBidi"/>
          <w:lang w:val="en-GB"/>
        </w:rPr>
        <w:fldChar w:fldCharType="end"/>
      </w:r>
      <w:bookmarkEnd w:id="5"/>
      <w:r w:rsidRPr="007C563B">
        <w:rPr>
          <w:rFonts w:asciiTheme="majorBidi" w:hAnsiTheme="majorBidi"/>
          <w:color w:val="000000" w:themeColor="text1"/>
          <w:lang w:val="en-GB"/>
        </w:rPr>
        <w:t>: Vegetable oils: Other uses of FAOSTAT v industrial use of PSD</w:t>
      </w:r>
      <w:bookmarkEnd w:id="6"/>
      <w:bookmarkEnd w:id="7"/>
      <w:bookmarkEnd w:id="8"/>
    </w:p>
    <w:p w14:paraId="3A1E1E38" w14:textId="77777777" w:rsidR="004F65E4" w:rsidRPr="007C563B" w:rsidRDefault="004F65E4" w:rsidP="004F65E4">
      <w:pPr>
        <w:jc w:val="both"/>
        <w:rPr>
          <w:rFonts w:asciiTheme="majorBidi" w:hAnsiTheme="majorBidi"/>
          <w:color w:val="000000" w:themeColor="text1"/>
          <w:lang w:val="en-GB"/>
        </w:rPr>
      </w:pPr>
      <w:r w:rsidRPr="007C563B">
        <w:rPr>
          <w:rFonts w:asciiTheme="majorBidi" w:hAnsiTheme="majorBidi"/>
          <w:color w:val="000000" w:themeColor="text1"/>
          <w:lang w:val="en-GB"/>
        </w:rPr>
        <w:t>Much less prominent, but equally important, is a similar trend for industrial use outside the energy sector. Just like the biofuels market, this market affects both starch-rich and oil-rich food commodities. For example, a rapidly rising share of coconut oil and palm kernel oil are now diverted into the production of cosmetics, while many other vegetable oils have become key ingredients for the production of paints, soaps, and other detergents. Similarly, starch-based products have become increasingly important as construction materials and are being used for other, non-food purposes. The non-food use of vegetable oils is particularly important for the food balance sheets. These uses can easily be underestimated in quantity terms and</w:t>
      </w:r>
      <w:r w:rsidR="00B0066F" w:rsidRPr="00F31509">
        <w:rPr>
          <w:rFonts w:asciiTheme="majorBidi" w:eastAsia="Times New Roman" w:hAnsiTheme="majorBidi" w:cstheme="majorBidi"/>
          <w:color w:val="000000" w:themeColor="text1"/>
          <w:lang w:val="en-GB"/>
        </w:rPr>
        <w:t>,</w:t>
      </w:r>
      <w:r w:rsidRPr="007C563B">
        <w:rPr>
          <w:rFonts w:asciiTheme="majorBidi" w:hAnsiTheme="majorBidi"/>
          <w:color w:val="000000" w:themeColor="text1"/>
          <w:lang w:val="en-GB"/>
        </w:rPr>
        <w:t xml:space="preserve"> given their high caloric content (9kcals/g), the impact on food availability and the DES is particularly high.</w:t>
      </w:r>
    </w:p>
    <w:p w14:paraId="307A3006" w14:textId="77777777" w:rsidR="004F65E4" w:rsidRPr="007C563B" w:rsidRDefault="004F65E4" w:rsidP="004F65E4">
      <w:pPr>
        <w:jc w:val="both"/>
        <w:rPr>
          <w:rFonts w:asciiTheme="majorBidi" w:hAnsiTheme="majorBidi"/>
          <w:color w:val="000000" w:themeColor="text1"/>
          <w:lang w:val="en-GB"/>
        </w:rPr>
      </w:pPr>
      <w:r w:rsidRPr="007C563B">
        <w:rPr>
          <w:rFonts w:asciiTheme="majorBidi" w:hAnsiTheme="majorBidi"/>
          <w:color w:val="000000" w:themeColor="text1"/>
          <w:lang w:val="en-GB"/>
        </w:rPr>
        <w:lastRenderedPageBreak/>
        <w:t xml:space="preserve">Unfortunately, the great variety of different uses (energy, paints, detergents, cosmetics, etc.) makes it difficult to gather actual information. What is more, there is no straightforward way of imputing information. Information on industrial uses is included in FAO questionnaires; however, very few countries provide information. The only area where information is readily available is the use of agricultural feedstuffs for biofuels production. This information is collected by the FAO for its medium term outlook work and is taken into account in the new version of the FBS. In the interim, information available from the USDA PS&amp;D database provides the necessary information on industrial use of vegetable oils. The amount of calories implicit in these uses is considerably above the estimates of the FBS system, and will therefore affect food availability and the DES. </w:t>
      </w:r>
    </w:p>
    <w:p w14:paraId="5A911C50" w14:textId="119996CC" w:rsidR="004F65E4" w:rsidRPr="007C563B" w:rsidRDefault="004F65E4" w:rsidP="007C563B">
      <w:pPr>
        <w:pStyle w:val="Heading4"/>
        <w:rPr>
          <w:rFonts w:asciiTheme="majorBidi" w:hAnsiTheme="majorBidi"/>
          <w:lang w:val="en-GB"/>
        </w:rPr>
      </w:pPr>
      <w:r w:rsidRPr="00F31509">
        <w:rPr>
          <w:rFonts w:asciiTheme="majorBidi" w:hAnsiTheme="majorBidi" w:cstheme="majorBidi"/>
          <w:lang w:val="en-GB"/>
        </w:rPr>
        <w:t>Imputation</w:t>
      </w:r>
      <w:r w:rsidRPr="007C563B">
        <w:rPr>
          <w:rFonts w:asciiTheme="majorBidi" w:hAnsiTheme="majorBidi"/>
          <w:lang w:val="en-GB"/>
        </w:rPr>
        <w:t xml:space="preserve"> and </w:t>
      </w:r>
      <w:r w:rsidRPr="00F31509">
        <w:rPr>
          <w:rFonts w:asciiTheme="majorBidi" w:hAnsiTheme="majorBidi" w:cstheme="majorBidi"/>
          <w:lang w:val="en-GB"/>
        </w:rPr>
        <w:t>data sources</w:t>
      </w:r>
    </w:p>
    <w:p w14:paraId="1CF2DE59" w14:textId="77777777" w:rsidR="006E2E48" w:rsidRPr="002C0E4A" w:rsidRDefault="006E2E48" w:rsidP="00CF57F4">
      <w:pPr>
        <w:jc w:val="both"/>
      </w:pPr>
      <w:r w:rsidRPr="002C0E4A">
        <w:t>The existing FBS system does not separately identify industrial use. It is instead part of “other uses”, together with tourist consumption and other residual forms of use. The difference between industrial use and other uses can also be gleaned from figure xx, simply by comparing the industrial use of vegetable oils from USDA (PS&amp;D)</w:t>
      </w:r>
      <w:r w:rsidRPr="002C0E4A">
        <w:rPr>
          <w:rStyle w:val="FootnoteReference"/>
        </w:rPr>
        <w:footnoteReference w:id="2"/>
      </w:r>
      <w:r w:rsidRPr="002C0E4A">
        <w:t xml:space="preserve"> and other uses of vegetable oils, as available from the FBS. The latter is nearly twice as high as the former and even when tourist consumption is </w:t>
      </w:r>
      <w:proofErr w:type="gramStart"/>
      <w:r w:rsidRPr="002C0E4A">
        <w:t>deducted,</w:t>
      </w:r>
      <w:proofErr w:type="gramEnd"/>
      <w:r w:rsidRPr="002C0E4A">
        <w:t xml:space="preserve"> other uses in the FBS system remain much above the sum of industrial use and tourist consumption. This implies that a considerable amount of “residual use” is included in the FBS variable “other uses”</w:t>
      </w:r>
      <w:r w:rsidRPr="002C0E4A">
        <w:rPr>
          <w:rStyle w:val="FootnoteReference"/>
        </w:rPr>
        <w:footnoteReference w:id="3"/>
      </w:r>
      <w:r w:rsidRPr="002C0E4A">
        <w:t xml:space="preserve">. </w:t>
      </w:r>
    </w:p>
    <w:p w14:paraId="2C48C9A9" w14:textId="77777777" w:rsidR="006E2E48" w:rsidRPr="002C0E4A" w:rsidRDefault="006E2E48" w:rsidP="00CF57F4">
      <w:pPr>
        <w:jc w:val="both"/>
      </w:pPr>
      <w:r w:rsidRPr="002C0E4A">
        <w:t xml:space="preserve">This also means that the previous approach included a number of different elements, not all of which have been identified clearly. The fact that other uses are higher in many countries than the sum of the two means that the variable other uses has also been used to absorb other, not always clearly identified, residual uses. This means that there are now three separate elements to be distinguished, namely industrial use, tourist consumption and residual other use. </w:t>
      </w:r>
    </w:p>
    <w:p w14:paraId="7F6D1D40" w14:textId="77777777" w:rsidR="006E2E48" w:rsidRPr="002C0E4A" w:rsidRDefault="006E2E48" w:rsidP="00CF57F4">
      <w:pPr>
        <w:jc w:val="both"/>
      </w:pPr>
      <w:r w:rsidRPr="002C0E4A">
        <w:t>Both tourist consumption and industrial use enter the new approach with their expected means and a measurement error. The approach for measuring tourist consumption is laid out in section xx of this document. Estimates for industrial use come from FAO questionnaires, the OECD/FAO database used for their medium-term outlook, the USDA PSD database and other sources as available and suitable</w:t>
      </w:r>
      <w:r w:rsidRPr="002C0E4A">
        <w:rPr>
          <w:rStyle w:val="FootnoteReference"/>
        </w:rPr>
        <w:footnoteReference w:id="4"/>
      </w:r>
      <w:r w:rsidRPr="002C0E4A">
        <w:t>. This leaves only the residual other uses to be defined.</w:t>
      </w:r>
    </w:p>
    <w:p w14:paraId="18081DAF" w14:textId="77777777" w:rsidR="006E2E48" w:rsidRPr="002C0E4A" w:rsidRDefault="006E2E48" w:rsidP="00CF57F4">
      <w:pPr>
        <w:jc w:val="both"/>
        <w:rPr>
          <w:b/>
          <w:bCs/>
        </w:rPr>
      </w:pPr>
    </w:p>
    <w:p w14:paraId="0BF80381" w14:textId="7F737CF0" w:rsidR="004F65E4" w:rsidRPr="007C563B" w:rsidRDefault="004F65E4" w:rsidP="00FF6CFE">
      <w:pPr>
        <w:jc w:val="both"/>
        <w:rPr>
          <w:rFonts w:asciiTheme="majorBidi" w:hAnsiTheme="majorBidi"/>
          <w:color w:val="000000" w:themeColor="text1"/>
          <w:lang w:val="en-GB"/>
        </w:rPr>
      </w:pPr>
      <w:r w:rsidRPr="00F31509">
        <w:rPr>
          <w:rFonts w:asciiTheme="majorBidi" w:eastAsia="Times New Roman" w:hAnsiTheme="majorBidi" w:cstheme="majorBidi"/>
          <w:color w:val="000000" w:themeColor="text1"/>
          <w:lang w:val="en-GB"/>
        </w:rPr>
        <w:lastRenderedPageBreak/>
        <w:t xml:space="preserve">Several imputation methods have been tried out, alas none rendered satisfactory results. The main reason for the lack of good results is that there is no straightforward model that explains the amount of use </w:t>
      </w:r>
      <w:r w:rsidR="00B0066F" w:rsidRPr="00F31509">
        <w:rPr>
          <w:rFonts w:asciiTheme="majorBidi" w:eastAsia="Times New Roman" w:hAnsiTheme="majorBidi" w:cstheme="majorBidi"/>
          <w:color w:val="000000" w:themeColor="text1"/>
          <w:lang w:val="en-GB"/>
        </w:rPr>
        <w:t xml:space="preserve">of </w:t>
      </w:r>
      <w:r w:rsidRPr="00F31509">
        <w:rPr>
          <w:rFonts w:asciiTheme="majorBidi" w:eastAsia="Times New Roman" w:hAnsiTheme="majorBidi" w:cstheme="majorBidi"/>
          <w:color w:val="000000" w:themeColor="text1"/>
          <w:lang w:val="en-GB"/>
        </w:rPr>
        <w:t xml:space="preserve">agricultural products for industrial purposes. Even energy prices only had limited explanatory power. The conclusion is that estimates for industrial use must come from data collection processes.  At the international level, data are collected by US attachés and are made available through the PS&amp;D database, at least for industrial use of vegetable oils. Data are also collected in the context of the OECD/FAO medium-term outlook, for both vegetable oils and biofuels. FBS compilers at country level are encouraged to collect the information on industrial use from by running specific surveys. Auxiliary information could be had by compiling information from biofuel mandates and other policy stipulations that govern the use of agricultural </w:t>
      </w:r>
      <w:proofErr w:type="spellStart"/>
      <w:r w:rsidRPr="00F31509">
        <w:rPr>
          <w:rFonts w:asciiTheme="majorBidi" w:eastAsia="Times New Roman" w:hAnsiTheme="majorBidi" w:cstheme="majorBidi"/>
          <w:color w:val="000000" w:themeColor="text1"/>
          <w:lang w:val="en-GB"/>
        </w:rPr>
        <w:t>feedstocks</w:t>
      </w:r>
      <w:proofErr w:type="spellEnd"/>
      <w:r w:rsidRPr="00F31509">
        <w:rPr>
          <w:rFonts w:asciiTheme="majorBidi" w:eastAsia="Times New Roman" w:hAnsiTheme="majorBidi" w:cstheme="majorBidi"/>
          <w:color w:val="000000" w:themeColor="text1"/>
          <w:lang w:val="en-GB"/>
        </w:rPr>
        <w:t xml:space="preserve"> for industrial uses.</w:t>
      </w:r>
      <w:bookmarkStart w:id="9" w:name="_Toc421025889"/>
      <w:bookmarkEnd w:id="9"/>
    </w:p>
    <w:sectPr w:rsidR="004F65E4" w:rsidRPr="007C563B" w:rsidSect="007C563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8F4A2" w14:textId="77777777" w:rsidR="00F56FC7" w:rsidRDefault="00F56FC7" w:rsidP="00DB6CDA">
      <w:pPr>
        <w:spacing w:after="0" w:line="240" w:lineRule="auto"/>
      </w:pPr>
      <w:r>
        <w:separator/>
      </w:r>
    </w:p>
  </w:endnote>
  <w:endnote w:type="continuationSeparator" w:id="0">
    <w:p w14:paraId="51D0EC4E" w14:textId="77777777" w:rsidR="00F56FC7" w:rsidRDefault="00F56FC7" w:rsidP="00DB6CDA">
      <w:pPr>
        <w:spacing w:after="0" w:line="240" w:lineRule="auto"/>
      </w:pPr>
      <w:r>
        <w:continuationSeparator/>
      </w:r>
    </w:p>
  </w:endnote>
  <w:endnote w:type="continuationNotice" w:id="1">
    <w:p w14:paraId="25D9085E" w14:textId="77777777" w:rsidR="00F56FC7" w:rsidRDefault="00F56F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F0970" w14:textId="77777777" w:rsidR="007C563B" w:rsidRDefault="007C56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B288E" w14:textId="77777777" w:rsidR="002D27E3" w:rsidRDefault="002D27E3">
    <w:pPr>
      <w:pStyle w:val="Footer"/>
    </w:pPr>
    <w:bookmarkStart w:id="10" w:name="_GoBack"/>
    <w:r>
      <w:tab/>
      <w:t xml:space="preserve">Page </w:t>
    </w:r>
    <w:r w:rsidR="00C3452B">
      <w:fldChar w:fldCharType="begin"/>
    </w:r>
    <w:r w:rsidR="00C3452B">
      <w:instrText xml:space="preserve"> PAGE </w:instrText>
    </w:r>
    <w:r w:rsidR="00C3452B">
      <w:fldChar w:fldCharType="separate"/>
    </w:r>
    <w:r w:rsidR="007C563B">
      <w:rPr>
        <w:noProof/>
      </w:rPr>
      <w:t>1</w:t>
    </w:r>
    <w:r w:rsidR="00C3452B">
      <w:rPr>
        <w:noProof/>
      </w:rPr>
      <w:fldChar w:fldCharType="end"/>
    </w:r>
    <w:r>
      <w:t xml:space="preserve"> of </w:t>
    </w:r>
    <w:r w:rsidR="00C3452B">
      <w:fldChar w:fldCharType="begin"/>
    </w:r>
    <w:r w:rsidR="00C3452B">
      <w:instrText xml:space="preserve"> NUMPAGES \*Arabic </w:instrText>
    </w:r>
    <w:r w:rsidR="00C3452B">
      <w:fldChar w:fldCharType="separate"/>
    </w:r>
    <w:r w:rsidR="007C563B">
      <w:rPr>
        <w:noProof/>
      </w:rPr>
      <w:t>3</w:t>
    </w:r>
    <w:r w:rsidR="00C3452B">
      <w:rPr>
        <w:noProof/>
      </w:rPr>
      <w:fldChar w:fldCharType="end"/>
    </w:r>
    <w:r>
      <w:tab/>
    </w:r>
    <w:bookmarkEnd w:id="1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283B5" w14:textId="77777777" w:rsidR="007C563B" w:rsidRDefault="007C56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0E642" w14:textId="77777777" w:rsidR="00F56FC7" w:rsidRDefault="00F56FC7" w:rsidP="00DB6CDA">
      <w:pPr>
        <w:spacing w:after="0" w:line="240" w:lineRule="auto"/>
      </w:pPr>
      <w:r>
        <w:separator/>
      </w:r>
    </w:p>
  </w:footnote>
  <w:footnote w:type="continuationSeparator" w:id="0">
    <w:p w14:paraId="5B6CE879" w14:textId="77777777" w:rsidR="00F56FC7" w:rsidRDefault="00F56FC7" w:rsidP="00DB6CDA">
      <w:pPr>
        <w:spacing w:after="0" w:line="240" w:lineRule="auto"/>
      </w:pPr>
      <w:r>
        <w:continuationSeparator/>
      </w:r>
    </w:p>
  </w:footnote>
  <w:footnote w:type="continuationNotice" w:id="1">
    <w:p w14:paraId="5B3E63D1" w14:textId="77777777" w:rsidR="00F56FC7" w:rsidRDefault="00F56FC7">
      <w:pPr>
        <w:spacing w:after="0" w:line="240" w:lineRule="auto"/>
      </w:pPr>
    </w:p>
  </w:footnote>
  <w:footnote w:id="2">
    <w:p w14:paraId="6DAADF60" w14:textId="77777777" w:rsidR="006E2E48" w:rsidRPr="008C730F" w:rsidRDefault="006E2E48">
      <w:pPr>
        <w:pStyle w:val="FootnoteText"/>
      </w:pPr>
      <w:r>
        <w:rPr>
          <w:rStyle w:val="FootnoteReference"/>
        </w:rPr>
        <w:footnoteRef/>
      </w:r>
      <w:r>
        <w:t xml:space="preserve"> </w:t>
      </w:r>
      <w:r w:rsidRPr="008C730F">
        <w:t>https://apps.fas.usda.gov/psdonline/</w:t>
      </w:r>
    </w:p>
  </w:footnote>
  <w:footnote w:id="3">
    <w:p w14:paraId="4F485717" w14:textId="77777777" w:rsidR="006E2E48" w:rsidRPr="008C730F" w:rsidRDefault="006E2E48">
      <w:pPr>
        <w:pStyle w:val="FootnoteText"/>
      </w:pPr>
      <w:r>
        <w:rPr>
          <w:rStyle w:val="FootnoteReference"/>
        </w:rPr>
        <w:footnoteRef/>
      </w:r>
      <w:r>
        <w:t xml:space="preserve"> For cereals such a comparison is not possible as the USDA PSD database does not provide separate information for industrial use.</w:t>
      </w:r>
    </w:p>
  </w:footnote>
  <w:footnote w:id="4">
    <w:p w14:paraId="2541F8E1" w14:textId="77777777" w:rsidR="006E2E48" w:rsidRDefault="006E2E48" w:rsidP="001E5281">
      <w:r>
        <w:rPr>
          <w:rStyle w:val="FootnoteReference"/>
        </w:rPr>
        <w:footnoteRef/>
      </w:r>
      <w:r>
        <w:t xml:space="preserve"> </w:t>
      </w:r>
      <w:r w:rsidRPr="001E5281">
        <w:rPr>
          <w:sz w:val="20"/>
          <w:szCs w:val="18"/>
        </w:rPr>
        <w:t>Overall, the rapid growth of industrial use suggests more efforts be placed on data collection at country level, both through statistical offices and/or direct industry contacts.</w:t>
      </w:r>
    </w:p>
    <w:p w14:paraId="6EF59C50" w14:textId="77777777" w:rsidR="006E2E48" w:rsidRPr="001E5281" w:rsidRDefault="006E2E4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664B9" w14:textId="77777777" w:rsidR="007C563B" w:rsidRDefault="007C56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4D3BB" w14:textId="77777777" w:rsidR="007C563B" w:rsidRDefault="007C56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D19DB" w14:textId="77777777" w:rsidR="007C563B" w:rsidRDefault="007C56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0">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5">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0">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1">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4">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0"/>
  </w:num>
  <w:num w:numId="3">
    <w:abstractNumId w:val="19"/>
  </w:num>
  <w:num w:numId="4">
    <w:abstractNumId w:val="1"/>
  </w:num>
  <w:num w:numId="5">
    <w:abstractNumId w:val="26"/>
  </w:num>
  <w:num w:numId="6">
    <w:abstractNumId w:val="30"/>
  </w:num>
  <w:num w:numId="7">
    <w:abstractNumId w:val="57"/>
  </w:num>
  <w:num w:numId="8">
    <w:abstractNumId w:val="59"/>
  </w:num>
  <w:num w:numId="9">
    <w:abstractNumId w:val="63"/>
  </w:num>
  <w:num w:numId="10">
    <w:abstractNumId w:val="53"/>
  </w:num>
  <w:num w:numId="11">
    <w:abstractNumId w:val="34"/>
  </w:num>
  <w:num w:numId="12">
    <w:abstractNumId w:val="45"/>
  </w:num>
  <w:num w:numId="13">
    <w:abstractNumId w:val="55"/>
  </w:num>
  <w:num w:numId="14">
    <w:abstractNumId w:val="18"/>
  </w:num>
  <w:num w:numId="15">
    <w:abstractNumId w:val="24"/>
  </w:num>
  <w:num w:numId="16">
    <w:abstractNumId w:val="38"/>
  </w:num>
  <w:num w:numId="17">
    <w:abstractNumId w:val="41"/>
  </w:num>
  <w:num w:numId="18">
    <w:abstractNumId w:val="58"/>
  </w:num>
  <w:num w:numId="19">
    <w:abstractNumId w:val="20"/>
  </w:num>
  <w:num w:numId="20">
    <w:abstractNumId w:val="37"/>
  </w:num>
  <w:num w:numId="21">
    <w:abstractNumId w:val="54"/>
  </w:num>
  <w:num w:numId="22">
    <w:abstractNumId w:val="22"/>
  </w:num>
  <w:num w:numId="23">
    <w:abstractNumId w:val="36"/>
  </w:num>
  <w:num w:numId="24">
    <w:abstractNumId w:val="11"/>
  </w:num>
  <w:num w:numId="25">
    <w:abstractNumId w:val="61"/>
  </w:num>
  <w:num w:numId="26">
    <w:abstractNumId w:val="60"/>
  </w:num>
  <w:num w:numId="27">
    <w:abstractNumId w:val="17"/>
  </w:num>
  <w:num w:numId="28">
    <w:abstractNumId w:val="32"/>
  </w:num>
  <w:num w:numId="29">
    <w:abstractNumId w:val="56"/>
  </w:num>
  <w:num w:numId="30">
    <w:abstractNumId w:val="0"/>
  </w:num>
  <w:num w:numId="31">
    <w:abstractNumId w:val="31"/>
  </w:num>
  <w:num w:numId="32">
    <w:abstractNumId w:val="62"/>
  </w:num>
  <w:num w:numId="33">
    <w:abstractNumId w:val="15"/>
  </w:num>
  <w:num w:numId="34">
    <w:abstractNumId w:val="14"/>
  </w:num>
  <w:num w:numId="35">
    <w:abstractNumId w:val="23"/>
  </w:num>
  <w:num w:numId="36">
    <w:abstractNumId w:val="21"/>
  </w:num>
  <w:num w:numId="37">
    <w:abstractNumId w:val="16"/>
  </w:num>
  <w:num w:numId="38">
    <w:abstractNumId w:val="51"/>
  </w:num>
  <w:num w:numId="39">
    <w:abstractNumId w:val="29"/>
  </w:num>
  <w:num w:numId="40">
    <w:abstractNumId w:val="42"/>
  </w:num>
  <w:num w:numId="41">
    <w:abstractNumId w:val="44"/>
  </w:num>
  <w:num w:numId="42">
    <w:abstractNumId w:val="43"/>
  </w:num>
  <w:num w:numId="43">
    <w:abstractNumId w:val="12"/>
  </w:num>
  <w:num w:numId="44">
    <w:abstractNumId w:val="52"/>
  </w:num>
  <w:num w:numId="45">
    <w:abstractNumId w:val="13"/>
  </w:num>
  <w:num w:numId="46">
    <w:abstractNumId w:val="33"/>
  </w:num>
  <w:num w:numId="47">
    <w:abstractNumId w:val="46"/>
  </w:num>
  <w:num w:numId="48">
    <w:abstractNumId w:val="40"/>
  </w:num>
  <w:num w:numId="49">
    <w:abstractNumId w:val="35"/>
  </w:num>
  <w:num w:numId="50">
    <w:abstractNumId w:val="25"/>
  </w:num>
  <w:num w:numId="51">
    <w:abstractNumId w:val="48"/>
  </w:num>
  <w:num w:numId="52">
    <w:abstractNumId w:val="64"/>
  </w:num>
  <w:num w:numId="53">
    <w:abstractNumId w:val="49"/>
  </w:num>
  <w:num w:numId="54">
    <w:abstractNumId w:val="47"/>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6704"/>
    <w:rsid w:val="000113E8"/>
    <w:rsid w:val="00012D72"/>
    <w:rsid w:val="00014970"/>
    <w:rsid w:val="000154A1"/>
    <w:rsid w:val="00017A2B"/>
    <w:rsid w:val="00022678"/>
    <w:rsid w:val="000264F4"/>
    <w:rsid w:val="00026618"/>
    <w:rsid w:val="00035558"/>
    <w:rsid w:val="00035AF3"/>
    <w:rsid w:val="00040401"/>
    <w:rsid w:val="000412EE"/>
    <w:rsid w:val="000421CD"/>
    <w:rsid w:val="0004295B"/>
    <w:rsid w:val="00044544"/>
    <w:rsid w:val="00045F7A"/>
    <w:rsid w:val="00047794"/>
    <w:rsid w:val="00047C50"/>
    <w:rsid w:val="00051134"/>
    <w:rsid w:val="00056604"/>
    <w:rsid w:val="000622DB"/>
    <w:rsid w:val="00062783"/>
    <w:rsid w:val="00065285"/>
    <w:rsid w:val="00067AD1"/>
    <w:rsid w:val="0007321F"/>
    <w:rsid w:val="00082617"/>
    <w:rsid w:val="000854D5"/>
    <w:rsid w:val="000867EB"/>
    <w:rsid w:val="00090BA3"/>
    <w:rsid w:val="00093B2C"/>
    <w:rsid w:val="00096776"/>
    <w:rsid w:val="000A4BBB"/>
    <w:rsid w:val="000A5874"/>
    <w:rsid w:val="000A58EC"/>
    <w:rsid w:val="000B360D"/>
    <w:rsid w:val="000B5565"/>
    <w:rsid w:val="000C1376"/>
    <w:rsid w:val="000C27B0"/>
    <w:rsid w:val="000C402C"/>
    <w:rsid w:val="000C422B"/>
    <w:rsid w:val="000C4D1A"/>
    <w:rsid w:val="000D222D"/>
    <w:rsid w:val="000D39E8"/>
    <w:rsid w:val="000D7CE4"/>
    <w:rsid w:val="000E13C3"/>
    <w:rsid w:val="000E27C7"/>
    <w:rsid w:val="000E2E21"/>
    <w:rsid w:val="000E3FFA"/>
    <w:rsid w:val="000E49A5"/>
    <w:rsid w:val="000E5990"/>
    <w:rsid w:val="000F0712"/>
    <w:rsid w:val="000F3E6C"/>
    <w:rsid w:val="001013B2"/>
    <w:rsid w:val="00102789"/>
    <w:rsid w:val="00102F01"/>
    <w:rsid w:val="00103DD9"/>
    <w:rsid w:val="0010677F"/>
    <w:rsid w:val="001068E3"/>
    <w:rsid w:val="00110D2C"/>
    <w:rsid w:val="00110D9F"/>
    <w:rsid w:val="00111DB4"/>
    <w:rsid w:val="00114A21"/>
    <w:rsid w:val="00114FE2"/>
    <w:rsid w:val="00115347"/>
    <w:rsid w:val="00121C3C"/>
    <w:rsid w:val="00122211"/>
    <w:rsid w:val="00122558"/>
    <w:rsid w:val="00126B0D"/>
    <w:rsid w:val="00130B6A"/>
    <w:rsid w:val="001339CB"/>
    <w:rsid w:val="00133D49"/>
    <w:rsid w:val="001353F6"/>
    <w:rsid w:val="00136554"/>
    <w:rsid w:val="001374C2"/>
    <w:rsid w:val="001417E9"/>
    <w:rsid w:val="00145DE3"/>
    <w:rsid w:val="001476EE"/>
    <w:rsid w:val="00147ACF"/>
    <w:rsid w:val="0015461D"/>
    <w:rsid w:val="00155602"/>
    <w:rsid w:val="00155B4D"/>
    <w:rsid w:val="001562E7"/>
    <w:rsid w:val="0015692F"/>
    <w:rsid w:val="00156C87"/>
    <w:rsid w:val="00166939"/>
    <w:rsid w:val="00167B6D"/>
    <w:rsid w:val="00167EE5"/>
    <w:rsid w:val="001715B6"/>
    <w:rsid w:val="00171E58"/>
    <w:rsid w:val="00172852"/>
    <w:rsid w:val="00176595"/>
    <w:rsid w:val="0018088A"/>
    <w:rsid w:val="00184AEA"/>
    <w:rsid w:val="00193156"/>
    <w:rsid w:val="00193C4B"/>
    <w:rsid w:val="00194FEC"/>
    <w:rsid w:val="00197EAF"/>
    <w:rsid w:val="001A06C5"/>
    <w:rsid w:val="001A0A93"/>
    <w:rsid w:val="001A1EA5"/>
    <w:rsid w:val="001A3666"/>
    <w:rsid w:val="001A3D6A"/>
    <w:rsid w:val="001A4B88"/>
    <w:rsid w:val="001A4C27"/>
    <w:rsid w:val="001B0417"/>
    <w:rsid w:val="001B273F"/>
    <w:rsid w:val="001B56EC"/>
    <w:rsid w:val="001C04E0"/>
    <w:rsid w:val="001C1A41"/>
    <w:rsid w:val="001C1D8B"/>
    <w:rsid w:val="001C2BE9"/>
    <w:rsid w:val="001C3696"/>
    <w:rsid w:val="001D084C"/>
    <w:rsid w:val="001D0D76"/>
    <w:rsid w:val="001D4DCC"/>
    <w:rsid w:val="001D6393"/>
    <w:rsid w:val="001E2220"/>
    <w:rsid w:val="001E5281"/>
    <w:rsid w:val="001E58EB"/>
    <w:rsid w:val="001E5E13"/>
    <w:rsid w:val="001E6920"/>
    <w:rsid w:val="001F1472"/>
    <w:rsid w:val="001F1599"/>
    <w:rsid w:val="001F19C9"/>
    <w:rsid w:val="001F3217"/>
    <w:rsid w:val="001F5200"/>
    <w:rsid w:val="001F6212"/>
    <w:rsid w:val="00203A5F"/>
    <w:rsid w:val="00204903"/>
    <w:rsid w:val="00205C7A"/>
    <w:rsid w:val="00205D58"/>
    <w:rsid w:val="0022317E"/>
    <w:rsid w:val="00223221"/>
    <w:rsid w:val="002243BE"/>
    <w:rsid w:val="0023197B"/>
    <w:rsid w:val="00232C5E"/>
    <w:rsid w:val="00242EDA"/>
    <w:rsid w:val="00245A2C"/>
    <w:rsid w:val="00250435"/>
    <w:rsid w:val="002515C7"/>
    <w:rsid w:val="00253A13"/>
    <w:rsid w:val="002609CC"/>
    <w:rsid w:val="00261901"/>
    <w:rsid w:val="00261AA2"/>
    <w:rsid w:val="00270698"/>
    <w:rsid w:val="002718B1"/>
    <w:rsid w:val="002744C3"/>
    <w:rsid w:val="002803E5"/>
    <w:rsid w:val="00290A92"/>
    <w:rsid w:val="00290A95"/>
    <w:rsid w:val="00290B9B"/>
    <w:rsid w:val="00291B6A"/>
    <w:rsid w:val="00295276"/>
    <w:rsid w:val="00296DE8"/>
    <w:rsid w:val="002A057A"/>
    <w:rsid w:val="002A081E"/>
    <w:rsid w:val="002A1563"/>
    <w:rsid w:val="002A46D7"/>
    <w:rsid w:val="002A75AF"/>
    <w:rsid w:val="002B0985"/>
    <w:rsid w:val="002C0E4A"/>
    <w:rsid w:val="002C2022"/>
    <w:rsid w:val="002C59EF"/>
    <w:rsid w:val="002C700D"/>
    <w:rsid w:val="002C773C"/>
    <w:rsid w:val="002D27E3"/>
    <w:rsid w:val="002D546A"/>
    <w:rsid w:val="002D6712"/>
    <w:rsid w:val="002E1DFE"/>
    <w:rsid w:val="002E29DE"/>
    <w:rsid w:val="002F0887"/>
    <w:rsid w:val="002F0CB9"/>
    <w:rsid w:val="002F55AF"/>
    <w:rsid w:val="00300017"/>
    <w:rsid w:val="00301414"/>
    <w:rsid w:val="00301CF0"/>
    <w:rsid w:val="0031095D"/>
    <w:rsid w:val="00311164"/>
    <w:rsid w:val="00312896"/>
    <w:rsid w:val="00312959"/>
    <w:rsid w:val="00315F17"/>
    <w:rsid w:val="0032555A"/>
    <w:rsid w:val="00330B00"/>
    <w:rsid w:val="003335C0"/>
    <w:rsid w:val="00334116"/>
    <w:rsid w:val="00335468"/>
    <w:rsid w:val="00337BF9"/>
    <w:rsid w:val="00340E3F"/>
    <w:rsid w:val="00342E17"/>
    <w:rsid w:val="00344422"/>
    <w:rsid w:val="00345C2C"/>
    <w:rsid w:val="00346893"/>
    <w:rsid w:val="00347363"/>
    <w:rsid w:val="00350726"/>
    <w:rsid w:val="00351000"/>
    <w:rsid w:val="00351629"/>
    <w:rsid w:val="00353BD5"/>
    <w:rsid w:val="00355F46"/>
    <w:rsid w:val="0036414D"/>
    <w:rsid w:val="003664A6"/>
    <w:rsid w:val="00373698"/>
    <w:rsid w:val="003749ED"/>
    <w:rsid w:val="00374C82"/>
    <w:rsid w:val="00375CFB"/>
    <w:rsid w:val="00376274"/>
    <w:rsid w:val="0037696B"/>
    <w:rsid w:val="00380023"/>
    <w:rsid w:val="003804F3"/>
    <w:rsid w:val="00380DAF"/>
    <w:rsid w:val="00386635"/>
    <w:rsid w:val="00392A27"/>
    <w:rsid w:val="00392F3A"/>
    <w:rsid w:val="00396D85"/>
    <w:rsid w:val="003A32A1"/>
    <w:rsid w:val="003A3DA5"/>
    <w:rsid w:val="003A5BFD"/>
    <w:rsid w:val="003A6BD0"/>
    <w:rsid w:val="003A6EDE"/>
    <w:rsid w:val="003B02AA"/>
    <w:rsid w:val="003B0542"/>
    <w:rsid w:val="003B49BF"/>
    <w:rsid w:val="003C00F7"/>
    <w:rsid w:val="003C1E56"/>
    <w:rsid w:val="003C239D"/>
    <w:rsid w:val="003C4744"/>
    <w:rsid w:val="003C4E96"/>
    <w:rsid w:val="003C6AA5"/>
    <w:rsid w:val="003C6ACE"/>
    <w:rsid w:val="003C7025"/>
    <w:rsid w:val="003D5D84"/>
    <w:rsid w:val="003D68F3"/>
    <w:rsid w:val="003D789C"/>
    <w:rsid w:val="003E6821"/>
    <w:rsid w:val="003F0B3E"/>
    <w:rsid w:val="003F3963"/>
    <w:rsid w:val="003F40A0"/>
    <w:rsid w:val="003F4E04"/>
    <w:rsid w:val="003F56EE"/>
    <w:rsid w:val="003F5CAD"/>
    <w:rsid w:val="003F7DB3"/>
    <w:rsid w:val="00401497"/>
    <w:rsid w:val="00401F1C"/>
    <w:rsid w:val="0040676B"/>
    <w:rsid w:val="00407BC7"/>
    <w:rsid w:val="00411BA6"/>
    <w:rsid w:val="004143CB"/>
    <w:rsid w:val="004150F3"/>
    <w:rsid w:val="004151D9"/>
    <w:rsid w:val="004177DF"/>
    <w:rsid w:val="00417C7D"/>
    <w:rsid w:val="004200D2"/>
    <w:rsid w:val="004240BF"/>
    <w:rsid w:val="00424D0B"/>
    <w:rsid w:val="00442B3E"/>
    <w:rsid w:val="00445CF2"/>
    <w:rsid w:val="00450A6B"/>
    <w:rsid w:val="00456395"/>
    <w:rsid w:val="00464368"/>
    <w:rsid w:val="00465275"/>
    <w:rsid w:val="004679B3"/>
    <w:rsid w:val="0047095A"/>
    <w:rsid w:val="0047177D"/>
    <w:rsid w:val="00472224"/>
    <w:rsid w:val="004766E8"/>
    <w:rsid w:val="004779A6"/>
    <w:rsid w:val="0048169D"/>
    <w:rsid w:val="00482D17"/>
    <w:rsid w:val="00483623"/>
    <w:rsid w:val="00485E01"/>
    <w:rsid w:val="00490230"/>
    <w:rsid w:val="00494A88"/>
    <w:rsid w:val="00496AF6"/>
    <w:rsid w:val="0049747E"/>
    <w:rsid w:val="00497F56"/>
    <w:rsid w:val="004A0A69"/>
    <w:rsid w:val="004A2EB6"/>
    <w:rsid w:val="004A34BA"/>
    <w:rsid w:val="004A4BAC"/>
    <w:rsid w:val="004A5D74"/>
    <w:rsid w:val="004B2062"/>
    <w:rsid w:val="004B3819"/>
    <w:rsid w:val="004B63E2"/>
    <w:rsid w:val="004B7547"/>
    <w:rsid w:val="004C0D51"/>
    <w:rsid w:val="004C228B"/>
    <w:rsid w:val="004C287D"/>
    <w:rsid w:val="004C4AD8"/>
    <w:rsid w:val="004C59F2"/>
    <w:rsid w:val="004C5E51"/>
    <w:rsid w:val="004D00DE"/>
    <w:rsid w:val="004D1347"/>
    <w:rsid w:val="004D66DA"/>
    <w:rsid w:val="004D705D"/>
    <w:rsid w:val="004E144E"/>
    <w:rsid w:val="004E2097"/>
    <w:rsid w:val="004F1953"/>
    <w:rsid w:val="004F1D1C"/>
    <w:rsid w:val="004F2E5B"/>
    <w:rsid w:val="004F311A"/>
    <w:rsid w:val="004F65E4"/>
    <w:rsid w:val="004F7A80"/>
    <w:rsid w:val="005003D0"/>
    <w:rsid w:val="00500542"/>
    <w:rsid w:val="005007AA"/>
    <w:rsid w:val="00503404"/>
    <w:rsid w:val="0050444B"/>
    <w:rsid w:val="00505956"/>
    <w:rsid w:val="00505E82"/>
    <w:rsid w:val="00505EE3"/>
    <w:rsid w:val="00506F53"/>
    <w:rsid w:val="00511427"/>
    <w:rsid w:val="0051336F"/>
    <w:rsid w:val="00513521"/>
    <w:rsid w:val="0051366E"/>
    <w:rsid w:val="0051469E"/>
    <w:rsid w:val="005146B9"/>
    <w:rsid w:val="00520BD3"/>
    <w:rsid w:val="00523A4B"/>
    <w:rsid w:val="00525E97"/>
    <w:rsid w:val="0052743E"/>
    <w:rsid w:val="005321B7"/>
    <w:rsid w:val="00534A92"/>
    <w:rsid w:val="00536040"/>
    <w:rsid w:val="0053683D"/>
    <w:rsid w:val="005403A0"/>
    <w:rsid w:val="00542BD2"/>
    <w:rsid w:val="00543456"/>
    <w:rsid w:val="005474CD"/>
    <w:rsid w:val="00561BC9"/>
    <w:rsid w:val="005630C6"/>
    <w:rsid w:val="005729D3"/>
    <w:rsid w:val="00573CF6"/>
    <w:rsid w:val="0057568A"/>
    <w:rsid w:val="00582077"/>
    <w:rsid w:val="00583D15"/>
    <w:rsid w:val="00584C82"/>
    <w:rsid w:val="005852F8"/>
    <w:rsid w:val="00591CC7"/>
    <w:rsid w:val="005936C8"/>
    <w:rsid w:val="00594007"/>
    <w:rsid w:val="0059554E"/>
    <w:rsid w:val="005A0EA1"/>
    <w:rsid w:val="005A1036"/>
    <w:rsid w:val="005A7806"/>
    <w:rsid w:val="005C1715"/>
    <w:rsid w:val="005C18CA"/>
    <w:rsid w:val="005C19F3"/>
    <w:rsid w:val="005C2598"/>
    <w:rsid w:val="005C6648"/>
    <w:rsid w:val="005C6810"/>
    <w:rsid w:val="005D5720"/>
    <w:rsid w:val="005D6108"/>
    <w:rsid w:val="005E0F11"/>
    <w:rsid w:val="005E20EA"/>
    <w:rsid w:val="005E5009"/>
    <w:rsid w:val="005F0B36"/>
    <w:rsid w:val="005F16F6"/>
    <w:rsid w:val="005F1781"/>
    <w:rsid w:val="005F1BAD"/>
    <w:rsid w:val="005F4922"/>
    <w:rsid w:val="00600340"/>
    <w:rsid w:val="006051F9"/>
    <w:rsid w:val="0060612E"/>
    <w:rsid w:val="00611663"/>
    <w:rsid w:val="006236F4"/>
    <w:rsid w:val="006325B8"/>
    <w:rsid w:val="0063355B"/>
    <w:rsid w:val="0063475E"/>
    <w:rsid w:val="00640F83"/>
    <w:rsid w:val="00643841"/>
    <w:rsid w:val="0064744A"/>
    <w:rsid w:val="00653C56"/>
    <w:rsid w:val="00653FB4"/>
    <w:rsid w:val="00657C93"/>
    <w:rsid w:val="00660C76"/>
    <w:rsid w:val="006676C4"/>
    <w:rsid w:val="00667E86"/>
    <w:rsid w:val="00672541"/>
    <w:rsid w:val="00676EE2"/>
    <w:rsid w:val="006812BD"/>
    <w:rsid w:val="006861B4"/>
    <w:rsid w:val="0069308B"/>
    <w:rsid w:val="006A0525"/>
    <w:rsid w:val="006A1085"/>
    <w:rsid w:val="006A19C4"/>
    <w:rsid w:val="006A3C4A"/>
    <w:rsid w:val="006A5BC2"/>
    <w:rsid w:val="006A5F94"/>
    <w:rsid w:val="006A7320"/>
    <w:rsid w:val="006B126F"/>
    <w:rsid w:val="006B2B44"/>
    <w:rsid w:val="006C05AE"/>
    <w:rsid w:val="006C244D"/>
    <w:rsid w:val="006C28E2"/>
    <w:rsid w:val="006C454E"/>
    <w:rsid w:val="006C5510"/>
    <w:rsid w:val="006C673F"/>
    <w:rsid w:val="006D0BE8"/>
    <w:rsid w:val="006D588E"/>
    <w:rsid w:val="006D6274"/>
    <w:rsid w:val="006D7B99"/>
    <w:rsid w:val="006E2E48"/>
    <w:rsid w:val="006E32A4"/>
    <w:rsid w:val="006E7119"/>
    <w:rsid w:val="006F0C9D"/>
    <w:rsid w:val="006F2F31"/>
    <w:rsid w:val="006F3003"/>
    <w:rsid w:val="006F58F3"/>
    <w:rsid w:val="006F7A09"/>
    <w:rsid w:val="00704369"/>
    <w:rsid w:val="007043CF"/>
    <w:rsid w:val="0070646C"/>
    <w:rsid w:val="00706B28"/>
    <w:rsid w:val="00711E0F"/>
    <w:rsid w:val="00714233"/>
    <w:rsid w:val="007156BD"/>
    <w:rsid w:val="00721FA3"/>
    <w:rsid w:val="00722C67"/>
    <w:rsid w:val="00726810"/>
    <w:rsid w:val="007340ED"/>
    <w:rsid w:val="00742863"/>
    <w:rsid w:val="007438AE"/>
    <w:rsid w:val="00746DB6"/>
    <w:rsid w:val="00761865"/>
    <w:rsid w:val="0076218E"/>
    <w:rsid w:val="007623F4"/>
    <w:rsid w:val="00781EC2"/>
    <w:rsid w:val="00790A12"/>
    <w:rsid w:val="007912C4"/>
    <w:rsid w:val="007920B0"/>
    <w:rsid w:val="0079361F"/>
    <w:rsid w:val="007A7332"/>
    <w:rsid w:val="007B0625"/>
    <w:rsid w:val="007B6164"/>
    <w:rsid w:val="007C28B1"/>
    <w:rsid w:val="007C563B"/>
    <w:rsid w:val="007C57F5"/>
    <w:rsid w:val="007C5919"/>
    <w:rsid w:val="007C6C51"/>
    <w:rsid w:val="007C7111"/>
    <w:rsid w:val="007D02FB"/>
    <w:rsid w:val="007D217F"/>
    <w:rsid w:val="007D3DE0"/>
    <w:rsid w:val="007D4247"/>
    <w:rsid w:val="007D70A5"/>
    <w:rsid w:val="007E0482"/>
    <w:rsid w:val="007E04A5"/>
    <w:rsid w:val="007E09C4"/>
    <w:rsid w:val="007E3547"/>
    <w:rsid w:val="007F0981"/>
    <w:rsid w:val="007F2666"/>
    <w:rsid w:val="00805271"/>
    <w:rsid w:val="00805C41"/>
    <w:rsid w:val="008066B5"/>
    <w:rsid w:val="00811253"/>
    <w:rsid w:val="008116E9"/>
    <w:rsid w:val="008162AB"/>
    <w:rsid w:val="00817A9B"/>
    <w:rsid w:val="00820919"/>
    <w:rsid w:val="00823626"/>
    <w:rsid w:val="00824962"/>
    <w:rsid w:val="00833C3C"/>
    <w:rsid w:val="0083635F"/>
    <w:rsid w:val="00846B16"/>
    <w:rsid w:val="00846C4F"/>
    <w:rsid w:val="00851330"/>
    <w:rsid w:val="00852A27"/>
    <w:rsid w:val="008604DA"/>
    <w:rsid w:val="00862300"/>
    <w:rsid w:val="00862722"/>
    <w:rsid w:val="00862DC3"/>
    <w:rsid w:val="00867820"/>
    <w:rsid w:val="00867AA1"/>
    <w:rsid w:val="008755A8"/>
    <w:rsid w:val="008772D1"/>
    <w:rsid w:val="008814B8"/>
    <w:rsid w:val="008815A1"/>
    <w:rsid w:val="0088229C"/>
    <w:rsid w:val="008843AB"/>
    <w:rsid w:val="008851F9"/>
    <w:rsid w:val="008870CD"/>
    <w:rsid w:val="00887FF2"/>
    <w:rsid w:val="00891363"/>
    <w:rsid w:val="00892C99"/>
    <w:rsid w:val="00893802"/>
    <w:rsid w:val="00894E96"/>
    <w:rsid w:val="00896933"/>
    <w:rsid w:val="008A490B"/>
    <w:rsid w:val="008A4E33"/>
    <w:rsid w:val="008A5D12"/>
    <w:rsid w:val="008B0C44"/>
    <w:rsid w:val="008B1749"/>
    <w:rsid w:val="008B66E4"/>
    <w:rsid w:val="008B731C"/>
    <w:rsid w:val="008C38F7"/>
    <w:rsid w:val="008C3AAB"/>
    <w:rsid w:val="008C3E1E"/>
    <w:rsid w:val="008C46F9"/>
    <w:rsid w:val="008C730F"/>
    <w:rsid w:val="008D3A03"/>
    <w:rsid w:val="008D4E79"/>
    <w:rsid w:val="008D5028"/>
    <w:rsid w:val="008D7D48"/>
    <w:rsid w:val="008E1789"/>
    <w:rsid w:val="008E18EB"/>
    <w:rsid w:val="008E2C5B"/>
    <w:rsid w:val="008E4F1C"/>
    <w:rsid w:val="008F0D3A"/>
    <w:rsid w:val="008F2704"/>
    <w:rsid w:val="008F35ED"/>
    <w:rsid w:val="008F4D73"/>
    <w:rsid w:val="008F4DED"/>
    <w:rsid w:val="008F76B4"/>
    <w:rsid w:val="0090296E"/>
    <w:rsid w:val="00907C2A"/>
    <w:rsid w:val="00913EB1"/>
    <w:rsid w:val="009175CC"/>
    <w:rsid w:val="009222D9"/>
    <w:rsid w:val="0092387E"/>
    <w:rsid w:val="00925E69"/>
    <w:rsid w:val="00926673"/>
    <w:rsid w:val="0092690C"/>
    <w:rsid w:val="00927570"/>
    <w:rsid w:val="00927EEC"/>
    <w:rsid w:val="00931520"/>
    <w:rsid w:val="00932E35"/>
    <w:rsid w:val="0093464A"/>
    <w:rsid w:val="00937D90"/>
    <w:rsid w:val="00940386"/>
    <w:rsid w:val="0094157A"/>
    <w:rsid w:val="009422A9"/>
    <w:rsid w:val="009430FB"/>
    <w:rsid w:val="00943822"/>
    <w:rsid w:val="009459DF"/>
    <w:rsid w:val="00951319"/>
    <w:rsid w:val="00953993"/>
    <w:rsid w:val="00953E14"/>
    <w:rsid w:val="00955CA0"/>
    <w:rsid w:val="00956008"/>
    <w:rsid w:val="009571C8"/>
    <w:rsid w:val="0095751D"/>
    <w:rsid w:val="009616CB"/>
    <w:rsid w:val="00962EF5"/>
    <w:rsid w:val="009665E6"/>
    <w:rsid w:val="0097372B"/>
    <w:rsid w:val="0097374A"/>
    <w:rsid w:val="00982B47"/>
    <w:rsid w:val="00982B99"/>
    <w:rsid w:val="009843FB"/>
    <w:rsid w:val="00992213"/>
    <w:rsid w:val="00993611"/>
    <w:rsid w:val="009937F7"/>
    <w:rsid w:val="00996555"/>
    <w:rsid w:val="009A3452"/>
    <w:rsid w:val="009A4ECB"/>
    <w:rsid w:val="009B438F"/>
    <w:rsid w:val="009B4B33"/>
    <w:rsid w:val="009B5855"/>
    <w:rsid w:val="009B5C07"/>
    <w:rsid w:val="009B6378"/>
    <w:rsid w:val="009C087B"/>
    <w:rsid w:val="009C2CF8"/>
    <w:rsid w:val="009C68C6"/>
    <w:rsid w:val="009D466E"/>
    <w:rsid w:val="009D4D5F"/>
    <w:rsid w:val="009E25F8"/>
    <w:rsid w:val="009E6E42"/>
    <w:rsid w:val="009F17CB"/>
    <w:rsid w:val="009F2072"/>
    <w:rsid w:val="009F3A40"/>
    <w:rsid w:val="009F457A"/>
    <w:rsid w:val="00A02CEA"/>
    <w:rsid w:val="00A10B46"/>
    <w:rsid w:val="00A11590"/>
    <w:rsid w:val="00A12ACA"/>
    <w:rsid w:val="00A1526A"/>
    <w:rsid w:val="00A17D8E"/>
    <w:rsid w:val="00A219BE"/>
    <w:rsid w:val="00A22ADA"/>
    <w:rsid w:val="00A24748"/>
    <w:rsid w:val="00A249E9"/>
    <w:rsid w:val="00A24F19"/>
    <w:rsid w:val="00A25A94"/>
    <w:rsid w:val="00A25C44"/>
    <w:rsid w:val="00A3083A"/>
    <w:rsid w:val="00A31E23"/>
    <w:rsid w:val="00A3370E"/>
    <w:rsid w:val="00A33A15"/>
    <w:rsid w:val="00A34AEC"/>
    <w:rsid w:val="00A356A9"/>
    <w:rsid w:val="00A410AC"/>
    <w:rsid w:val="00A43912"/>
    <w:rsid w:val="00A448AA"/>
    <w:rsid w:val="00A44CEB"/>
    <w:rsid w:val="00A44D1B"/>
    <w:rsid w:val="00A52FAF"/>
    <w:rsid w:val="00A531B4"/>
    <w:rsid w:val="00A54A6D"/>
    <w:rsid w:val="00A601C6"/>
    <w:rsid w:val="00A61D47"/>
    <w:rsid w:val="00A6272D"/>
    <w:rsid w:val="00A63B01"/>
    <w:rsid w:val="00A65712"/>
    <w:rsid w:val="00A67CF0"/>
    <w:rsid w:val="00A74724"/>
    <w:rsid w:val="00A800FF"/>
    <w:rsid w:val="00A80B1C"/>
    <w:rsid w:val="00A80E90"/>
    <w:rsid w:val="00A81CF8"/>
    <w:rsid w:val="00A8403F"/>
    <w:rsid w:val="00A85363"/>
    <w:rsid w:val="00A95227"/>
    <w:rsid w:val="00A96307"/>
    <w:rsid w:val="00A9733C"/>
    <w:rsid w:val="00AA07CE"/>
    <w:rsid w:val="00AA17A3"/>
    <w:rsid w:val="00AA2701"/>
    <w:rsid w:val="00AA4884"/>
    <w:rsid w:val="00AA4FEB"/>
    <w:rsid w:val="00AA5F53"/>
    <w:rsid w:val="00AB1235"/>
    <w:rsid w:val="00AB2081"/>
    <w:rsid w:val="00AB4B94"/>
    <w:rsid w:val="00AB60CD"/>
    <w:rsid w:val="00AB6320"/>
    <w:rsid w:val="00AC46B3"/>
    <w:rsid w:val="00AC4838"/>
    <w:rsid w:val="00AD062D"/>
    <w:rsid w:val="00AD3BFF"/>
    <w:rsid w:val="00AD3D7E"/>
    <w:rsid w:val="00AD6356"/>
    <w:rsid w:val="00AD758C"/>
    <w:rsid w:val="00AE2599"/>
    <w:rsid w:val="00AE4D4B"/>
    <w:rsid w:val="00AE70E2"/>
    <w:rsid w:val="00AF0691"/>
    <w:rsid w:val="00AF19C9"/>
    <w:rsid w:val="00AF27C6"/>
    <w:rsid w:val="00AF7972"/>
    <w:rsid w:val="00AF7C2C"/>
    <w:rsid w:val="00B0066F"/>
    <w:rsid w:val="00B04572"/>
    <w:rsid w:val="00B04B43"/>
    <w:rsid w:val="00B07291"/>
    <w:rsid w:val="00B1077B"/>
    <w:rsid w:val="00B1130C"/>
    <w:rsid w:val="00B14120"/>
    <w:rsid w:val="00B141C4"/>
    <w:rsid w:val="00B15268"/>
    <w:rsid w:val="00B15641"/>
    <w:rsid w:val="00B2210D"/>
    <w:rsid w:val="00B22416"/>
    <w:rsid w:val="00B2482E"/>
    <w:rsid w:val="00B24AD0"/>
    <w:rsid w:val="00B26E27"/>
    <w:rsid w:val="00B32469"/>
    <w:rsid w:val="00B35831"/>
    <w:rsid w:val="00B406F4"/>
    <w:rsid w:val="00B4421E"/>
    <w:rsid w:val="00B445C5"/>
    <w:rsid w:val="00B44757"/>
    <w:rsid w:val="00B44A5A"/>
    <w:rsid w:val="00B500A6"/>
    <w:rsid w:val="00B51EC9"/>
    <w:rsid w:val="00B5440F"/>
    <w:rsid w:val="00B554F1"/>
    <w:rsid w:val="00B62580"/>
    <w:rsid w:val="00B70009"/>
    <w:rsid w:val="00B71383"/>
    <w:rsid w:val="00B76119"/>
    <w:rsid w:val="00B76A92"/>
    <w:rsid w:val="00B80079"/>
    <w:rsid w:val="00B80A8F"/>
    <w:rsid w:val="00B80EB9"/>
    <w:rsid w:val="00B82154"/>
    <w:rsid w:val="00B836CF"/>
    <w:rsid w:val="00B86102"/>
    <w:rsid w:val="00B877EE"/>
    <w:rsid w:val="00B90353"/>
    <w:rsid w:val="00B90D8D"/>
    <w:rsid w:val="00B93F44"/>
    <w:rsid w:val="00BA0107"/>
    <w:rsid w:val="00BA19DC"/>
    <w:rsid w:val="00BA43AE"/>
    <w:rsid w:val="00BA5A82"/>
    <w:rsid w:val="00BA6121"/>
    <w:rsid w:val="00BB22F5"/>
    <w:rsid w:val="00BB25C6"/>
    <w:rsid w:val="00BB64A5"/>
    <w:rsid w:val="00BC2CDF"/>
    <w:rsid w:val="00BC2ED9"/>
    <w:rsid w:val="00BD01CF"/>
    <w:rsid w:val="00BD07CA"/>
    <w:rsid w:val="00BD08A9"/>
    <w:rsid w:val="00BD24CC"/>
    <w:rsid w:val="00BD3620"/>
    <w:rsid w:val="00BD5B80"/>
    <w:rsid w:val="00BE1CA0"/>
    <w:rsid w:val="00BE1E8B"/>
    <w:rsid w:val="00BE2E03"/>
    <w:rsid w:val="00BE3BFA"/>
    <w:rsid w:val="00BE6D63"/>
    <w:rsid w:val="00BF3C09"/>
    <w:rsid w:val="00BF4262"/>
    <w:rsid w:val="00BF4697"/>
    <w:rsid w:val="00C0124C"/>
    <w:rsid w:val="00C017F7"/>
    <w:rsid w:val="00C01B71"/>
    <w:rsid w:val="00C06DED"/>
    <w:rsid w:val="00C06EB9"/>
    <w:rsid w:val="00C07636"/>
    <w:rsid w:val="00C1637C"/>
    <w:rsid w:val="00C27F2D"/>
    <w:rsid w:val="00C32ED8"/>
    <w:rsid w:val="00C3452B"/>
    <w:rsid w:val="00C35402"/>
    <w:rsid w:val="00C3747E"/>
    <w:rsid w:val="00C4241C"/>
    <w:rsid w:val="00C4334D"/>
    <w:rsid w:val="00C457A0"/>
    <w:rsid w:val="00C45C0C"/>
    <w:rsid w:val="00C46C67"/>
    <w:rsid w:val="00C500F7"/>
    <w:rsid w:val="00C54184"/>
    <w:rsid w:val="00C62BEB"/>
    <w:rsid w:val="00C63982"/>
    <w:rsid w:val="00C67573"/>
    <w:rsid w:val="00C70D72"/>
    <w:rsid w:val="00C720F5"/>
    <w:rsid w:val="00C757FD"/>
    <w:rsid w:val="00C76CBD"/>
    <w:rsid w:val="00C80973"/>
    <w:rsid w:val="00C80AD9"/>
    <w:rsid w:val="00C84C98"/>
    <w:rsid w:val="00C859EF"/>
    <w:rsid w:val="00C91925"/>
    <w:rsid w:val="00C91D55"/>
    <w:rsid w:val="00C9492D"/>
    <w:rsid w:val="00C949B0"/>
    <w:rsid w:val="00CA196B"/>
    <w:rsid w:val="00CA6796"/>
    <w:rsid w:val="00CB0E24"/>
    <w:rsid w:val="00CB25B1"/>
    <w:rsid w:val="00CB37B9"/>
    <w:rsid w:val="00CB5AFF"/>
    <w:rsid w:val="00CB6E4A"/>
    <w:rsid w:val="00CB7427"/>
    <w:rsid w:val="00CD425A"/>
    <w:rsid w:val="00CD4DCB"/>
    <w:rsid w:val="00CE0903"/>
    <w:rsid w:val="00CE0BF9"/>
    <w:rsid w:val="00CE2347"/>
    <w:rsid w:val="00CE6332"/>
    <w:rsid w:val="00CF14D1"/>
    <w:rsid w:val="00CF57F4"/>
    <w:rsid w:val="00CF730D"/>
    <w:rsid w:val="00D00E82"/>
    <w:rsid w:val="00D01AE7"/>
    <w:rsid w:val="00D05BF4"/>
    <w:rsid w:val="00D06399"/>
    <w:rsid w:val="00D06B76"/>
    <w:rsid w:val="00D06DB1"/>
    <w:rsid w:val="00D11D89"/>
    <w:rsid w:val="00D15A87"/>
    <w:rsid w:val="00D205FD"/>
    <w:rsid w:val="00D20BF0"/>
    <w:rsid w:val="00D261DB"/>
    <w:rsid w:val="00D46A0C"/>
    <w:rsid w:val="00D52B86"/>
    <w:rsid w:val="00D57137"/>
    <w:rsid w:val="00D63B32"/>
    <w:rsid w:val="00D6465E"/>
    <w:rsid w:val="00D64F7A"/>
    <w:rsid w:val="00D65E32"/>
    <w:rsid w:val="00D70D83"/>
    <w:rsid w:val="00D714EF"/>
    <w:rsid w:val="00D742CF"/>
    <w:rsid w:val="00D81076"/>
    <w:rsid w:val="00D84045"/>
    <w:rsid w:val="00D878A0"/>
    <w:rsid w:val="00D9165B"/>
    <w:rsid w:val="00D91C60"/>
    <w:rsid w:val="00D94F6C"/>
    <w:rsid w:val="00D96749"/>
    <w:rsid w:val="00DA50AC"/>
    <w:rsid w:val="00DB1689"/>
    <w:rsid w:val="00DB19E0"/>
    <w:rsid w:val="00DB3594"/>
    <w:rsid w:val="00DB43F6"/>
    <w:rsid w:val="00DB6CDA"/>
    <w:rsid w:val="00DC2C77"/>
    <w:rsid w:val="00DC2C8B"/>
    <w:rsid w:val="00DC2C9A"/>
    <w:rsid w:val="00DC39BC"/>
    <w:rsid w:val="00DC462B"/>
    <w:rsid w:val="00DD2E9D"/>
    <w:rsid w:val="00DD47B4"/>
    <w:rsid w:val="00DE1E38"/>
    <w:rsid w:val="00DE37EA"/>
    <w:rsid w:val="00DE3D86"/>
    <w:rsid w:val="00DE595D"/>
    <w:rsid w:val="00DE5D89"/>
    <w:rsid w:val="00DF4AA6"/>
    <w:rsid w:val="00DF7DBA"/>
    <w:rsid w:val="00E007AD"/>
    <w:rsid w:val="00E01500"/>
    <w:rsid w:val="00E02722"/>
    <w:rsid w:val="00E02775"/>
    <w:rsid w:val="00E0298F"/>
    <w:rsid w:val="00E05221"/>
    <w:rsid w:val="00E057BA"/>
    <w:rsid w:val="00E05E81"/>
    <w:rsid w:val="00E11440"/>
    <w:rsid w:val="00E136CA"/>
    <w:rsid w:val="00E14B00"/>
    <w:rsid w:val="00E15B2D"/>
    <w:rsid w:val="00E16636"/>
    <w:rsid w:val="00E22F11"/>
    <w:rsid w:val="00E26435"/>
    <w:rsid w:val="00E304EE"/>
    <w:rsid w:val="00E32516"/>
    <w:rsid w:val="00E3463F"/>
    <w:rsid w:val="00E41780"/>
    <w:rsid w:val="00E41F39"/>
    <w:rsid w:val="00E4319E"/>
    <w:rsid w:val="00E444CD"/>
    <w:rsid w:val="00E46A6F"/>
    <w:rsid w:val="00E512F4"/>
    <w:rsid w:val="00E5297B"/>
    <w:rsid w:val="00E52F68"/>
    <w:rsid w:val="00E542CD"/>
    <w:rsid w:val="00E54FC6"/>
    <w:rsid w:val="00E566EB"/>
    <w:rsid w:val="00E70192"/>
    <w:rsid w:val="00E73875"/>
    <w:rsid w:val="00E748D7"/>
    <w:rsid w:val="00E774B0"/>
    <w:rsid w:val="00E777BC"/>
    <w:rsid w:val="00E8132F"/>
    <w:rsid w:val="00E82B0F"/>
    <w:rsid w:val="00E8302D"/>
    <w:rsid w:val="00E83340"/>
    <w:rsid w:val="00E85A3D"/>
    <w:rsid w:val="00E90B28"/>
    <w:rsid w:val="00E93C3B"/>
    <w:rsid w:val="00E94EAD"/>
    <w:rsid w:val="00EA1A21"/>
    <w:rsid w:val="00EA5966"/>
    <w:rsid w:val="00EA6005"/>
    <w:rsid w:val="00EA610D"/>
    <w:rsid w:val="00EB16E2"/>
    <w:rsid w:val="00EB1ABC"/>
    <w:rsid w:val="00EB2009"/>
    <w:rsid w:val="00EB2C30"/>
    <w:rsid w:val="00EB3FCC"/>
    <w:rsid w:val="00EB7AF1"/>
    <w:rsid w:val="00EC037A"/>
    <w:rsid w:val="00EC6D25"/>
    <w:rsid w:val="00ED1B4C"/>
    <w:rsid w:val="00ED2B7B"/>
    <w:rsid w:val="00ED5823"/>
    <w:rsid w:val="00ED6095"/>
    <w:rsid w:val="00ED757B"/>
    <w:rsid w:val="00EE0695"/>
    <w:rsid w:val="00EE226A"/>
    <w:rsid w:val="00EE3B2D"/>
    <w:rsid w:val="00EF2733"/>
    <w:rsid w:val="00EF4286"/>
    <w:rsid w:val="00EF5F69"/>
    <w:rsid w:val="00EF7653"/>
    <w:rsid w:val="00F01C88"/>
    <w:rsid w:val="00F02494"/>
    <w:rsid w:val="00F05E30"/>
    <w:rsid w:val="00F150B3"/>
    <w:rsid w:val="00F17666"/>
    <w:rsid w:val="00F228AD"/>
    <w:rsid w:val="00F255D3"/>
    <w:rsid w:val="00F277D9"/>
    <w:rsid w:val="00F301CE"/>
    <w:rsid w:val="00F304D5"/>
    <w:rsid w:val="00F31509"/>
    <w:rsid w:val="00F3178F"/>
    <w:rsid w:val="00F31AAA"/>
    <w:rsid w:val="00F35597"/>
    <w:rsid w:val="00F419F3"/>
    <w:rsid w:val="00F441D0"/>
    <w:rsid w:val="00F449C6"/>
    <w:rsid w:val="00F53012"/>
    <w:rsid w:val="00F5550E"/>
    <w:rsid w:val="00F56FC7"/>
    <w:rsid w:val="00F573D0"/>
    <w:rsid w:val="00F5751E"/>
    <w:rsid w:val="00F60E97"/>
    <w:rsid w:val="00F61868"/>
    <w:rsid w:val="00F649C0"/>
    <w:rsid w:val="00F64D40"/>
    <w:rsid w:val="00F64FE0"/>
    <w:rsid w:val="00F655D7"/>
    <w:rsid w:val="00F67274"/>
    <w:rsid w:val="00F75238"/>
    <w:rsid w:val="00F756BD"/>
    <w:rsid w:val="00F76DCF"/>
    <w:rsid w:val="00F811C0"/>
    <w:rsid w:val="00F81AE7"/>
    <w:rsid w:val="00F83664"/>
    <w:rsid w:val="00F83C92"/>
    <w:rsid w:val="00F857C8"/>
    <w:rsid w:val="00F87D1F"/>
    <w:rsid w:val="00F920FE"/>
    <w:rsid w:val="00F955A7"/>
    <w:rsid w:val="00F95981"/>
    <w:rsid w:val="00F96921"/>
    <w:rsid w:val="00FA3F98"/>
    <w:rsid w:val="00FA7BE2"/>
    <w:rsid w:val="00FB12DF"/>
    <w:rsid w:val="00FB13E7"/>
    <w:rsid w:val="00FB1802"/>
    <w:rsid w:val="00FB1C8E"/>
    <w:rsid w:val="00FB259F"/>
    <w:rsid w:val="00FB5DAD"/>
    <w:rsid w:val="00FB6315"/>
    <w:rsid w:val="00FC0360"/>
    <w:rsid w:val="00FC5A62"/>
    <w:rsid w:val="00FC5D04"/>
    <w:rsid w:val="00FC6477"/>
    <w:rsid w:val="00FD11AB"/>
    <w:rsid w:val="00FD1CAB"/>
    <w:rsid w:val="00FD2564"/>
    <w:rsid w:val="00FD35B6"/>
    <w:rsid w:val="00FD5239"/>
    <w:rsid w:val="00FE0776"/>
    <w:rsid w:val="00FE38DB"/>
    <w:rsid w:val="00FE4E53"/>
    <w:rsid w:val="00FF08C8"/>
    <w:rsid w:val="00FF174D"/>
    <w:rsid w:val="00FF513B"/>
    <w:rsid w:val="00FF697C"/>
    <w:rsid w:val="00FF6CFE"/>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7C563B"/>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7C563B"/>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7C563B"/>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uiPriority w:val="9"/>
    <w:qFormat/>
    <w:rsid w:val="00E70192"/>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uiPriority w:val="9"/>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7C563B"/>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7C563B"/>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7C563B"/>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7C563B"/>
    <w:pPr>
      <w:spacing w:after="0" w:line="240" w:lineRule="auto"/>
    </w:pPr>
  </w:style>
  <w:style w:type="paragraph" w:styleId="Footer">
    <w:name w:val="footer"/>
    <w:basedOn w:val="Normal"/>
    <w:link w:val="FooterChar"/>
    <w:uiPriority w:val="99"/>
    <w:rsid w:val="007C563B"/>
    <w:pPr>
      <w:spacing w:after="0" w:line="240" w:lineRule="auto"/>
    </w:pPr>
  </w:style>
  <w:style w:type="paragraph" w:styleId="BalloonText">
    <w:name w:val="Balloon Text"/>
    <w:basedOn w:val="Normal"/>
    <w:link w:val="BalloonTextChar"/>
    <w:uiPriority w:val="99"/>
    <w:rsid w:val="007C563B"/>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7C563B"/>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7C563B"/>
    <w:rPr>
      <w:sz w:val="20"/>
      <w:szCs w:val="20"/>
    </w:rPr>
  </w:style>
  <w:style w:type="paragraph" w:styleId="CommentSubject">
    <w:name w:val="annotation subject"/>
    <w:basedOn w:val="CommentText"/>
    <w:next w:val="CommentText"/>
    <w:link w:val="CommentSubjectChar"/>
    <w:uiPriority w:val="99"/>
    <w:rsid w:val="007C563B"/>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7C563B"/>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7C563B"/>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7C563B"/>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uiPriority w:val="9"/>
    <w:qFormat/>
    <w:rsid w:val="00E70192"/>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uiPriority w:val="9"/>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7C563B"/>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7C563B"/>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7C563B"/>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7C563B"/>
    <w:pPr>
      <w:spacing w:after="0" w:line="240" w:lineRule="auto"/>
    </w:pPr>
  </w:style>
  <w:style w:type="paragraph" w:styleId="Footer">
    <w:name w:val="footer"/>
    <w:basedOn w:val="Normal"/>
    <w:link w:val="FooterChar"/>
    <w:uiPriority w:val="99"/>
    <w:rsid w:val="007C563B"/>
    <w:pPr>
      <w:spacing w:after="0" w:line="240" w:lineRule="auto"/>
    </w:pPr>
  </w:style>
  <w:style w:type="paragraph" w:styleId="BalloonText">
    <w:name w:val="Balloon Text"/>
    <w:basedOn w:val="Normal"/>
    <w:link w:val="BalloonTextChar"/>
    <w:uiPriority w:val="99"/>
    <w:rsid w:val="007C563B"/>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7C563B"/>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7C563B"/>
    <w:rPr>
      <w:sz w:val="20"/>
      <w:szCs w:val="20"/>
    </w:rPr>
  </w:style>
  <w:style w:type="paragraph" w:styleId="CommentSubject">
    <w:name w:val="annotation subject"/>
    <w:basedOn w:val="CommentText"/>
    <w:next w:val="CommentText"/>
    <w:link w:val="CommentSubjectChar"/>
    <w:uiPriority w:val="99"/>
    <w:rsid w:val="007C563B"/>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e862b6801c3e46d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253b5b2377a046ce"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chmidhube\OneDrive\FAO\SWS\industrial%20use\other%20uses%20FAOS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FAOSTAT other uses, USDA industrial use</a:t>
            </a:r>
          </a:p>
        </c:rich>
      </c:tx>
      <c:overlay val="0"/>
      <c:spPr>
        <a:noFill/>
        <a:ln>
          <a:noFill/>
        </a:ln>
        <a:effectLst/>
      </c:spPr>
    </c:title>
    <c:autoTitleDeleted val="0"/>
    <c:plotArea>
      <c:layout/>
      <c:lineChart>
        <c:grouping val="standard"/>
        <c:varyColors val="0"/>
        <c:ser>
          <c:idx val="0"/>
          <c:order val="0"/>
          <c:tx>
            <c:strRef>
              <c:f>sheet1!$C$2</c:f>
              <c:strCache>
                <c:ptCount val="1"/>
                <c:pt idx="0">
                  <c:v>Cereals - Excluding Beer</c:v>
                </c:pt>
              </c:strCache>
            </c:strRef>
          </c:tx>
          <c:spPr>
            <a:ln w="28575" cap="rnd">
              <a:solidFill>
                <a:schemeClr val="accent1"/>
              </a:solidFill>
              <a:round/>
            </a:ln>
            <a:effectLst/>
          </c:spPr>
          <c:marker>
            <c:symbol val="none"/>
          </c:marker>
          <c:cat>
            <c:strRef>
              <c:f>sheet1!$D$1:$BB$1</c:f>
              <c:strCache>
                <c:ptCount val="51"/>
                <c:pt idx="0">
                  <c:v> 1961</c:v>
                </c:pt>
                <c:pt idx="1">
                  <c:v> 1962</c:v>
                </c:pt>
                <c:pt idx="2">
                  <c:v> 1963</c:v>
                </c:pt>
                <c:pt idx="3">
                  <c:v> 1964</c:v>
                </c:pt>
                <c:pt idx="4">
                  <c:v> 1965</c:v>
                </c:pt>
                <c:pt idx="5">
                  <c:v> 1966</c:v>
                </c:pt>
                <c:pt idx="6">
                  <c:v> 1967</c:v>
                </c:pt>
                <c:pt idx="7">
                  <c:v> 1968</c:v>
                </c:pt>
                <c:pt idx="8">
                  <c:v> 1969</c:v>
                </c:pt>
                <c:pt idx="9">
                  <c:v> 1970</c:v>
                </c:pt>
                <c:pt idx="10">
                  <c:v> 1971</c:v>
                </c:pt>
                <c:pt idx="11">
                  <c:v> 1972</c:v>
                </c:pt>
                <c:pt idx="12">
                  <c:v> 1973</c:v>
                </c:pt>
                <c:pt idx="13">
                  <c:v> 1974</c:v>
                </c:pt>
                <c:pt idx="14">
                  <c:v> 1975</c:v>
                </c:pt>
                <c:pt idx="15">
                  <c:v> 1976</c:v>
                </c:pt>
                <c:pt idx="16">
                  <c:v> 1977</c:v>
                </c:pt>
                <c:pt idx="17">
                  <c:v> 1978</c:v>
                </c:pt>
                <c:pt idx="18">
                  <c:v> 1979</c:v>
                </c:pt>
                <c:pt idx="19">
                  <c:v> 1980</c:v>
                </c:pt>
                <c:pt idx="20">
                  <c:v> 1981</c:v>
                </c:pt>
                <c:pt idx="21">
                  <c:v> 1982</c:v>
                </c:pt>
                <c:pt idx="22">
                  <c:v> 1983</c:v>
                </c:pt>
                <c:pt idx="23">
                  <c:v> 1984</c:v>
                </c:pt>
                <c:pt idx="24">
                  <c:v> 1985</c:v>
                </c:pt>
                <c:pt idx="25">
                  <c:v> 1986</c:v>
                </c:pt>
                <c:pt idx="26">
                  <c:v> 1987</c:v>
                </c:pt>
                <c:pt idx="27">
                  <c:v> 1988</c:v>
                </c:pt>
                <c:pt idx="28">
                  <c:v> 1989</c:v>
                </c:pt>
                <c:pt idx="29">
                  <c:v> 1990</c:v>
                </c:pt>
                <c:pt idx="30">
                  <c:v> 1991</c:v>
                </c:pt>
                <c:pt idx="31">
                  <c:v> 1992</c:v>
                </c:pt>
                <c:pt idx="32">
                  <c:v> 1993</c:v>
                </c:pt>
                <c:pt idx="33">
                  <c:v> 1994</c:v>
                </c:pt>
                <c:pt idx="34">
                  <c:v> 1995</c:v>
                </c:pt>
                <c:pt idx="35">
                  <c:v> 1996</c:v>
                </c:pt>
                <c:pt idx="36">
                  <c:v> 1997</c:v>
                </c:pt>
                <c:pt idx="37">
                  <c:v> 1998</c:v>
                </c:pt>
                <c:pt idx="38">
                  <c:v> 1999</c:v>
                </c:pt>
                <c:pt idx="39">
                  <c:v> 2000</c:v>
                </c:pt>
                <c:pt idx="40">
                  <c:v> 2001</c:v>
                </c:pt>
                <c:pt idx="41">
                  <c:v> 2002</c:v>
                </c:pt>
                <c:pt idx="42">
                  <c:v> 2003</c:v>
                </c:pt>
                <c:pt idx="43">
                  <c:v> 2004</c:v>
                </c:pt>
                <c:pt idx="44">
                  <c:v> 2005</c:v>
                </c:pt>
                <c:pt idx="45">
                  <c:v> 2006</c:v>
                </c:pt>
                <c:pt idx="46">
                  <c:v> 2007</c:v>
                </c:pt>
                <c:pt idx="47">
                  <c:v> 2008</c:v>
                </c:pt>
                <c:pt idx="48">
                  <c:v> 2009</c:v>
                </c:pt>
                <c:pt idx="49">
                  <c:v> 2010</c:v>
                </c:pt>
                <c:pt idx="50">
                  <c:v> 2011</c:v>
                </c:pt>
              </c:strCache>
            </c:strRef>
          </c:cat>
          <c:val>
            <c:numRef>
              <c:f>sheet1!$D$2:$BB$2</c:f>
              <c:numCache>
                <c:formatCode>0.00</c:formatCode>
                <c:ptCount val="51"/>
                <c:pt idx="0">
                  <c:v>9.5952460000000048</c:v>
                </c:pt>
                <c:pt idx="1">
                  <c:v>9.8642340000000068</c:v>
                </c:pt>
                <c:pt idx="2">
                  <c:v>11.629451</c:v>
                </c:pt>
                <c:pt idx="3">
                  <c:v>12.298477999999999</c:v>
                </c:pt>
                <c:pt idx="4">
                  <c:v>20.035021999999987</c:v>
                </c:pt>
                <c:pt idx="5">
                  <c:v>11.841990000000001</c:v>
                </c:pt>
                <c:pt idx="6">
                  <c:v>12.38001</c:v>
                </c:pt>
                <c:pt idx="7">
                  <c:v>11.579186000000112</c:v>
                </c:pt>
                <c:pt idx="8">
                  <c:v>12.344584000000022</c:v>
                </c:pt>
                <c:pt idx="9">
                  <c:v>12.334060000000001</c:v>
                </c:pt>
                <c:pt idx="10">
                  <c:v>13.061257000000001</c:v>
                </c:pt>
                <c:pt idx="11">
                  <c:v>12.822972</c:v>
                </c:pt>
                <c:pt idx="12">
                  <c:v>12.696086000000022</c:v>
                </c:pt>
                <c:pt idx="13">
                  <c:v>13.687860000000001</c:v>
                </c:pt>
                <c:pt idx="14">
                  <c:v>14.094536000000062</c:v>
                </c:pt>
                <c:pt idx="15">
                  <c:v>14.260512</c:v>
                </c:pt>
                <c:pt idx="16">
                  <c:v>14.398738</c:v>
                </c:pt>
                <c:pt idx="17">
                  <c:v>16.169316999999982</c:v>
                </c:pt>
                <c:pt idx="18">
                  <c:v>16.392909</c:v>
                </c:pt>
                <c:pt idx="19">
                  <c:v>16.940851000000031</c:v>
                </c:pt>
                <c:pt idx="20">
                  <c:v>18.786020999999923</c:v>
                </c:pt>
                <c:pt idx="21">
                  <c:v>21.297471999999999</c:v>
                </c:pt>
                <c:pt idx="22">
                  <c:v>23.253446999999696</c:v>
                </c:pt>
                <c:pt idx="23">
                  <c:v>25.373436999999882</c:v>
                </c:pt>
                <c:pt idx="24">
                  <c:v>27.711467000000031</c:v>
                </c:pt>
                <c:pt idx="25">
                  <c:v>28.520382999999882</c:v>
                </c:pt>
                <c:pt idx="26">
                  <c:v>37.328889000000004</c:v>
                </c:pt>
                <c:pt idx="27">
                  <c:v>36.896919000000011</c:v>
                </c:pt>
                <c:pt idx="28">
                  <c:v>44.837152000000003</c:v>
                </c:pt>
                <c:pt idx="29">
                  <c:v>56.716536000000012</c:v>
                </c:pt>
                <c:pt idx="30">
                  <c:v>49.087271999999999</c:v>
                </c:pt>
                <c:pt idx="31">
                  <c:v>42.397730000000003</c:v>
                </c:pt>
                <c:pt idx="32">
                  <c:v>43.141917000000007</c:v>
                </c:pt>
                <c:pt idx="33">
                  <c:v>42.284336000000003</c:v>
                </c:pt>
                <c:pt idx="34">
                  <c:v>50.223936000000521</c:v>
                </c:pt>
                <c:pt idx="35">
                  <c:v>56.077726000000006</c:v>
                </c:pt>
                <c:pt idx="36">
                  <c:v>51.797924000000002</c:v>
                </c:pt>
                <c:pt idx="37">
                  <c:v>54.312819000000005</c:v>
                </c:pt>
                <c:pt idx="38">
                  <c:v>57.457764999999974</c:v>
                </c:pt>
                <c:pt idx="39">
                  <c:v>60.460692000000002</c:v>
                </c:pt>
                <c:pt idx="40">
                  <c:v>63.185434000000001</c:v>
                </c:pt>
                <c:pt idx="41">
                  <c:v>78.726934</c:v>
                </c:pt>
                <c:pt idx="42">
                  <c:v>88.826426999999981</c:v>
                </c:pt>
                <c:pt idx="43">
                  <c:v>99.167507000000001</c:v>
                </c:pt>
                <c:pt idx="44">
                  <c:v>111.754333</c:v>
                </c:pt>
                <c:pt idx="45">
                  <c:v>127.35277599999877</c:v>
                </c:pt>
                <c:pt idx="46">
                  <c:v>154.59884800000205</c:v>
                </c:pt>
                <c:pt idx="47">
                  <c:v>177.28801100000001</c:v>
                </c:pt>
                <c:pt idx="48">
                  <c:v>205.697981</c:v>
                </c:pt>
                <c:pt idx="49">
                  <c:v>221.65364099999999</c:v>
                </c:pt>
                <c:pt idx="50">
                  <c:v>226.92476499999998</c:v>
                </c:pt>
              </c:numCache>
            </c:numRef>
          </c:val>
          <c:smooth val="0"/>
        </c:ser>
        <c:ser>
          <c:idx val="1"/>
          <c:order val="1"/>
          <c:tx>
            <c:strRef>
              <c:f>sheet1!$C$3</c:f>
              <c:strCache>
                <c:ptCount val="1"/>
                <c:pt idx="0">
                  <c:v>Vegetable Oils FAO</c:v>
                </c:pt>
              </c:strCache>
            </c:strRef>
          </c:tx>
          <c:spPr>
            <a:ln w="28575" cap="rnd">
              <a:solidFill>
                <a:schemeClr val="accent2"/>
              </a:solidFill>
              <a:round/>
            </a:ln>
            <a:effectLst/>
          </c:spPr>
          <c:marker>
            <c:symbol val="none"/>
          </c:marker>
          <c:cat>
            <c:strRef>
              <c:f>sheet1!$D$1:$BB$1</c:f>
              <c:strCache>
                <c:ptCount val="51"/>
                <c:pt idx="0">
                  <c:v> 1961</c:v>
                </c:pt>
                <c:pt idx="1">
                  <c:v> 1962</c:v>
                </c:pt>
                <c:pt idx="2">
                  <c:v> 1963</c:v>
                </c:pt>
                <c:pt idx="3">
                  <c:v> 1964</c:v>
                </c:pt>
                <c:pt idx="4">
                  <c:v> 1965</c:v>
                </c:pt>
                <c:pt idx="5">
                  <c:v> 1966</c:v>
                </c:pt>
                <c:pt idx="6">
                  <c:v> 1967</c:v>
                </c:pt>
                <c:pt idx="7">
                  <c:v> 1968</c:v>
                </c:pt>
                <c:pt idx="8">
                  <c:v> 1969</c:v>
                </c:pt>
                <c:pt idx="9">
                  <c:v> 1970</c:v>
                </c:pt>
                <c:pt idx="10">
                  <c:v> 1971</c:v>
                </c:pt>
                <c:pt idx="11">
                  <c:v> 1972</c:v>
                </c:pt>
                <c:pt idx="12">
                  <c:v> 1973</c:v>
                </c:pt>
                <c:pt idx="13">
                  <c:v> 1974</c:v>
                </c:pt>
                <c:pt idx="14">
                  <c:v> 1975</c:v>
                </c:pt>
                <c:pt idx="15">
                  <c:v> 1976</c:v>
                </c:pt>
                <c:pt idx="16">
                  <c:v> 1977</c:v>
                </c:pt>
                <c:pt idx="17">
                  <c:v> 1978</c:v>
                </c:pt>
                <c:pt idx="18">
                  <c:v> 1979</c:v>
                </c:pt>
                <c:pt idx="19">
                  <c:v> 1980</c:v>
                </c:pt>
                <c:pt idx="20">
                  <c:v> 1981</c:v>
                </c:pt>
                <c:pt idx="21">
                  <c:v> 1982</c:v>
                </c:pt>
                <c:pt idx="22">
                  <c:v> 1983</c:v>
                </c:pt>
                <c:pt idx="23">
                  <c:v> 1984</c:v>
                </c:pt>
                <c:pt idx="24">
                  <c:v> 1985</c:v>
                </c:pt>
                <c:pt idx="25">
                  <c:v> 1986</c:v>
                </c:pt>
                <c:pt idx="26">
                  <c:v> 1987</c:v>
                </c:pt>
                <c:pt idx="27">
                  <c:v> 1988</c:v>
                </c:pt>
                <c:pt idx="28">
                  <c:v> 1989</c:v>
                </c:pt>
                <c:pt idx="29">
                  <c:v> 1990</c:v>
                </c:pt>
                <c:pt idx="30">
                  <c:v> 1991</c:v>
                </c:pt>
                <c:pt idx="31">
                  <c:v> 1992</c:v>
                </c:pt>
                <c:pt idx="32">
                  <c:v> 1993</c:v>
                </c:pt>
                <c:pt idx="33">
                  <c:v> 1994</c:v>
                </c:pt>
                <c:pt idx="34">
                  <c:v> 1995</c:v>
                </c:pt>
                <c:pt idx="35">
                  <c:v> 1996</c:v>
                </c:pt>
                <c:pt idx="36">
                  <c:v> 1997</c:v>
                </c:pt>
                <c:pt idx="37">
                  <c:v> 1998</c:v>
                </c:pt>
                <c:pt idx="38">
                  <c:v> 1999</c:v>
                </c:pt>
                <c:pt idx="39">
                  <c:v> 2000</c:v>
                </c:pt>
                <c:pt idx="40">
                  <c:v> 2001</c:v>
                </c:pt>
                <c:pt idx="41">
                  <c:v> 2002</c:v>
                </c:pt>
                <c:pt idx="42">
                  <c:v> 2003</c:v>
                </c:pt>
                <c:pt idx="43">
                  <c:v> 2004</c:v>
                </c:pt>
                <c:pt idx="44">
                  <c:v> 2005</c:v>
                </c:pt>
                <c:pt idx="45">
                  <c:v> 2006</c:v>
                </c:pt>
                <c:pt idx="46">
                  <c:v> 2007</c:v>
                </c:pt>
                <c:pt idx="47">
                  <c:v> 2008</c:v>
                </c:pt>
                <c:pt idx="48">
                  <c:v> 2009</c:v>
                </c:pt>
                <c:pt idx="49">
                  <c:v> 2010</c:v>
                </c:pt>
                <c:pt idx="50">
                  <c:v> 2011</c:v>
                </c:pt>
              </c:strCache>
            </c:strRef>
          </c:cat>
          <c:val>
            <c:numRef>
              <c:f>sheet1!$D$3:$BB$3</c:f>
              <c:numCache>
                <c:formatCode>0.00</c:formatCode>
                <c:ptCount val="51"/>
                <c:pt idx="0">
                  <c:v>4.0022900000000003</c:v>
                </c:pt>
                <c:pt idx="1">
                  <c:v>4.1415099999999976</c:v>
                </c:pt>
                <c:pt idx="2">
                  <c:v>4.2327420000000124</c:v>
                </c:pt>
                <c:pt idx="3">
                  <c:v>4.5383960000000014</c:v>
                </c:pt>
                <c:pt idx="4">
                  <c:v>4.8488220000000002</c:v>
                </c:pt>
                <c:pt idx="5">
                  <c:v>4.9593900000000124</c:v>
                </c:pt>
                <c:pt idx="6">
                  <c:v>4.8112250000000003</c:v>
                </c:pt>
                <c:pt idx="7">
                  <c:v>4.9164960000000004</c:v>
                </c:pt>
                <c:pt idx="8">
                  <c:v>5.1738280000000003</c:v>
                </c:pt>
                <c:pt idx="9">
                  <c:v>5.4220049999999755</c:v>
                </c:pt>
                <c:pt idx="10">
                  <c:v>5.8858990000000002</c:v>
                </c:pt>
                <c:pt idx="11">
                  <c:v>5.8741799999999946</c:v>
                </c:pt>
                <c:pt idx="12">
                  <c:v>5.5580889999999865</c:v>
                </c:pt>
                <c:pt idx="13">
                  <c:v>5.7368380000000014</c:v>
                </c:pt>
                <c:pt idx="14">
                  <c:v>5.9257220000000004</c:v>
                </c:pt>
                <c:pt idx="15">
                  <c:v>6.7089239999999997</c:v>
                </c:pt>
                <c:pt idx="16">
                  <c:v>6.6594730000000002</c:v>
                </c:pt>
                <c:pt idx="17">
                  <c:v>7.0339739999999997</c:v>
                </c:pt>
                <c:pt idx="18">
                  <c:v>7.4829290000000004</c:v>
                </c:pt>
                <c:pt idx="19">
                  <c:v>7.8145669999999665</c:v>
                </c:pt>
                <c:pt idx="20">
                  <c:v>8.3205000000000027</c:v>
                </c:pt>
                <c:pt idx="21">
                  <c:v>8.9473859999999998</c:v>
                </c:pt>
                <c:pt idx="22">
                  <c:v>9.0897700000000015</c:v>
                </c:pt>
                <c:pt idx="23">
                  <c:v>9.0438010000000002</c:v>
                </c:pt>
                <c:pt idx="24">
                  <c:v>9.6108430000000009</c:v>
                </c:pt>
                <c:pt idx="25">
                  <c:v>10.999980000000004</c:v>
                </c:pt>
                <c:pt idx="26">
                  <c:v>12.122062</c:v>
                </c:pt>
                <c:pt idx="27">
                  <c:v>11.242900000000001</c:v>
                </c:pt>
                <c:pt idx="28">
                  <c:v>12.486142000000022</c:v>
                </c:pt>
                <c:pt idx="29">
                  <c:v>14.825010000000002</c:v>
                </c:pt>
                <c:pt idx="30">
                  <c:v>15.631615999999999</c:v>
                </c:pt>
                <c:pt idx="31">
                  <c:v>16.796043999999782</c:v>
                </c:pt>
                <c:pt idx="32">
                  <c:v>16.623385000000031</c:v>
                </c:pt>
                <c:pt idx="33">
                  <c:v>18.295205999999986</c:v>
                </c:pt>
                <c:pt idx="34">
                  <c:v>19.681921000000031</c:v>
                </c:pt>
                <c:pt idx="35">
                  <c:v>22.329275000000031</c:v>
                </c:pt>
                <c:pt idx="36">
                  <c:v>22.312858000000336</c:v>
                </c:pt>
                <c:pt idx="37">
                  <c:v>25.877208000000095</c:v>
                </c:pt>
                <c:pt idx="38">
                  <c:v>27.579985000000235</c:v>
                </c:pt>
                <c:pt idx="39">
                  <c:v>29.86335100000003</c:v>
                </c:pt>
                <c:pt idx="40">
                  <c:v>32.539448</c:v>
                </c:pt>
                <c:pt idx="41">
                  <c:v>35.830021000000002</c:v>
                </c:pt>
                <c:pt idx="42">
                  <c:v>40.425997000000002</c:v>
                </c:pt>
                <c:pt idx="43">
                  <c:v>41.901819000000003</c:v>
                </c:pt>
                <c:pt idx="44">
                  <c:v>46.289946</c:v>
                </c:pt>
                <c:pt idx="45">
                  <c:v>53.879067999999997</c:v>
                </c:pt>
                <c:pt idx="46">
                  <c:v>58.847934000000002</c:v>
                </c:pt>
                <c:pt idx="47">
                  <c:v>59.505278000000011</c:v>
                </c:pt>
                <c:pt idx="48">
                  <c:v>62.645207000000006</c:v>
                </c:pt>
                <c:pt idx="49">
                  <c:v>70.695927999999981</c:v>
                </c:pt>
                <c:pt idx="50">
                  <c:v>74.090665000000527</c:v>
                </c:pt>
              </c:numCache>
            </c:numRef>
          </c:val>
          <c:smooth val="0"/>
        </c:ser>
        <c:ser>
          <c:idx val="2"/>
          <c:order val="2"/>
          <c:tx>
            <c:strRef>
              <c:f>sheet1!$C$4</c:f>
              <c:strCache>
                <c:ptCount val="1"/>
                <c:pt idx="0">
                  <c:v>Vegetable Oils USDA</c:v>
                </c:pt>
              </c:strCache>
            </c:strRef>
          </c:tx>
          <c:marker>
            <c:symbol val="none"/>
          </c:marker>
          <c:val>
            <c:numRef>
              <c:f>sheet1!$D$4:$BE$4</c:f>
              <c:numCache>
                <c:formatCode>0.00</c:formatCode>
                <c:ptCount val="54"/>
                <c:pt idx="0">
                  <c:v>1.0000000000000037E-3</c:v>
                </c:pt>
                <c:pt idx="1">
                  <c:v>3.0000000000000213E-3</c:v>
                </c:pt>
                <c:pt idx="2">
                  <c:v>1.0000000000000037E-3</c:v>
                </c:pt>
                <c:pt idx="3">
                  <c:v>1.0660000000000001</c:v>
                </c:pt>
                <c:pt idx="4">
                  <c:v>1.1000000000000001</c:v>
                </c:pt>
                <c:pt idx="5">
                  <c:v>1.034</c:v>
                </c:pt>
                <c:pt idx="6">
                  <c:v>0.93800000000000061</c:v>
                </c:pt>
                <c:pt idx="7">
                  <c:v>0.93100000000000005</c:v>
                </c:pt>
                <c:pt idx="8">
                  <c:v>0.85300000000000165</c:v>
                </c:pt>
                <c:pt idx="9">
                  <c:v>1.131999999999983</c:v>
                </c:pt>
                <c:pt idx="10">
                  <c:v>1.278999999999983</c:v>
                </c:pt>
                <c:pt idx="11">
                  <c:v>1.2209999999999805</c:v>
                </c:pt>
                <c:pt idx="12">
                  <c:v>1.149</c:v>
                </c:pt>
                <c:pt idx="13">
                  <c:v>1.175</c:v>
                </c:pt>
                <c:pt idx="14">
                  <c:v>1.43</c:v>
                </c:pt>
                <c:pt idx="15">
                  <c:v>1.498</c:v>
                </c:pt>
                <c:pt idx="16">
                  <c:v>1.51</c:v>
                </c:pt>
                <c:pt idx="17">
                  <c:v>1.579</c:v>
                </c:pt>
                <c:pt idx="18">
                  <c:v>1.887</c:v>
                </c:pt>
                <c:pt idx="19">
                  <c:v>1.853</c:v>
                </c:pt>
                <c:pt idx="20">
                  <c:v>2.2440000000000002</c:v>
                </c:pt>
                <c:pt idx="21">
                  <c:v>2.8479999999999999</c:v>
                </c:pt>
                <c:pt idx="22">
                  <c:v>2.6949999999999998</c:v>
                </c:pt>
                <c:pt idx="23">
                  <c:v>3.0049999999999999</c:v>
                </c:pt>
                <c:pt idx="24">
                  <c:v>3.7389999999999999</c:v>
                </c:pt>
                <c:pt idx="25">
                  <c:v>3.6709999999999998</c:v>
                </c:pt>
                <c:pt idx="26">
                  <c:v>3.843</c:v>
                </c:pt>
                <c:pt idx="27">
                  <c:v>4</c:v>
                </c:pt>
                <c:pt idx="28">
                  <c:v>4.5669999999999966</c:v>
                </c:pt>
                <c:pt idx="29">
                  <c:v>4.819</c:v>
                </c:pt>
                <c:pt idx="30">
                  <c:v>5.1790000000000003</c:v>
                </c:pt>
                <c:pt idx="31">
                  <c:v>5.6979999999999746</c:v>
                </c:pt>
                <c:pt idx="32">
                  <c:v>6.3339999999999996</c:v>
                </c:pt>
                <c:pt idx="33">
                  <c:v>6.6579999999999746</c:v>
                </c:pt>
                <c:pt idx="34">
                  <c:v>7.09</c:v>
                </c:pt>
                <c:pt idx="35">
                  <c:v>7.4830000000000014</c:v>
                </c:pt>
                <c:pt idx="36">
                  <c:v>7.2350000000000003</c:v>
                </c:pt>
                <c:pt idx="37">
                  <c:v>7.6209999999999765</c:v>
                </c:pt>
                <c:pt idx="38">
                  <c:v>8.177999999999999</c:v>
                </c:pt>
                <c:pt idx="39">
                  <c:v>9.2240000000000002</c:v>
                </c:pt>
                <c:pt idx="40">
                  <c:v>9.7240000000000002</c:v>
                </c:pt>
                <c:pt idx="41">
                  <c:v>11.07200000000002</c:v>
                </c:pt>
                <c:pt idx="42">
                  <c:v>12.555000000000062</c:v>
                </c:pt>
                <c:pt idx="43">
                  <c:v>15.057</c:v>
                </c:pt>
                <c:pt idx="44">
                  <c:v>18.891999999999999</c:v>
                </c:pt>
                <c:pt idx="45">
                  <c:v>22.579000000000001</c:v>
                </c:pt>
                <c:pt idx="46">
                  <c:v>26.69</c:v>
                </c:pt>
                <c:pt idx="47">
                  <c:v>29.832000000000001</c:v>
                </c:pt>
                <c:pt idx="48">
                  <c:v>33.548000000000002</c:v>
                </c:pt>
                <c:pt idx="49">
                  <c:v>37.079000000000001</c:v>
                </c:pt>
                <c:pt idx="50">
                  <c:v>39.582000000000001</c:v>
                </c:pt>
                <c:pt idx="51">
                  <c:v>40.321000000000005</c:v>
                </c:pt>
              </c:numCache>
            </c:numRef>
          </c:val>
          <c:smooth val="0"/>
        </c:ser>
        <c:dLbls>
          <c:showLegendKey val="0"/>
          <c:showVal val="0"/>
          <c:showCatName val="0"/>
          <c:showSerName val="0"/>
          <c:showPercent val="0"/>
          <c:showBubbleSize val="0"/>
        </c:dLbls>
        <c:marker val="1"/>
        <c:smooth val="0"/>
        <c:axId val="133943680"/>
        <c:axId val="133945216"/>
      </c:lineChart>
      <c:catAx>
        <c:axId val="13394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45216"/>
        <c:crosses val="autoZero"/>
        <c:auto val="1"/>
        <c:lblAlgn val="ctr"/>
        <c:lblOffset val="100"/>
        <c:noMultiLvlLbl val="0"/>
      </c:catAx>
      <c:valAx>
        <c:axId val="13394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mmt</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4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FA4414-08A4-4C32-963F-2FF49733FB0A}">
  <ds:schemaRefs>
    <ds:schemaRef ds:uri="http://schemas.openxmlformats.org/officeDocument/2006/bibliography"/>
  </ds:schemaRefs>
</ds:datastoreItem>
</file>

<file path=customXml/itemProps2.xml><?xml version="1.0" encoding="utf-8"?>
<ds:datastoreItem xmlns:ds="http://schemas.openxmlformats.org/officeDocument/2006/customXml" ds:itemID="{B79A6647-3B88-40D1-AD52-F9BA0F75D6E0}">
  <ds:schemaRefs>
    <ds:schemaRef ds:uri="http://schemas.openxmlformats.org/officeDocument/2006/bibliography"/>
  </ds:schemaRefs>
</ds:datastoreItem>
</file>

<file path=customXml/itemProps3.xml><?xml version="1.0" encoding="utf-8"?>
<ds:datastoreItem xmlns:ds="http://schemas.openxmlformats.org/officeDocument/2006/customXml" ds:itemID="{8E71F829-4E69-4C57-B6A4-40E2DE4E1C6A}">
  <ds:schemaRefs>
    <ds:schemaRef ds:uri="http://schemas.openxmlformats.org/officeDocument/2006/bibliography"/>
  </ds:schemaRefs>
</ds:datastoreItem>
</file>

<file path=customXml/itemProps4.xml><?xml version="1.0" encoding="utf-8"?>
<ds:datastoreItem xmlns:ds="http://schemas.openxmlformats.org/officeDocument/2006/customXml" ds:itemID="{5C07C9C8-58FA-4988-9E97-032C3828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1</cp:revision>
  <cp:lastPrinted>2011-08-11T08:50:00Z</cp:lastPrinted>
  <dcterms:created xsi:type="dcterms:W3CDTF">2015-10-22T12:15:00Z</dcterms:created>
  <dcterms:modified xsi:type="dcterms:W3CDTF">2015-10-23T09:55:00Z</dcterms:modified>
</cp:coreProperties>
</file>