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theme/themeOverride1.xml" ContentType="application/vnd.openxmlformats-officedocument.themeOverrid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575C75B4" w14:textId="77777777" w:rsidR="004F65E4" w:rsidRPr="000E33AB" w:rsidRDefault="004F65E4" w:rsidP="000E33AB">
      <w:pPr>
        <w:pStyle w:val="Heading2"/>
      </w:pPr>
      <w:bookmarkStart w:id="0" w:name="_Toc421025843"/>
      <w:bookmarkStart w:id="1" w:name="_Toc428383829"/>
      <w:bookmarkStart w:id="2" w:name="_Toc428436051"/>
      <w:bookmarkStart w:id="3" w:name="_Toc428436352"/>
      <w:bookmarkStart w:id="4" w:name="_Toc428436478"/>
      <w:bookmarkStart w:id="5" w:name="_GoBack"/>
      <w:bookmarkEnd w:id="5"/>
      <w:r w:rsidRPr="000E33AB">
        <w:t>Standardization</w:t>
      </w:r>
      <w:bookmarkEnd w:id="0"/>
      <w:bookmarkEnd w:id="1"/>
      <w:bookmarkEnd w:id="2"/>
      <w:bookmarkEnd w:id="3"/>
      <w:bookmarkEnd w:id="4"/>
    </w:p>
    <w:p w14:paraId="111C5223" w14:textId="2D986C43" w:rsidR="004F65E4" w:rsidRPr="000E33AB" w:rsidRDefault="004F65E4" w:rsidP="000E33AB">
      <w:pPr>
        <w:pStyle w:val="Heading3"/>
        <w:rPr>
          <w:rFonts w:asciiTheme="majorBidi" w:hAnsiTheme="majorBidi"/>
          <w:lang w:val="en-GB"/>
        </w:rPr>
      </w:pPr>
      <w:bookmarkStart w:id="6" w:name="_Toc421025844"/>
      <w:r w:rsidRPr="00F31509">
        <w:rPr>
          <w:rFonts w:asciiTheme="majorBidi" w:hAnsiTheme="majorBidi" w:cstheme="majorBidi"/>
          <w:lang w:val="en-GB"/>
        </w:rPr>
        <w:t>FBS</w:t>
      </w:r>
      <w:r w:rsidR="00312896" w:rsidRPr="00F31509">
        <w:rPr>
          <w:rFonts w:asciiTheme="majorBidi" w:hAnsiTheme="majorBidi" w:cstheme="majorBidi"/>
          <w:lang w:val="en-GB"/>
        </w:rPr>
        <w:t>s</w:t>
      </w:r>
      <w:r w:rsidRPr="000E33AB">
        <w:rPr>
          <w:rFonts w:asciiTheme="majorBidi" w:hAnsiTheme="majorBidi"/>
          <w:lang w:val="en-GB"/>
        </w:rPr>
        <w:t xml:space="preserve"> and SUAs</w:t>
      </w:r>
      <w:bookmarkEnd w:id="6"/>
    </w:p>
    <w:p w14:paraId="0687B0BB" w14:textId="45CB52E7" w:rsidR="004F65E4" w:rsidRPr="000E33AB" w:rsidRDefault="004F65E4" w:rsidP="004F65E4">
      <w:pPr>
        <w:jc w:val="both"/>
        <w:rPr>
          <w:rFonts w:asciiTheme="majorBidi" w:hAnsiTheme="majorBidi"/>
          <w:color w:val="000000" w:themeColor="text1"/>
          <w:lang w:val="en-GB"/>
        </w:rPr>
      </w:pPr>
      <w:r w:rsidRPr="000E33AB">
        <w:rPr>
          <w:rFonts w:asciiTheme="majorBidi" w:hAnsiTheme="majorBidi"/>
          <w:color w:val="000000" w:themeColor="text1"/>
          <w:lang w:val="en-GB"/>
        </w:rPr>
        <w:t>In general</w:t>
      </w:r>
      <w:r w:rsidRPr="000E33AB">
        <w:rPr>
          <w:rStyle w:val="FootnoteReference"/>
          <w:rFonts w:asciiTheme="majorBidi" w:hAnsiTheme="majorBidi"/>
          <w:color w:val="000000" w:themeColor="text1"/>
          <w:lang w:val="en-GB"/>
        </w:rPr>
        <w:footnoteReference w:id="2"/>
      </w:r>
      <w:r w:rsidRPr="000E33AB">
        <w:rPr>
          <w:rFonts w:asciiTheme="majorBidi" w:hAnsiTheme="majorBidi"/>
          <w:color w:val="000000" w:themeColor="text1"/>
          <w:lang w:val="en-GB"/>
        </w:rPr>
        <w:t>, food balance sheets present all variables of a supply-utilization balance in their primary equivalents. For instance, in the balance for wheat all elements are expressed in wheat as a primary product, while the only variables that are readily available in their primary forms are production and</w:t>
      </w:r>
      <w:r w:rsidRPr="00F31509">
        <w:rPr>
          <w:rFonts w:asciiTheme="majorBidi" w:eastAsia="Times New Roman" w:hAnsiTheme="majorBidi" w:cstheme="majorBidi"/>
          <w:color w:val="000000" w:themeColor="text1"/>
          <w:lang w:val="en-GB"/>
        </w:rPr>
        <w:t>, in principle,</w:t>
      </w:r>
      <w:r w:rsidRPr="000E33AB">
        <w:rPr>
          <w:rFonts w:asciiTheme="majorBidi" w:hAnsiTheme="majorBidi"/>
          <w:color w:val="000000" w:themeColor="text1"/>
          <w:lang w:val="en-GB"/>
        </w:rPr>
        <w:t xml:space="preserve"> seed use of wheat. In many cases, information </w:t>
      </w:r>
      <w:r w:rsidRPr="00F31509">
        <w:rPr>
          <w:rFonts w:asciiTheme="majorBidi" w:eastAsia="Times New Roman" w:hAnsiTheme="majorBidi" w:cstheme="majorBidi"/>
          <w:color w:val="000000" w:themeColor="text1"/>
          <w:lang w:val="en-GB"/>
        </w:rPr>
        <w:t>in terms of</w:t>
      </w:r>
      <w:r w:rsidRPr="000E33AB">
        <w:rPr>
          <w:rFonts w:asciiTheme="majorBidi" w:hAnsiTheme="majorBidi"/>
          <w:color w:val="000000" w:themeColor="text1"/>
          <w:lang w:val="en-GB"/>
        </w:rPr>
        <w:t xml:space="preserve"> primary </w:t>
      </w:r>
      <w:r w:rsidRPr="00F31509">
        <w:rPr>
          <w:rFonts w:asciiTheme="majorBidi" w:eastAsia="Times New Roman" w:hAnsiTheme="majorBidi" w:cstheme="majorBidi"/>
          <w:color w:val="000000" w:themeColor="text1"/>
          <w:lang w:val="en-GB"/>
        </w:rPr>
        <w:t>equivalents</w:t>
      </w:r>
      <w:r w:rsidRPr="000E33AB">
        <w:rPr>
          <w:rFonts w:asciiTheme="majorBidi" w:hAnsiTheme="majorBidi"/>
          <w:color w:val="000000" w:themeColor="text1"/>
          <w:lang w:val="en-GB"/>
        </w:rPr>
        <w:t xml:space="preserve"> is not</w:t>
      </w:r>
      <w:r w:rsidR="00C84C98" w:rsidRPr="000E33AB">
        <w:rPr>
          <w:rFonts w:asciiTheme="majorBidi" w:hAnsiTheme="majorBidi"/>
          <w:color w:val="000000" w:themeColor="text1"/>
          <w:lang w:val="en-GB"/>
        </w:rPr>
        <w:t xml:space="preserve"> available</w:t>
      </w:r>
      <w:r w:rsidRPr="00F31509">
        <w:rPr>
          <w:rFonts w:asciiTheme="majorBidi" w:eastAsia="Times New Roman" w:hAnsiTheme="majorBidi" w:cstheme="majorBidi"/>
          <w:color w:val="000000" w:themeColor="text1"/>
          <w:lang w:val="en-GB"/>
        </w:rPr>
        <w:t xml:space="preserve"> or only</w:t>
      </w:r>
      <w:r w:rsidRPr="000E33AB">
        <w:rPr>
          <w:rFonts w:asciiTheme="majorBidi" w:hAnsiTheme="majorBidi"/>
          <w:color w:val="000000" w:themeColor="text1"/>
          <w:lang w:val="en-GB"/>
        </w:rPr>
        <w:t xml:space="preserve"> partially</w:t>
      </w:r>
      <w:r w:rsidRPr="00F31509">
        <w:rPr>
          <w:rFonts w:asciiTheme="majorBidi" w:eastAsia="Times New Roman" w:hAnsiTheme="majorBidi" w:cstheme="majorBidi"/>
          <w:color w:val="000000" w:themeColor="text1"/>
          <w:lang w:val="en-GB"/>
        </w:rPr>
        <w:t xml:space="preserve"> available</w:t>
      </w:r>
      <w:r w:rsidRPr="000E33AB">
        <w:rPr>
          <w:rFonts w:asciiTheme="majorBidi" w:hAnsiTheme="majorBidi"/>
          <w:color w:val="000000" w:themeColor="text1"/>
          <w:lang w:val="en-GB"/>
        </w:rPr>
        <w:t>. Imports or exports of wheat, for instance, take place in the form of wheat, but also in the form of different wheat products such as flour (1</w:t>
      </w:r>
      <w:r w:rsidRPr="000E33AB">
        <w:rPr>
          <w:rFonts w:asciiTheme="majorBidi" w:hAnsiTheme="majorBidi"/>
          <w:color w:val="000000" w:themeColor="text1"/>
          <w:vertAlign w:val="superscript"/>
          <w:lang w:val="en-GB"/>
        </w:rPr>
        <w:t>st</w:t>
      </w:r>
      <w:r w:rsidRPr="000E33AB">
        <w:rPr>
          <w:rFonts w:asciiTheme="majorBidi" w:hAnsiTheme="majorBidi"/>
          <w:color w:val="000000" w:themeColor="text1"/>
          <w:lang w:val="en-GB"/>
        </w:rPr>
        <w:t xml:space="preserve"> level of processing), bread or pastry (2</w:t>
      </w:r>
      <w:r w:rsidRPr="000E33AB">
        <w:rPr>
          <w:rFonts w:asciiTheme="majorBidi" w:hAnsiTheme="majorBidi"/>
          <w:color w:val="000000" w:themeColor="text1"/>
          <w:vertAlign w:val="superscript"/>
          <w:lang w:val="en-GB"/>
        </w:rPr>
        <w:t>nd</w:t>
      </w:r>
      <w:r w:rsidRPr="000E33AB">
        <w:rPr>
          <w:rFonts w:asciiTheme="majorBidi" w:hAnsiTheme="majorBidi"/>
          <w:color w:val="000000" w:themeColor="text1"/>
          <w:lang w:val="en-GB"/>
        </w:rPr>
        <w:t xml:space="preserve"> level of processing) or even more processed forms. </w:t>
      </w:r>
    </w:p>
    <w:p w14:paraId="1E93A943" w14:textId="469A1E00" w:rsidR="004F65E4" w:rsidRPr="000E33AB" w:rsidRDefault="004F65E4" w:rsidP="004F65E4">
      <w:pPr>
        <w:jc w:val="both"/>
        <w:rPr>
          <w:rFonts w:asciiTheme="majorBidi" w:hAnsiTheme="majorBidi"/>
          <w:color w:val="000000" w:themeColor="text1"/>
          <w:lang w:val="en-GB"/>
        </w:rPr>
      </w:pPr>
      <w:r w:rsidRPr="000E33AB">
        <w:rPr>
          <w:rFonts w:ascii="Times New Roman" w:hAnsi="Times New Roman" w:cs="Times New Roman"/>
          <w:color w:val="000000" w:themeColor="text1"/>
          <w:lang w:val="en-GB"/>
        </w:rPr>
        <w:t xml:space="preserve">Some variables of the balance may be exclusively available in </w:t>
      </w:r>
      <w:r w:rsidRPr="000E33AB">
        <w:rPr>
          <w:rFonts w:ascii="Times New Roman" w:eastAsia="Times New Roman" w:hAnsi="Times New Roman" w:cs="Times New Roman"/>
          <w:color w:val="000000" w:themeColor="text1"/>
          <w:lang w:val="en-GB"/>
        </w:rPr>
        <w:t xml:space="preserve">their </w:t>
      </w:r>
      <w:r w:rsidRPr="000E33AB">
        <w:rPr>
          <w:rFonts w:ascii="Times New Roman" w:hAnsi="Times New Roman" w:cs="Times New Roman"/>
          <w:color w:val="000000" w:themeColor="text1"/>
          <w:lang w:val="en-GB"/>
        </w:rPr>
        <w:t xml:space="preserve">processed </w:t>
      </w:r>
      <w:r w:rsidR="008170BC" w:rsidRPr="000E33AB">
        <w:rPr>
          <w:rFonts w:ascii="Times New Roman" w:hAnsi="Times New Roman" w:cs="Times New Roman"/>
        </w:rPr>
        <w:t>terms.</w:t>
      </w:r>
      <w:r w:rsidRPr="000E33AB">
        <w:rPr>
          <w:rFonts w:ascii="Times New Roman" w:hAnsi="Times New Roman" w:cs="Times New Roman"/>
          <w:color w:val="000000" w:themeColor="text1"/>
          <w:lang w:val="en-GB"/>
        </w:rPr>
        <w:t xml:space="preserve"> Food of wheat, for instance, only exists in the form of flour, or in the form of flour products such as bread, noodles, pastry or biscuits. Wheat is practically never eaten as such</w:t>
      </w:r>
      <w:r w:rsidR="00C84C98" w:rsidRPr="000E33AB">
        <w:rPr>
          <w:rFonts w:ascii="Times New Roman" w:eastAsia="Times New Roman" w:hAnsi="Times New Roman" w:cs="Times New Roman"/>
          <w:color w:val="000000" w:themeColor="text1"/>
          <w:lang w:val="en-GB"/>
        </w:rPr>
        <w:t>;</w:t>
      </w:r>
      <w:r w:rsidRPr="000E33AB">
        <w:rPr>
          <w:rFonts w:ascii="Times New Roman" w:hAnsi="Times New Roman" w:cs="Times New Roman"/>
          <w:color w:val="000000" w:themeColor="text1"/>
          <w:lang w:val="en-GB"/>
        </w:rPr>
        <w:t xml:space="preserve"> the same holds for all other </w:t>
      </w:r>
      <w:r w:rsidRPr="000E33AB">
        <w:rPr>
          <w:rFonts w:asciiTheme="majorBidi" w:hAnsiTheme="majorBidi"/>
          <w:color w:val="000000" w:themeColor="text1"/>
          <w:lang w:val="en-GB"/>
        </w:rPr>
        <w:t xml:space="preserve">cereals and indeed many primary products. </w:t>
      </w:r>
    </w:p>
    <w:p w14:paraId="21D13314" w14:textId="0D372520" w:rsidR="004F65E4" w:rsidRPr="000E33AB" w:rsidRDefault="004F65E4" w:rsidP="004F65E4">
      <w:pPr>
        <w:jc w:val="both"/>
        <w:rPr>
          <w:rFonts w:asciiTheme="majorBidi" w:hAnsiTheme="majorBidi"/>
          <w:color w:val="000000" w:themeColor="text1"/>
          <w:lang w:val="en-GB"/>
        </w:rPr>
      </w:pPr>
      <w:r w:rsidRPr="000E33AB">
        <w:rPr>
          <w:rFonts w:asciiTheme="majorBidi" w:hAnsiTheme="majorBidi"/>
          <w:color w:val="000000" w:themeColor="text1"/>
          <w:lang w:val="en-GB"/>
        </w:rPr>
        <w:t>Given the fact that all variables of the balance (</w:t>
      </w:r>
      <w:r w:rsidR="00F90434">
        <w:rPr>
          <w:rFonts w:cs="Times New Roman"/>
          <w:sz w:val="24"/>
          <w:szCs w:val="24"/>
        </w:rPr>
        <w:t>except</w:t>
      </w:r>
      <w:r w:rsidRPr="000E33AB">
        <w:rPr>
          <w:rFonts w:asciiTheme="majorBidi" w:hAnsiTheme="majorBidi"/>
          <w:color w:val="000000" w:themeColor="text1"/>
          <w:lang w:val="en-GB"/>
        </w:rPr>
        <w:t xml:space="preserve"> production) occur in practice in </w:t>
      </w:r>
      <w:r w:rsidRPr="00F31509">
        <w:rPr>
          <w:rFonts w:asciiTheme="majorBidi" w:eastAsia="Times New Roman" w:hAnsiTheme="majorBidi" w:cstheme="majorBidi"/>
          <w:color w:val="000000" w:themeColor="text1"/>
          <w:lang w:val="en-GB"/>
        </w:rPr>
        <w:t>forms other</w:t>
      </w:r>
      <w:r w:rsidRPr="000E33AB">
        <w:rPr>
          <w:rFonts w:asciiTheme="majorBidi" w:hAnsiTheme="majorBidi"/>
          <w:color w:val="000000" w:themeColor="text1"/>
          <w:lang w:val="en-GB"/>
        </w:rPr>
        <w:t xml:space="preserve"> than their primary </w:t>
      </w:r>
      <w:r w:rsidRPr="00F31509">
        <w:rPr>
          <w:rFonts w:asciiTheme="majorBidi" w:eastAsia="Times New Roman" w:hAnsiTheme="majorBidi" w:cstheme="majorBidi"/>
          <w:color w:val="000000" w:themeColor="text1"/>
          <w:lang w:val="en-GB"/>
        </w:rPr>
        <w:t>form</w:t>
      </w:r>
      <w:r w:rsidRPr="000E33AB">
        <w:rPr>
          <w:rFonts w:asciiTheme="majorBidi" w:hAnsiTheme="majorBidi"/>
          <w:color w:val="000000" w:themeColor="text1"/>
          <w:lang w:val="en-GB"/>
        </w:rPr>
        <w:t xml:space="preserve">, all variables need to be converted back to primary equivalents. This allows </w:t>
      </w:r>
      <w:r w:rsidRPr="00F31509">
        <w:rPr>
          <w:rFonts w:asciiTheme="majorBidi" w:eastAsia="Times New Roman" w:hAnsiTheme="majorBidi" w:cstheme="majorBidi"/>
          <w:color w:val="000000" w:themeColor="text1"/>
          <w:lang w:val="en-GB"/>
        </w:rPr>
        <w:t>comparisons</w:t>
      </w:r>
      <w:r w:rsidRPr="000E33AB">
        <w:rPr>
          <w:rFonts w:asciiTheme="majorBidi" w:hAnsiTheme="majorBidi"/>
          <w:color w:val="000000" w:themeColor="text1"/>
          <w:lang w:val="en-GB"/>
        </w:rPr>
        <w:t xml:space="preserve"> of the various variables with each other, and eventually the union of them together into a balance. </w:t>
      </w:r>
      <w:r w:rsidR="00C84C98" w:rsidRPr="00F31509">
        <w:rPr>
          <w:rFonts w:asciiTheme="majorBidi" w:eastAsia="Times New Roman" w:hAnsiTheme="majorBidi" w:cstheme="majorBidi"/>
          <w:color w:val="000000" w:themeColor="text1"/>
          <w:lang w:val="en-GB"/>
        </w:rPr>
        <w:t>Put d</w:t>
      </w:r>
      <w:r w:rsidRPr="00F31509">
        <w:rPr>
          <w:rFonts w:asciiTheme="majorBidi" w:eastAsia="Times New Roman" w:hAnsiTheme="majorBidi" w:cstheme="majorBidi"/>
          <w:color w:val="000000" w:themeColor="text1"/>
          <w:lang w:val="en-GB"/>
        </w:rPr>
        <w:t>ifferently</w:t>
      </w:r>
      <w:r w:rsidRPr="000E33AB">
        <w:rPr>
          <w:rFonts w:asciiTheme="majorBidi" w:hAnsiTheme="majorBidi"/>
          <w:color w:val="000000" w:themeColor="text1"/>
          <w:lang w:val="en-GB"/>
        </w:rPr>
        <w:t xml:space="preserve">, only if all elements are expressed using a common denominator can they be added up in the FBS balance. To this end, the FAO Statistics Division has developed a process known as “standardization”, which is analogous to a process of creating a common denominator that allows processed products to be added up and expressed in their primary product equivalents. </w:t>
      </w:r>
      <w:r w:rsidRPr="00F31509">
        <w:rPr>
          <w:rFonts w:asciiTheme="majorBidi" w:eastAsia="Times New Roman" w:hAnsiTheme="majorBidi" w:cstheme="majorBidi"/>
          <w:color w:val="000000" w:themeColor="text1"/>
          <w:lang w:val="en-GB"/>
        </w:rPr>
        <w:t>The</w:t>
      </w:r>
      <w:r w:rsidRPr="000E33AB">
        <w:rPr>
          <w:rFonts w:asciiTheme="majorBidi" w:hAnsiTheme="majorBidi"/>
          <w:color w:val="000000" w:themeColor="text1"/>
          <w:lang w:val="en-GB"/>
        </w:rPr>
        <w:t xml:space="preserve"> different processing steps </w:t>
      </w:r>
      <w:r w:rsidRPr="00F31509">
        <w:rPr>
          <w:rFonts w:asciiTheme="majorBidi" w:eastAsia="Times New Roman" w:hAnsiTheme="majorBidi" w:cstheme="majorBidi"/>
          <w:color w:val="000000" w:themeColor="text1"/>
          <w:lang w:val="en-GB"/>
        </w:rPr>
        <w:t xml:space="preserve">in the food chain create </w:t>
      </w:r>
      <w:r w:rsidRPr="000E33AB">
        <w:rPr>
          <w:rFonts w:asciiTheme="majorBidi" w:hAnsiTheme="majorBidi"/>
          <w:color w:val="000000" w:themeColor="text1"/>
          <w:lang w:val="en-GB"/>
        </w:rPr>
        <w:t>many processed products</w:t>
      </w:r>
      <w:r w:rsidRPr="00F31509">
        <w:rPr>
          <w:rFonts w:asciiTheme="majorBidi" w:eastAsia="Times New Roman" w:hAnsiTheme="majorBidi" w:cstheme="majorBidi"/>
          <w:color w:val="000000" w:themeColor="text1"/>
          <w:lang w:val="en-GB"/>
        </w:rPr>
        <w:t xml:space="preserve"> which all need to be “rolled-up” into their</w:t>
      </w:r>
      <w:r w:rsidRPr="000E33AB">
        <w:rPr>
          <w:rFonts w:asciiTheme="majorBidi" w:hAnsiTheme="majorBidi"/>
          <w:color w:val="000000" w:themeColor="text1"/>
          <w:lang w:val="en-GB"/>
        </w:rPr>
        <w:t xml:space="preserve"> primary </w:t>
      </w:r>
      <w:r w:rsidRPr="00F31509">
        <w:rPr>
          <w:rFonts w:asciiTheme="majorBidi" w:eastAsia="Times New Roman" w:hAnsiTheme="majorBidi" w:cstheme="majorBidi"/>
          <w:color w:val="000000" w:themeColor="text1"/>
          <w:lang w:val="en-GB"/>
        </w:rPr>
        <w:t>equivalents. Supply and use</w:t>
      </w:r>
      <w:r w:rsidRPr="000E33AB">
        <w:rPr>
          <w:rFonts w:asciiTheme="majorBidi" w:hAnsiTheme="majorBidi"/>
          <w:color w:val="000000" w:themeColor="text1"/>
          <w:lang w:val="en-GB"/>
        </w:rPr>
        <w:t xml:space="preserve"> of </w:t>
      </w:r>
      <w:r w:rsidRPr="00F31509">
        <w:rPr>
          <w:rFonts w:asciiTheme="majorBidi" w:eastAsia="Times New Roman" w:hAnsiTheme="majorBidi" w:cstheme="majorBidi"/>
          <w:color w:val="000000" w:themeColor="text1"/>
          <w:lang w:val="en-GB"/>
        </w:rPr>
        <w:t>these</w:t>
      </w:r>
      <w:r w:rsidRPr="000E33AB">
        <w:rPr>
          <w:rFonts w:asciiTheme="majorBidi" w:hAnsiTheme="majorBidi"/>
          <w:color w:val="000000" w:themeColor="text1"/>
          <w:lang w:val="en-GB"/>
        </w:rPr>
        <w:t xml:space="preserve"> processed products</w:t>
      </w:r>
      <w:r w:rsidRPr="00F31509">
        <w:rPr>
          <w:rFonts w:asciiTheme="majorBidi" w:eastAsia="Times New Roman" w:hAnsiTheme="majorBidi" w:cstheme="majorBidi"/>
          <w:color w:val="000000" w:themeColor="text1"/>
          <w:lang w:val="en-GB"/>
        </w:rPr>
        <w:t xml:space="preserve"> are also put into balances, which are here referred to as Supply Utilization Accounts (SUAs),</w:t>
      </w:r>
      <w:r w:rsidRPr="000E33AB">
        <w:rPr>
          <w:rFonts w:asciiTheme="majorBidi" w:hAnsiTheme="majorBidi"/>
          <w:color w:val="000000" w:themeColor="text1"/>
          <w:lang w:val="en-GB"/>
        </w:rPr>
        <w:t xml:space="preserve"> at least </w:t>
      </w:r>
      <w:r w:rsidRPr="00F31509">
        <w:rPr>
          <w:rFonts w:asciiTheme="majorBidi" w:eastAsia="Times New Roman" w:hAnsiTheme="majorBidi" w:cstheme="majorBidi"/>
          <w:color w:val="000000" w:themeColor="text1"/>
          <w:lang w:val="en-GB"/>
        </w:rPr>
        <w:t>by</w:t>
      </w:r>
      <w:r w:rsidRPr="000E33AB">
        <w:rPr>
          <w:rFonts w:asciiTheme="majorBidi" w:hAnsiTheme="majorBidi"/>
          <w:color w:val="000000" w:themeColor="text1"/>
          <w:lang w:val="en-GB"/>
        </w:rPr>
        <w:t xml:space="preserve"> the FAO Statistics Division</w:t>
      </w:r>
      <w:r w:rsidRPr="00F31509">
        <w:rPr>
          <w:rFonts w:asciiTheme="majorBidi" w:eastAsia="Times New Roman" w:hAnsiTheme="majorBidi" w:cstheme="majorBidi"/>
          <w:color w:val="000000" w:themeColor="text1"/>
          <w:lang w:val="en-GB"/>
        </w:rPr>
        <w:t>.</w:t>
      </w:r>
      <w:r w:rsidRPr="000E33AB">
        <w:rPr>
          <w:rFonts w:asciiTheme="majorBidi" w:hAnsiTheme="majorBidi"/>
          <w:color w:val="000000" w:themeColor="text1"/>
          <w:lang w:val="en-GB"/>
        </w:rPr>
        <w:t xml:space="preserve"> Even if the naming convention reflects tradition rather than statistical or economic rationale, it has been maintained here for the sake of simplicity and continuity.</w:t>
      </w:r>
    </w:p>
    <w:p w14:paraId="71A14188" w14:textId="5FE17647" w:rsidR="004F65E4" w:rsidRPr="000E33AB" w:rsidRDefault="004F65E4" w:rsidP="004F65E4">
      <w:pPr>
        <w:jc w:val="both"/>
        <w:rPr>
          <w:rFonts w:asciiTheme="majorBidi" w:hAnsiTheme="majorBidi"/>
          <w:color w:val="000000" w:themeColor="text1"/>
          <w:lang w:val="en-GB"/>
        </w:rPr>
      </w:pPr>
      <w:r w:rsidRPr="000E33AB">
        <w:rPr>
          <w:rFonts w:asciiTheme="majorBidi" w:hAnsiTheme="majorBidi"/>
          <w:color w:val="000000" w:themeColor="text1"/>
          <w:lang w:val="en-GB"/>
        </w:rPr>
        <w:t xml:space="preserve">The new methodology has adopted the standardization </w:t>
      </w:r>
      <w:r w:rsidRPr="00F31509">
        <w:rPr>
          <w:rFonts w:asciiTheme="majorBidi" w:hAnsiTheme="majorBidi" w:cstheme="majorBidi"/>
          <w:color w:val="000000" w:themeColor="text1"/>
          <w:szCs w:val="24"/>
          <w:lang w:val="en-GB"/>
        </w:rPr>
        <w:t>method of the previous method in principle. It</w:t>
      </w:r>
      <w:r w:rsidRPr="000E33AB">
        <w:rPr>
          <w:rFonts w:asciiTheme="majorBidi" w:hAnsiTheme="majorBidi"/>
          <w:color w:val="000000" w:themeColor="text1"/>
          <w:lang w:val="en-GB"/>
        </w:rPr>
        <w:t xml:space="preserve"> largely maintains </w:t>
      </w:r>
      <w:r w:rsidRPr="00F31509">
        <w:rPr>
          <w:rFonts w:asciiTheme="majorBidi" w:hAnsiTheme="majorBidi" w:cstheme="majorBidi"/>
          <w:color w:val="000000" w:themeColor="text1"/>
          <w:szCs w:val="24"/>
          <w:lang w:val="en-GB"/>
        </w:rPr>
        <w:t xml:space="preserve">existing </w:t>
      </w:r>
      <w:r w:rsidRPr="000E33AB">
        <w:rPr>
          <w:rFonts w:asciiTheme="majorBidi" w:hAnsiTheme="majorBidi"/>
          <w:color w:val="000000" w:themeColor="text1"/>
          <w:lang w:val="en-GB"/>
        </w:rPr>
        <w:t xml:space="preserve">processing </w:t>
      </w:r>
      <w:r w:rsidRPr="00F31509">
        <w:rPr>
          <w:rFonts w:asciiTheme="majorBidi" w:hAnsiTheme="majorBidi" w:cstheme="majorBidi"/>
          <w:color w:val="000000" w:themeColor="text1"/>
          <w:szCs w:val="24"/>
          <w:lang w:val="en-GB"/>
        </w:rPr>
        <w:t>streams</w:t>
      </w:r>
      <w:r w:rsidRPr="000E33AB">
        <w:rPr>
          <w:rFonts w:asciiTheme="majorBidi" w:hAnsiTheme="majorBidi"/>
          <w:color w:val="000000" w:themeColor="text1"/>
          <w:lang w:val="en-GB"/>
        </w:rPr>
        <w:t xml:space="preserve"> and thus the same commodity tree structure. The standardization programmes have been re-written in the R language and a number of </w:t>
      </w:r>
      <w:r w:rsidRPr="00F31509">
        <w:rPr>
          <w:rFonts w:asciiTheme="majorBidi" w:hAnsiTheme="majorBidi" w:cstheme="majorBidi"/>
          <w:color w:val="000000" w:themeColor="text1"/>
          <w:szCs w:val="24"/>
          <w:lang w:val="en-GB"/>
        </w:rPr>
        <w:t>problems</w:t>
      </w:r>
      <w:r w:rsidRPr="000E33AB">
        <w:rPr>
          <w:rFonts w:asciiTheme="majorBidi" w:hAnsiTheme="majorBidi"/>
          <w:color w:val="000000" w:themeColor="text1"/>
          <w:lang w:val="en-GB"/>
        </w:rPr>
        <w:t xml:space="preserve"> have been addressed in this process. Important changes have also been implemented in the parameters that link the processing levels, notably the so-called extraction rates. The same holds for other parameters, such as nutrient conversion factors and shares of uses (splitting utilization side). </w:t>
      </w:r>
      <w:r w:rsidR="00C80AD9">
        <w:rPr>
          <w:rFonts w:asciiTheme="majorBidi" w:hAnsiTheme="majorBidi" w:cstheme="majorBidi"/>
          <w:color w:val="000000" w:themeColor="text1"/>
          <w:szCs w:val="24"/>
          <w:lang w:val="en-GB"/>
        </w:rPr>
        <w:t xml:space="preserve"> Please see the section beginning on page </w:t>
      </w:r>
      <w:r w:rsidR="00022678">
        <w:rPr>
          <w:rFonts w:asciiTheme="majorBidi" w:hAnsiTheme="majorBidi" w:cstheme="majorBidi"/>
          <w:color w:val="000000" w:themeColor="text1"/>
          <w:szCs w:val="24"/>
          <w:lang w:val="en-GB"/>
        </w:rPr>
        <w:fldChar w:fldCharType="begin"/>
      </w:r>
      <w:r w:rsidR="00C80AD9">
        <w:rPr>
          <w:rFonts w:asciiTheme="majorBidi" w:hAnsiTheme="majorBidi" w:cstheme="majorBidi"/>
          <w:color w:val="000000" w:themeColor="text1"/>
          <w:szCs w:val="24"/>
          <w:lang w:val="en-GB"/>
        </w:rPr>
        <w:instrText xml:space="preserve"> PAGEREF _Ref431472589 \h </w:instrText>
      </w:r>
      <w:r w:rsidR="00022678">
        <w:rPr>
          <w:rFonts w:asciiTheme="majorBidi" w:hAnsiTheme="majorBidi" w:cstheme="majorBidi"/>
          <w:color w:val="000000" w:themeColor="text1"/>
          <w:szCs w:val="24"/>
          <w:lang w:val="en-GB"/>
        </w:rPr>
      </w:r>
      <w:r w:rsidR="00022678">
        <w:rPr>
          <w:rFonts w:asciiTheme="majorBidi" w:hAnsiTheme="majorBidi" w:cstheme="majorBidi"/>
          <w:color w:val="000000" w:themeColor="text1"/>
          <w:szCs w:val="24"/>
          <w:lang w:val="en-GB"/>
        </w:rPr>
        <w:fldChar w:fldCharType="separate"/>
      </w:r>
      <w:r w:rsidR="00C80AD9">
        <w:rPr>
          <w:rFonts w:asciiTheme="majorBidi" w:hAnsiTheme="majorBidi" w:cstheme="majorBidi"/>
          <w:noProof/>
          <w:color w:val="000000" w:themeColor="text1"/>
          <w:szCs w:val="24"/>
          <w:lang w:val="en-GB"/>
        </w:rPr>
        <w:t>89</w:t>
      </w:r>
      <w:r w:rsidR="00022678">
        <w:rPr>
          <w:rFonts w:asciiTheme="majorBidi" w:hAnsiTheme="majorBidi" w:cstheme="majorBidi"/>
          <w:color w:val="000000" w:themeColor="text1"/>
          <w:szCs w:val="24"/>
          <w:lang w:val="en-GB"/>
        </w:rPr>
        <w:fldChar w:fldCharType="end"/>
      </w:r>
      <w:r w:rsidR="00C80AD9">
        <w:rPr>
          <w:rFonts w:asciiTheme="majorBidi" w:hAnsiTheme="majorBidi" w:cstheme="majorBidi"/>
          <w:color w:val="000000" w:themeColor="text1"/>
          <w:szCs w:val="24"/>
          <w:lang w:val="en-GB"/>
        </w:rPr>
        <w:t xml:space="preserve"> for a concrete description of the standardization process.</w:t>
      </w:r>
    </w:p>
    <w:p w14:paraId="0CC33211" w14:textId="11D0E54F" w:rsidR="008170BC" w:rsidRPr="00A62499" w:rsidRDefault="004F65E4" w:rsidP="00A62499">
      <w:pPr>
        <w:jc w:val="both"/>
        <w:rPr>
          <w:rFonts w:cs="Times New Roman"/>
          <w:sz w:val="24"/>
          <w:szCs w:val="24"/>
        </w:rPr>
      </w:pPr>
      <w:r w:rsidRPr="000E33AB">
        <w:rPr>
          <w:rFonts w:asciiTheme="majorBidi" w:hAnsiTheme="majorBidi"/>
          <w:i/>
          <w:color w:val="000000" w:themeColor="text1"/>
          <w:lang w:val="en-GB"/>
        </w:rPr>
        <w:t>Extraction rates (ERs).</w:t>
      </w:r>
      <w:r w:rsidRPr="000E33AB">
        <w:rPr>
          <w:rFonts w:asciiTheme="majorBidi" w:hAnsiTheme="majorBidi"/>
          <w:color w:val="000000" w:themeColor="text1"/>
          <w:lang w:val="en-GB"/>
        </w:rPr>
        <w:t xml:space="preserve"> Extraction rates reflect the amount of primary product that sits in the next level of processed product; for instance, the extraction rate of wheat flour is, without going into the specificities of a country’s milling sector, about 0.79. This simply means that 1 tonne of wheat that goes through a country’s flour milling industry renders on average 790 kg of flour. </w:t>
      </w:r>
      <w:r w:rsidR="00F90434">
        <w:rPr>
          <w:rFonts w:cs="Times New Roman"/>
          <w:sz w:val="24"/>
          <w:szCs w:val="24"/>
        </w:rPr>
        <w:t>In addition to the flour production, f</w:t>
      </w:r>
      <w:r w:rsidR="008170BC" w:rsidRPr="00A62499">
        <w:rPr>
          <w:rFonts w:cs="Times New Roman"/>
          <w:sz w:val="24"/>
          <w:szCs w:val="24"/>
        </w:rPr>
        <w:t>lour</w:t>
      </w:r>
      <w:r w:rsidRPr="000E33AB">
        <w:rPr>
          <w:rFonts w:asciiTheme="majorBidi" w:hAnsiTheme="majorBidi"/>
          <w:color w:val="000000" w:themeColor="text1"/>
          <w:lang w:val="en-GB"/>
        </w:rPr>
        <w:t xml:space="preserve"> milling also produces a certain amount of bran, on average 180kg as well as a certain amount of wheat germ, e.g. 20kg. The remaining 10 kg are losses that occur in the milling process. A detailed account of changes in the used extraction rates is dealt with in a separate document; thus, it should suffice here to </w:t>
      </w:r>
      <w:r w:rsidR="008170BC" w:rsidRPr="00A62499">
        <w:rPr>
          <w:rFonts w:cs="Times New Roman"/>
          <w:sz w:val="24"/>
          <w:szCs w:val="24"/>
        </w:rPr>
        <w:t xml:space="preserve">identify the two major developments that have </w:t>
      </w:r>
      <w:r w:rsidR="008170BC" w:rsidRPr="00A62499">
        <w:rPr>
          <w:rFonts w:cs="Times New Roman"/>
          <w:sz w:val="24"/>
          <w:szCs w:val="24"/>
        </w:rPr>
        <w:lastRenderedPageBreak/>
        <w:t xml:space="preserve">caused changes in the ERs. The first is a shift of the definition in the product definition, brought about by the shift to the Central Product Classification (CPC). Generally this rendered lower extraction rates. In the case of wheat, this is simply a reflection of the fact that the degree of purity in CPC is higher, i.e. wheat is defined without </w:t>
      </w:r>
      <w:proofErr w:type="spellStart"/>
      <w:r w:rsidR="008170BC" w:rsidRPr="00A62499">
        <w:rPr>
          <w:rFonts w:cs="Times New Roman"/>
          <w:sz w:val="24"/>
          <w:szCs w:val="24"/>
        </w:rPr>
        <w:t>groats</w:t>
      </w:r>
      <w:proofErr w:type="spellEnd"/>
      <w:r w:rsidR="008170BC" w:rsidRPr="00A62499">
        <w:rPr>
          <w:rFonts w:cs="Times New Roman"/>
          <w:sz w:val="24"/>
          <w:szCs w:val="24"/>
        </w:rPr>
        <w:t xml:space="preserve"> and pellets. The second is the recognition of the fact that some ERs are far from their expected values and not grounded in any empirical evidence. Such extreme values have been reviewed and, where necessary, adjusted.</w:t>
      </w:r>
    </w:p>
    <w:p w14:paraId="525BF23F" w14:textId="3E40560B" w:rsidR="004F65E4" w:rsidRPr="000E33AB" w:rsidRDefault="008170BC" w:rsidP="00F17666">
      <w:pPr>
        <w:jc w:val="both"/>
        <w:rPr>
          <w:rFonts w:asciiTheme="majorBidi" w:hAnsiTheme="majorBidi"/>
          <w:color w:val="000000" w:themeColor="text1"/>
          <w:lang w:val="en-GB"/>
        </w:rPr>
      </w:pPr>
      <w:r w:rsidRPr="00A62499">
        <w:rPr>
          <w:rFonts w:cs="Times New Roman"/>
          <w:sz w:val="24"/>
          <w:szCs w:val="24"/>
        </w:rPr>
        <w:t>Another important change in the use and calculation of extractions rates was</w:t>
      </w:r>
      <w:r w:rsidR="004F65E4" w:rsidRPr="000E33AB">
        <w:rPr>
          <w:rFonts w:asciiTheme="majorBidi" w:hAnsiTheme="majorBidi"/>
          <w:color w:val="000000" w:themeColor="text1"/>
          <w:lang w:val="en-GB"/>
        </w:rPr>
        <w:t xml:space="preserve"> that all extraction rates are now exogenously assumed. In the past, some extraction rates were implicit (endogenous), calculated from available information for processed production (e.g. flour) and an allocation of primary products for processing (e.g. wheat). While </w:t>
      </w:r>
      <w:r w:rsidR="004F65E4" w:rsidRPr="00F31509">
        <w:rPr>
          <w:rFonts w:asciiTheme="majorBidi" w:eastAsia="Times New Roman" w:hAnsiTheme="majorBidi" w:cstheme="majorBidi"/>
          <w:color w:val="000000" w:themeColor="text1"/>
          <w:lang w:val="en-GB"/>
        </w:rPr>
        <w:t>endogenous extraction rates</w:t>
      </w:r>
      <w:r w:rsidR="004F65E4" w:rsidRPr="000E33AB">
        <w:rPr>
          <w:rFonts w:asciiTheme="majorBidi" w:hAnsiTheme="majorBidi"/>
          <w:color w:val="000000" w:themeColor="text1"/>
          <w:lang w:val="en-GB"/>
        </w:rPr>
        <w:t xml:space="preserve"> are largely limited to developed countries and </w:t>
      </w:r>
      <w:r w:rsidR="004F65E4" w:rsidRPr="00F31509">
        <w:rPr>
          <w:rFonts w:asciiTheme="majorBidi" w:eastAsia="Times New Roman" w:hAnsiTheme="majorBidi" w:cstheme="majorBidi"/>
          <w:color w:val="000000" w:themeColor="text1"/>
          <w:lang w:val="en-GB"/>
        </w:rPr>
        <w:t>a limited number of</w:t>
      </w:r>
      <w:r w:rsidR="004F65E4" w:rsidRPr="000E33AB">
        <w:rPr>
          <w:rFonts w:asciiTheme="majorBidi" w:hAnsiTheme="majorBidi"/>
          <w:color w:val="000000" w:themeColor="text1"/>
          <w:lang w:val="en-GB"/>
        </w:rPr>
        <w:t xml:space="preserve"> products, this process often created implicit extraction rates with highly unlikely values. For </w:t>
      </w:r>
      <w:r w:rsidR="004F65E4" w:rsidRPr="00F31509">
        <w:rPr>
          <w:rFonts w:asciiTheme="majorBidi" w:eastAsia="Times New Roman" w:hAnsiTheme="majorBidi" w:cstheme="majorBidi"/>
          <w:color w:val="000000" w:themeColor="text1"/>
          <w:lang w:val="en-GB"/>
        </w:rPr>
        <w:t>Japan’s cereal sector</w:t>
      </w:r>
      <w:r w:rsidR="004F65E4" w:rsidRPr="000E33AB">
        <w:rPr>
          <w:rFonts w:asciiTheme="majorBidi" w:hAnsiTheme="majorBidi"/>
          <w:color w:val="000000" w:themeColor="text1"/>
          <w:lang w:val="en-GB"/>
        </w:rPr>
        <w:t>, for instance, the extraction rates were unduly low, suggesting that the country’s flour milling industry is processing wheat in an inefficient way. In reality, the opposite is true. The reason for the low implicit extraction rate lies not in a low estimate for flour produced in Japan, but in the high allocation of wheat going into its flour milling industry. The new approach therefore is to keep flour production as a starting point, apply a reasonable extraction rate and calculate primary food (</w:t>
      </w:r>
      <w:r w:rsidR="00992213" w:rsidRPr="00F31509">
        <w:rPr>
          <w:rFonts w:asciiTheme="majorBidi" w:eastAsia="Times New Roman" w:hAnsiTheme="majorBidi" w:cstheme="majorBidi"/>
          <w:color w:val="000000" w:themeColor="text1"/>
          <w:lang w:val="en-GB"/>
        </w:rPr>
        <w:t xml:space="preserve">in this case </w:t>
      </w:r>
      <w:r w:rsidR="004F65E4" w:rsidRPr="000E33AB">
        <w:rPr>
          <w:rFonts w:asciiTheme="majorBidi" w:hAnsiTheme="majorBidi"/>
          <w:color w:val="000000" w:themeColor="text1"/>
          <w:lang w:val="en-GB"/>
        </w:rPr>
        <w:t>wheat) based on flour production and the given extraction rate. The added advantage of this process is a simplification in the standardization method and the possibility to get rid of a complicated ex-post reallocation process between processed products.</w:t>
      </w:r>
    </w:p>
    <w:p w14:paraId="2C692DAF" w14:textId="341B07F4" w:rsidR="004F65E4" w:rsidRPr="000E33AB" w:rsidRDefault="004F65E4" w:rsidP="004F65E4">
      <w:pPr>
        <w:jc w:val="both"/>
        <w:rPr>
          <w:rFonts w:asciiTheme="majorBidi" w:hAnsiTheme="majorBidi"/>
          <w:color w:val="000000" w:themeColor="text1"/>
          <w:lang w:val="en-GB"/>
        </w:rPr>
      </w:pPr>
      <w:proofErr w:type="gramStart"/>
      <w:r w:rsidRPr="000E33AB">
        <w:rPr>
          <w:rFonts w:asciiTheme="majorBidi" w:hAnsiTheme="majorBidi"/>
          <w:i/>
          <w:color w:val="000000" w:themeColor="text1"/>
          <w:lang w:val="en-GB"/>
        </w:rPr>
        <w:t>Nutrient conversion factors.</w:t>
      </w:r>
      <w:proofErr w:type="gramEnd"/>
      <w:r w:rsidRPr="000E33AB">
        <w:rPr>
          <w:rFonts w:asciiTheme="majorBidi" w:hAnsiTheme="majorBidi"/>
          <w:color w:val="000000" w:themeColor="text1"/>
          <w:lang w:val="en-GB"/>
        </w:rPr>
        <w:t xml:space="preserve"> Food balance sheets provide an account not only of quantities of food supplied and utilized, but they also provide an account of key nutrients, such as calories, protein and fat. Other nutrients could be added. As food products are typically eaten in processed form (rather than primary), nutrient conversion factors also apply to and are available for processed products. The new approach applies </w:t>
      </w:r>
      <w:r w:rsidR="00F90434">
        <w:rPr>
          <w:rFonts w:cs="Times New Roman"/>
          <w:sz w:val="24"/>
          <w:szCs w:val="24"/>
        </w:rPr>
        <w:t>caloric</w:t>
      </w:r>
      <w:r w:rsidRPr="000E33AB">
        <w:rPr>
          <w:rFonts w:asciiTheme="majorBidi" w:hAnsiTheme="majorBidi"/>
          <w:color w:val="000000" w:themeColor="text1"/>
          <w:lang w:val="en-GB"/>
        </w:rPr>
        <w:t xml:space="preserve"> conversion factors typically at the 1</w:t>
      </w:r>
      <w:r w:rsidRPr="000E33AB">
        <w:rPr>
          <w:rFonts w:asciiTheme="majorBidi" w:hAnsiTheme="majorBidi"/>
          <w:color w:val="000000" w:themeColor="text1"/>
          <w:vertAlign w:val="superscript"/>
          <w:lang w:val="en-GB"/>
        </w:rPr>
        <w:t>st</w:t>
      </w:r>
      <w:r w:rsidRPr="000E33AB">
        <w:rPr>
          <w:rFonts w:asciiTheme="majorBidi" w:hAnsiTheme="majorBidi"/>
          <w:color w:val="000000" w:themeColor="text1"/>
          <w:lang w:val="en-GB"/>
        </w:rPr>
        <w:t xml:space="preserve"> level of processing. For the example of wheat, this means that </w:t>
      </w:r>
      <w:r w:rsidR="00F90434">
        <w:rPr>
          <w:rFonts w:cs="Times New Roman"/>
          <w:sz w:val="24"/>
          <w:szCs w:val="24"/>
        </w:rPr>
        <w:t>caloric</w:t>
      </w:r>
      <w:r w:rsidRPr="000E33AB">
        <w:rPr>
          <w:rFonts w:asciiTheme="majorBidi" w:hAnsiTheme="majorBidi"/>
          <w:color w:val="000000" w:themeColor="text1"/>
          <w:lang w:val="en-GB"/>
        </w:rPr>
        <w:t xml:space="preserve">, fat and protein conversion takes place at the flour level. The nutrient conversion for biscuits takes place when biscuits have been split up according to their shares, at the level of sugar, flour and vegetable oils. </w:t>
      </w:r>
    </w:p>
    <w:p w14:paraId="5A0A6166" w14:textId="77777777" w:rsidR="00ED1B4C" w:rsidRPr="00F31509" w:rsidRDefault="00ED1B4C" w:rsidP="004F65E4">
      <w:pPr>
        <w:jc w:val="both"/>
        <w:rPr>
          <w:rFonts w:asciiTheme="majorBidi" w:hAnsiTheme="majorBidi" w:cstheme="majorBidi"/>
          <w:color w:val="000000" w:themeColor="text1"/>
          <w:szCs w:val="24"/>
          <w:lang w:val="en-GB"/>
        </w:rPr>
      </w:pPr>
      <w:proofErr w:type="gramStart"/>
      <w:r w:rsidRPr="000E33AB">
        <w:rPr>
          <w:rFonts w:asciiTheme="majorBidi" w:hAnsiTheme="majorBidi"/>
          <w:i/>
          <w:color w:val="000000" w:themeColor="text1"/>
          <w:lang w:val="en-GB"/>
        </w:rPr>
        <w:t>Product specificity</w:t>
      </w:r>
      <w:r w:rsidRPr="000E33AB">
        <w:rPr>
          <w:rFonts w:asciiTheme="majorBidi" w:hAnsiTheme="majorBidi"/>
          <w:color w:val="000000" w:themeColor="text1"/>
          <w:lang w:val="en-GB"/>
        </w:rPr>
        <w:t>.</w:t>
      </w:r>
      <w:proofErr w:type="gramEnd"/>
      <w:r w:rsidRPr="000E33AB">
        <w:rPr>
          <w:rFonts w:asciiTheme="majorBidi" w:hAnsiTheme="majorBidi"/>
          <w:color w:val="000000" w:themeColor="text1"/>
          <w:lang w:val="en-GB"/>
        </w:rPr>
        <w:t xml:space="preserve"> </w:t>
      </w:r>
      <w:r w:rsidRPr="00F31509">
        <w:rPr>
          <w:rFonts w:asciiTheme="majorBidi" w:eastAsia="Times New Roman" w:hAnsiTheme="majorBidi" w:cstheme="majorBidi"/>
          <w:color w:val="000000" w:themeColor="text1"/>
          <w:lang w:val="en-GB"/>
        </w:rPr>
        <w:t xml:space="preserve">Products of the same name and classification but from different provenances may have different characteristics in terms of nutrient contents and food values. </w:t>
      </w:r>
      <w:r w:rsidRPr="000E33AB">
        <w:rPr>
          <w:rFonts w:asciiTheme="majorBidi" w:hAnsiTheme="majorBidi"/>
          <w:color w:val="000000" w:themeColor="text1"/>
          <w:lang w:val="en-GB"/>
        </w:rPr>
        <w:t>Grass-fed beef from Argentina, for instance, is typically less caloric than corn-fed beef from the US. The same holds for many fruits and vegetables, other meats, and even cereals</w:t>
      </w:r>
      <w:r w:rsidRPr="00F31509">
        <w:rPr>
          <w:rFonts w:asciiTheme="majorBidi" w:eastAsia="Times New Roman" w:hAnsiTheme="majorBidi" w:cstheme="majorBidi"/>
          <w:color w:val="000000" w:themeColor="text1"/>
          <w:lang w:val="en-GB"/>
        </w:rPr>
        <w:t xml:space="preserve"> of the same type from different countries or farming systems.</w:t>
      </w:r>
      <w:r w:rsidRPr="000E33AB">
        <w:rPr>
          <w:rFonts w:asciiTheme="majorBidi" w:hAnsiTheme="majorBidi"/>
          <w:color w:val="000000" w:themeColor="text1"/>
          <w:lang w:val="en-GB"/>
        </w:rPr>
        <w:t xml:space="preserve"> There is a growing recognition of the need to account for these differences in the standardization process and in applying more specific calorie conversion factors. </w:t>
      </w:r>
      <w:r>
        <w:rPr>
          <w:rFonts w:asciiTheme="majorBidi" w:eastAsia="Times New Roman" w:hAnsiTheme="majorBidi" w:cstheme="majorBidi"/>
          <w:color w:val="000000" w:themeColor="text1"/>
          <w:lang w:val="en-GB"/>
        </w:rPr>
        <w:t xml:space="preserve">Additionally, such factors should be continuously studied over time and adjusted when necessary.  </w:t>
      </w:r>
      <w:r w:rsidRPr="000E33AB">
        <w:rPr>
          <w:rFonts w:asciiTheme="majorBidi" w:hAnsiTheme="majorBidi"/>
          <w:color w:val="000000" w:themeColor="text1"/>
          <w:lang w:val="en-GB"/>
        </w:rPr>
        <w:t xml:space="preserve">There are plans to account for these specificities in future versions of the SUA/FBS system. </w:t>
      </w:r>
      <w:r w:rsidRPr="00F31509">
        <w:rPr>
          <w:rFonts w:asciiTheme="majorBidi" w:eastAsia="Times New Roman" w:hAnsiTheme="majorBidi" w:cstheme="majorBidi"/>
          <w:color w:val="000000" w:themeColor="text1"/>
          <w:lang w:val="en-GB"/>
        </w:rPr>
        <w:t xml:space="preserve">While there is awareness of the problem, the specificities are limited to region-specific calorie conversion factors. </w:t>
      </w:r>
    </w:p>
    <w:p w14:paraId="5B476330" w14:textId="235B4E58" w:rsidR="004F65E4" w:rsidRPr="000E33AB" w:rsidRDefault="004F65E4" w:rsidP="004F65E4">
      <w:pPr>
        <w:jc w:val="both"/>
        <w:rPr>
          <w:rFonts w:asciiTheme="majorBidi" w:hAnsiTheme="majorBidi"/>
          <w:color w:val="000000" w:themeColor="text1"/>
          <w:lang w:val="en-GB"/>
        </w:rPr>
      </w:pPr>
      <w:proofErr w:type="gramStart"/>
      <w:r w:rsidRPr="000E33AB">
        <w:rPr>
          <w:rFonts w:asciiTheme="majorBidi" w:hAnsiTheme="majorBidi"/>
          <w:i/>
          <w:color w:val="000000" w:themeColor="text1"/>
          <w:lang w:val="en-GB"/>
        </w:rPr>
        <w:t>Shares for different uses.</w:t>
      </w:r>
      <w:proofErr w:type="gramEnd"/>
      <w:r w:rsidRPr="000E33AB">
        <w:rPr>
          <w:rFonts w:asciiTheme="majorBidi" w:hAnsiTheme="majorBidi"/>
          <w:i/>
          <w:color w:val="000000" w:themeColor="text1"/>
          <w:lang w:val="en-GB"/>
        </w:rPr>
        <w:t xml:space="preserve"> </w:t>
      </w:r>
      <w:r w:rsidRPr="000E33AB">
        <w:rPr>
          <w:rFonts w:asciiTheme="majorBidi" w:hAnsiTheme="majorBidi"/>
          <w:color w:val="000000" w:themeColor="text1"/>
          <w:lang w:val="en-GB"/>
        </w:rPr>
        <w:t xml:space="preserve">In the current approach, the utilization side is constructed by applying fixed shares to availability. This applies to feed, waste, </w:t>
      </w:r>
      <w:proofErr w:type="gramStart"/>
      <w:r w:rsidRPr="000E33AB">
        <w:rPr>
          <w:rFonts w:asciiTheme="majorBidi" w:hAnsiTheme="majorBidi"/>
          <w:color w:val="000000" w:themeColor="text1"/>
          <w:lang w:val="en-GB"/>
        </w:rPr>
        <w:t>food</w:t>
      </w:r>
      <w:proofErr w:type="gramEnd"/>
      <w:r w:rsidRPr="000E33AB">
        <w:rPr>
          <w:rFonts w:asciiTheme="majorBidi" w:hAnsiTheme="majorBidi"/>
          <w:color w:val="000000" w:themeColor="text1"/>
          <w:lang w:val="en-GB"/>
        </w:rPr>
        <w:t xml:space="preserve"> manufacture and in part also to other variables. The new approach made an effort to determine all forms of utilization by the factors that drive them rather than applying simple shares to availability. This means that shares in the previous methodology </w:t>
      </w:r>
      <w:r w:rsidRPr="00F31509">
        <w:rPr>
          <w:rFonts w:asciiTheme="majorBidi" w:hAnsiTheme="majorBidi" w:cstheme="majorBidi"/>
          <w:color w:val="000000" w:themeColor="text1"/>
          <w:szCs w:val="24"/>
          <w:lang w:val="en-GB"/>
        </w:rPr>
        <w:t xml:space="preserve">(e.g. for feed or waste) </w:t>
      </w:r>
      <w:r w:rsidRPr="000E33AB">
        <w:rPr>
          <w:rFonts w:asciiTheme="majorBidi" w:hAnsiTheme="majorBidi"/>
          <w:color w:val="000000" w:themeColor="text1"/>
          <w:lang w:val="en-GB"/>
        </w:rPr>
        <w:t xml:space="preserve">are no longer required. The shares of food that enter a manufacturing process </w:t>
      </w:r>
      <w:r w:rsidRPr="000E33AB">
        <w:rPr>
          <w:rFonts w:asciiTheme="majorBidi" w:hAnsiTheme="majorBidi"/>
          <w:color w:val="000000" w:themeColor="text1"/>
          <w:lang w:val="en-GB"/>
        </w:rPr>
        <w:lastRenderedPageBreak/>
        <w:t xml:space="preserve">outside the normal commodity trees are a notable exception. </w:t>
      </w:r>
      <w:r w:rsidR="00D46A0C">
        <w:rPr>
          <w:rFonts w:asciiTheme="majorBidi" w:hAnsiTheme="majorBidi" w:cstheme="majorBidi"/>
          <w:color w:val="000000" w:themeColor="text1"/>
          <w:szCs w:val="24"/>
          <w:lang w:val="en-GB"/>
        </w:rPr>
        <w:t>Such shares can be based on historical allocations in such processes, if available, or from global average allocations.</w:t>
      </w:r>
    </w:p>
    <w:p w14:paraId="5CB5202C" w14:textId="3AF69FED" w:rsidR="004F65E4" w:rsidRPr="000E33AB" w:rsidRDefault="004F65E4" w:rsidP="004F65E4">
      <w:pPr>
        <w:jc w:val="both"/>
        <w:rPr>
          <w:rFonts w:asciiTheme="majorBidi" w:hAnsiTheme="majorBidi"/>
          <w:color w:val="000000" w:themeColor="text1"/>
          <w:lang w:val="en-GB"/>
        </w:rPr>
      </w:pPr>
      <w:r w:rsidRPr="000E33AB">
        <w:rPr>
          <w:rFonts w:asciiTheme="majorBidi" w:hAnsiTheme="majorBidi"/>
          <w:i/>
          <w:color w:val="000000" w:themeColor="text1"/>
          <w:lang w:val="en-GB"/>
        </w:rPr>
        <w:t xml:space="preserve">Shares for food manufacture. </w:t>
      </w:r>
      <w:r w:rsidRPr="000E33AB">
        <w:rPr>
          <w:rFonts w:asciiTheme="majorBidi" w:hAnsiTheme="majorBidi"/>
          <w:color w:val="000000" w:themeColor="text1"/>
          <w:lang w:val="en-GB"/>
        </w:rPr>
        <w:t xml:space="preserve">For some FBS commodity trees, the underlying set of processing activities is rather diverse, resulting in many links between trees. These commodities are pruned off the main trees and crafted into the FBS as a separate balance. As separate branches, they re-enter the balances as processed rather than primary products. They include products such as sweeteners, beer, or other alcoholic beverages. During the process of food manufacturing and processing, these products often receive inputs from several FBS commodities. As an example, beer can and is being produced from many different starchy inputs, i.e. barley, maize, wheat, or sorghum, but also more exotic products such as bananas or plantains. In order to avoid double counting, they need to be identified as separate products in the FBS, and are not included in the original commodity tree. </w:t>
      </w:r>
      <w:r w:rsidR="008170BC" w:rsidRPr="00A62499">
        <w:rPr>
          <w:rFonts w:cs="Times New Roman"/>
          <w:sz w:val="24"/>
          <w:szCs w:val="24"/>
        </w:rPr>
        <w:t>The shares allocated to these manufacturing processes have been reviewed and adjusted where needed.</w:t>
      </w:r>
      <w:r w:rsidR="00534A92">
        <w:rPr>
          <w:rFonts w:asciiTheme="majorBidi" w:hAnsiTheme="majorBidi" w:cstheme="majorBidi"/>
          <w:color w:val="000000" w:themeColor="text1"/>
          <w:szCs w:val="24"/>
          <w:lang w:val="en-GB"/>
        </w:rPr>
        <w:t xml:space="preserve"> All other products will be standardized up the commodity tree from which they were produced. </w:t>
      </w:r>
    </w:p>
    <w:p w14:paraId="2BA01BDE" w14:textId="77777777" w:rsidR="004F65E4" w:rsidRPr="000E33AB" w:rsidRDefault="004F65E4" w:rsidP="000E33AB">
      <w:pPr>
        <w:pStyle w:val="Heading2"/>
      </w:pPr>
      <w:bookmarkStart w:id="7" w:name="_Toc421025845"/>
      <w:bookmarkStart w:id="8" w:name="_Toc428383830"/>
      <w:bookmarkStart w:id="9" w:name="_Toc428436052"/>
      <w:bookmarkStart w:id="10" w:name="_Toc428436353"/>
      <w:bookmarkStart w:id="11" w:name="_Toc428436479"/>
      <w:r w:rsidRPr="00AE18A5">
        <w:t>SUAs and processed products</w:t>
      </w:r>
      <w:bookmarkEnd w:id="7"/>
      <w:bookmarkEnd w:id="8"/>
      <w:bookmarkEnd w:id="9"/>
      <w:bookmarkEnd w:id="10"/>
      <w:bookmarkEnd w:id="11"/>
    </w:p>
    <w:p w14:paraId="3859CBFF" w14:textId="0E7B9C1D" w:rsidR="004F65E4" w:rsidRPr="000E33AB" w:rsidRDefault="004F65E4" w:rsidP="00A25C44">
      <w:pPr>
        <w:jc w:val="both"/>
        <w:rPr>
          <w:rFonts w:asciiTheme="majorBidi" w:hAnsiTheme="majorBidi"/>
          <w:color w:val="000000" w:themeColor="text1"/>
          <w:lang w:val="en-GB"/>
        </w:rPr>
      </w:pPr>
      <w:r w:rsidRPr="000E33AB">
        <w:rPr>
          <w:rFonts w:asciiTheme="majorBidi" w:hAnsiTheme="majorBidi"/>
          <w:color w:val="000000" w:themeColor="text1"/>
          <w:lang w:val="en-GB"/>
        </w:rPr>
        <w:t>Every primary product is the basis for a broad variety of processed products</w:t>
      </w:r>
      <w:r w:rsidR="00A25C44" w:rsidRPr="00F31509">
        <w:rPr>
          <w:rFonts w:asciiTheme="majorBidi" w:hAnsiTheme="majorBidi" w:cstheme="majorBidi"/>
          <w:color w:val="000000" w:themeColor="text1"/>
          <w:szCs w:val="24"/>
          <w:lang w:val="en-GB"/>
        </w:rPr>
        <w:t>.</w:t>
      </w:r>
      <w:r w:rsidR="00A25C44" w:rsidRPr="000E33AB">
        <w:rPr>
          <w:rFonts w:asciiTheme="majorBidi" w:hAnsiTheme="majorBidi"/>
          <w:color w:val="000000" w:themeColor="text1"/>
          <w:lang w:val="en-GB"/>
        </w:rPr>
        <w:t xml:space="preserve"> </w:t>
      </w:r>
      <w:r w:rsidRPr="000E33AB">
        <w:rPr>
          <w:rFonts w:asciiTheme="majorBidi" w:hAnsiTheme="majorBidi"/>
          <w:color w:val="000000" w:themeColor="text1"/>
          <w:lang w:val="en-GB"/>
        </w:rPr>
        <w:t>A modern food-processing sector is characterized by a vast variety of different products; the further one goes down the processing chain, the more possible combinations and varieties of food products there are. Information from the USDA database on food nutrients (ARS SR 27</w:t>
      </w:r>
      <w:r w:rsidRPr="000E33AB">
        <w:rPr>
          <w:rStyle w:val="FootnoteReference"/>
          <w:rFonts w:asciiTheme="majorBidi" w:hAnsiTheme="majorBidi"/>
          <w:color w:val="000000" w:themeColor="text1"/>
          <w:lang w:val="en-GB"/>
        </w:rPr>
        <w:footnoteReference w:id="3"/>
      </w:r>
      <w:r w:rsidRPr="000E33AB">
        <w:rPr>
          <w:rFonts w:asciiTheme="majorBidi" w:hAnsiTheme="majorBidi"/>
          <w:color w:val="000000" w:themeColor="text1"/>
          <w:lang w:val="en-GB"/>
        </w:rPr>
        <w:t xml:space="preserve">), for instance, suggests that out of the 10 basic commodity groups (cereals, oilseeds, etc.) and the 60 primary FBS commodities, the US food industry produces more than 8000 different food products. These products can be consumed in the US but also be exported to destinations abroad. No doubt, not all 8000 processed food products are genuinely different in their food composition; many are simply different brand names with the same or similar combinations of first level food processing products. But the many different combinations suggest that the variety of food products is indeed large and that many more than 60 products are being eaten and traded. Trade information is available for about 3000 products. About 300 are genuinely distinguishable in terms of their composition and need to be converted into their primary equivalents. </w:t>
      </w:r>
    </w:p>
    <w:p w14:paraId="67F3BFE3" w14:textId="77777777" w:rsidR="004F65E4" w:rsidRPr="000E33AB" w:rsidRDefault="004F65E4" w:rsidP="000E33AB">
      <w:pPr>
        <w:pStyle w:val="Heading2"/>
      </w:pPr>
      <w:bookmarkStart w:id="12" w:name="_Toc421025846"/>
      <w:bookmarkStart w:id="13" w:name="_Toc428383831"/>
      <w:bookmarkStart w:id="14" w:name="_Toc428436053"/>
      <w:bookmarkStart w:id="15" w:name="_Toc428436354"/>
      <w:bookmarkStart w:id="16" w:name="_Toc428436480"/>
      <w:r w:rsidRPr="00AE18A5">
        <w:t>SUAs and commodity trees</w:t>
      </w:r>
      <w:bookmarkEnd w:id="12"/>
      <w:bookmarkEnd w:id="13"/>
      <w:bookmarkEnd w:id="14"/>
      <w:bookmarkEnd w:id="15"/>
      <w:bookmarkEnd w:id="16"/>
    </w:p>
    <w:p w14:paraId="0D1567E5" w14:textId="68B6AA7F" w:rsidR="004F65E4" w:rsidRPr="000E33AB" w:rsidRDefault="004F65E4" w:rsidP="004F65E4">
      <w:pPr>
        <w:jc w:val="both"/>
        <w:rPr>
          <w:rFonts w:asciiTheme="majorBidi" w:hAnsiTheme="majorBidi"/>
          <w:color w:val="000000" w:themeColor="text1"/>
          <w:lang w:val="en-GB"/>
        </w:rPr>
      </w:pPr>
      <w:r w:rsidRPr="000E33AB">
        <w:rPr>
          <w:rFonts w:asciiTheme="majorBidi" w:hAnsiTheme="majorBidi"/>
          <w:color w:val="000000" w:themeColor="text1"/>
          <w:lang w:val="en-GB"/>
        </w:rPr>
        <w:t>Standardization, i.e. the conversion and subsequent aggregation of processed products into their primary equivalents, aims to bring these products into a hierarchical order that reflects the various food processing chains in which primary products are converted into their processed equivalents. The most straightforward way to depict the hierarchy is in the form of commodity trees. The primary product, say wheat, represents the stem of such a tree. The main components of the first level processing (flour, bran and germ) form the main branches of the tree; eventually these split into ever finer twigs of higher levels of processing (bread, rolls, or dextrose). The hierarchy between various levels of processing captures the various steps of processing; the different levels and products are connected through the extraction rates</w:t>
      </w:r>
      <w:r w:rsidRPr="00F31509">
        <w:rPr>
          <w:rFonts w:asciiTheme="majorBidi" w:eastAsia="Times New Roman" w:hAnsiTheme="majorBidi" w:cstheme="majorBidi"/>
          <w:color w:val="000000" w:themeColor="text1"/>
          <w:lang w:val="en-GB"/>
        </w:rPr>
        <w:t xml:space="preserve"> (see </w:t>
      </w:r>
      <w:r w:rsidR="00456DC0">
        <w:fldChar w:fldCharType="begin"/>
      </w:r>
      <w:r w:rsidR="00456DC0">
        <w:instrText xml:space="preserve"> REF _Ref421004099 \h  \* MERGEFORMAT </w:instrText>
      </w:r>
      <w:r w:rsidR="00456DC0">
        <w:fldChar w:fldCharType="separate"/>
      </w:r>
      <w:r w:rsidR="00AA4884" w:rsidRPr="00F31509">
        <w:rPr>
          <w:rFonts w:asciiTheme="majorBidi" w:eastAsia="Times New Roman" w:hAnsiTheme="majorBidi" w:cstheme="majorBidi"/>
          <w:lang w:val="en-GB"/>
        </w:rPr>
        <w:t>Figure 2</w:t>
      </w:r>
      <w:r w:rsidR="00456DC0">
        <w:fldChar w:fldCharType="end"/>
      </w:r>
      <w:r w:rsidRPr="00F31509">
        <w:rPr>
          <w:rFonts w:asciiTheme="majorBidi" w:eastAsia="Times New Roman" w:hAnsiTheme="majorBidi" w:cstheme="majorBidi"/>
          <w:color w:val="000000" w:themeColor="text1"/>
          <w:lang w:val="en-GB"/>
        </w:rPr>
        <w:t xml:space="preserve"> below and other examples in section on classification</w:t>
      </w:r>
      <w:r w:rsidR="00891363" w:rsidRPr="00F31509">
        <w:rPr>
          <w:rFonts w:asciiTheme="majorBidi" w:eastAsia="Times New Roman" w:hAnsiTheme="majorBidi" w:cstheme="majorBidi"/>
          <w:color w:val="000000" w:themeColor="text1"/>
          <w:lang w:val="en-GB"/>
        </w:rPr>
        <w:t>s</w:t>
      </w:r>
      <w:r w:rsidRPr="00F31509">
        <w:rPr>
          <w:rFonts w:asciiTheme="majorBidi" w:eastAsia="Times New Roman" w:hAnsiTheme="majorBidi" w:cstheme="majorBidi"/>
          <w:color w:val="000000" w:themeColor="text1"/>
          <w:lang w:val="en-GB"/>
        </w:rPr>
        <w:t>).</w:t>
      </w:r>
      <w:r w:rsidRPr="000E33AB">
        <w:rPr>
          <w:rFonts w:asciiTheme="majorBidi" w:hAnsiTheme="majorBidi"/>
          <w:color w:val="000000" w:themeColor="text1"/>
          <w:lang w:val="en-GB"/>
        </w:rPr>
        <w:t xml:space="preserve"> </w:t>
      </w:r>
    </w:p>
    <w:p w14:paraId="093F7C69" w14:textId="77777777" w:rsidR="004F65E4" w:rsidRPr="00F31509" w:rsidRDefault="00040401" w:rsidP="004F65E4">
      <w:pPr>
        <w:keepNext/>
        <w:jc w:val="both"/>
        <w:rPr>
          <w:rFonts w:asciiTheme="majorBidi" w:hAnsiTheme="majorBidi" w:cstheme="majorBidi"/>
          <w:lang w:val="en-GB"/>
        </w:rPr>
      </w:pPr>
      <w:r w:rsidRPr="00F31509">
        <w:rPr>
          <w:rFonts w:asciiTheme="majorBidi" w:hAnsiTheme="majorBidi" w:cstheme="majorBidi"/>
          <w:noProof/>
          <w:color w:val="000000" w:themeColor="text1"/>
          <w:szCs w:val="24"/>
          <w:lang w:eastAsia="en-US"/>
        </w:rPr>
        <w:lastRenderedPageBreak/>
        <w:drawing>
          <wp:inline distT="0" distB="0" distL="0" distR="0">
            <wp:extent cx="5775960" cy="47701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75960" cy="4770120"/>
                    </a:xfrm>
                    <a:prstGeom prst="rect">
                      <a:avLst/>
                    </a:prstGeom>
                    <a:noFill/>
                    <a:ln>
                      <a:noFill/>
                    </a:ln>
                  </pic:spPr>
                </pic:pic>
              </a:graphicData>
            </a:graphic>
          </wp:inline>
        </w:drawing>
      </w:r>
    </w:p>
    <w:p w14:paraId="63946ECE" w14:textId="77777777" w:rsidR="004F65E4" w:rsidRPr="00F31509" w:rsidRDefault="004F65E4" w:rsidP="004F65E4">
      <w:pPr>
        <w:pStyle w:val="Caption"/>
        <w:jc w:val="both"/>
        <w:rPr>
          <w:rFonts w:asciiTheme="majorBidi" w:hAnsiTheme="majorBidi" w:cstheme="majorBidi"/>
          <w:b/>
          <w:bCs/>
          <w:sz w:val="22"/>
          <w:szCs w:val="32"/>
          <w:lang w:val="en-GB"/>
        </w:rPr>
      </w:pPr>
      <w:bookmarkStart w:id="17" w:name="_Ref421004099"/>
      <w:bookmarkStart w:id="18" w:name="_Toc421026209"/>
      <w:bookmarkStart w:id="19" w:name="_Toc428383853"/>
      <w:bookmarkStart w:id="20" w:name="_Toc430872504"/>
      <w:r w:rsidRPr="00F31509">
        <w:rPr>
          <w:rFonts w:asciiTheme="majorBidi" w:hAnsiTheme="majorBidi" w:cstheme="majorBidi"/>
          <w:sz w:val="22"/>
          <w:szCs w:val="22"/>
          <w:lang w:val="en-GB"/>
        </w:rPr>
        <w:t xml:space="preserve">Figure </w:t>
      </w:r>
      <w:r w:rsidR="00022678" w:rsidRPr="00F31509">
        <w:rPr>
          <w:rFonts w:asciiTheme="majorBidi" w:hAnsiTheme="majorBidi" w:cstheme="majorBidi"/>
          <w:b/>
          <w:bCs/>
          <w:sz w:val="22"/>
          <w:szCs w:val="22"/>
          <w:lang w:val="en-GB"/>
        </w:rPr>
        <w:fldChar w:fldCharType="begin"/>
      </w:r>
      <w:r w:rsidRPr="00F31509">
        <w:rPr>
          <w:rFonts w:asciiTheme="majorBidi" w:hAnsiTheme="majorBidi" w:cstheme="majorBidi"/>
          <w:sz w:val="22"/>
          <w:szCs w:val="22"/>
          <w:lang w:val="en-GB"/>
        </w:rPr>
        <w:instrText xml:space="preserve"> SEQ Figure \* ARABIC </w:instrText>
      </w:r>
      <w:r w:rsidR="00022678" w:rsidRPr="00F31509">
        <w:rPr>
          <w:rFonts w:asciiTheme="majorBidi" w:hAnsiTheme="majorBidi" w:cstheme="majorBidi"/>
          <w:b/>
          <w:bCs/>
          <w:sz w:val="22"/>
          <w:szCs w:val="22"/>
          <w:lang w:val="en-GB"/>
        </w:rPr>
        <w:fldChar w:fldCharType="separate"/>
      </w:r>
      <w:r w:rsidR="000B360D" w:rsidRPr="00F31509">
        <w:rPr>
          <w:rFonts w:asciiTheme="majorBidi" w:hAnsiTheme="majorBidi" w:cstheme="majorBidi"/>
          <w:noProof/>
          <w:sz w:val="22"/>
          <w:szCs w:val="22"/>
          <w:lang w:val="en-GB"/>
        </w:rPr>
        <w:t>2</w:t>
      </w:r>
      <w:r w:rsidR="00022678" w:rsidRPr="00F31509">
        <w:rPr>
          <w:rFonts w:asciiTheme="majorBidi" w:hAnsiTheme="majorBidi" w:cstheme="majorBidi"/>
          <w:b/>
          <w:bCs/>
          <w:sz w:val="22"/>
          <w:szCs w:val="22"/>
          <w:lang w:val="en-GB"/>
        </w:rPr>
        <w:fldChar w:fldCharType="end"/>
      </w:r>
      <w:bookmarkEnd w:id="17"/>
      <w:r w:rsidRPr="00F31509">
        <w:rPr>
          <w:rFonts w:asciiTheme="majorBidi" w:hAnsiTheme="majorBidi" w:cstheme="majorBidi"/>
          <w:sz w:val="22"/>
          <w:szCs w:val="22"/>
          <w:lang w:val="en-GB"/>
        </w:rPr>
        <w:t>: Standardization of wheat, processing flows</w:t>
      </w:r>
      <w:bookmarkEnd w:id="18"/>
      <w:bookmarkEnd w:id="19"/>
      <w:bookmarkEnd w:id="20"/>
    </w:p>
    <w:p w14:paraId="506BCA8C" w14:textId="77777777" w:rsidR="004F65E4" w:rsidRPr="000E33AB" w:rsidRDefault="004F65E4" w:rsidP="004F65E4">
      <w:pPr>
        <w:keepNext/>
        <w:keepLines/>
        <w:widowControl w:val="0"/>
        <w:jc w:val="both"/>
        <w:rPr>
          <w:rFonts w:asciiTheme="majorBidi" w:hAnsiTheme="majorBidi"/>
          <w:color w:val="000000" w:themeColor="text1"/>
          <w:lang w:val="en-GB"/>
        </w:rPr>
      </w:pPr>
      <w:r w:rsidRPr="000E33AB">
        <w:rPr>
          <w:rFonts w:asciiTheme="majorBidi" w:hAnsiTheme="majorBidi"/>
          <w:color w:val="000000" w:themeColor="text1"/>
          <w:lang w:val="en-GB"/>
        </w:rPr>
        <w:t>A single tree cannot capture the fact that modern food processing connects such trees by combining the processed products of one tree with those of other trees (refined sugar with flour and refined vegetable oils, see below), or processed products with primary products such as milk and eggs with flour and vegetable oils for other bakery products. This means that the trees are actually connected with one another through processed food products. The trees also provide connections at lower levels of processing, e.g. wheat or maize germ is connected to the balance of vegetable oils; likewise, bran, the other 1</w:t>
      </w:r>
      <w:r w:rsidRPr="000E33AB">
        <w:rPr>
          <w:rFonts w:asciiTheme="majorBidi" w:hAnsiTheme="majorBidi"/>
          <w:color w:val="000000" w:themeColor="text1"/>
          <w:vertAlign w:val="superscript"/>
          <w:lang w:val="en-GB"/>
        </w:rPr>
        <w:t>st</w:t>
      </w:r>
      <w:r w:rsidRPr="000E33AB">
        <w:rPr>
          <w:rFonts w:asciiTheme="majorBidi" w:hAnsiTheme="majorBidi"/>
          <w:color w:val="000000" w:themeColor="text1"/>
          <w:lang w:val="en-GB"/>
        </w:rPr>
        <w:t xml:space="preserve"> level by-product of flour milling is connected to the feed balance (see section on feed use). </w:t>
      </w:r>
    </w:p>
    <w:p w14:paraId="52464469" w14:textId="26EE7BE4" w:rsidR="004F65E4" w:rsidRPr="000E33AB" w:rsidRDefault="004F65E4" w:rsidP="004F65E4">
      <w:pPr>
        <w:jc w:val="both"/>
        <w:rPr>
          <w:rFonts w:asciiTheme="majorBidi" w:hAnsiTheme="majorBidi"/>
          <w:color w:val="000000" w:themeColor="text1"/>
          <w:lang w:val="en-GB"/>
        </w:rPr>
      </w:pPr>
      <w:r w:rsidRPr="000E33AB">
        <w:rPr>
          <w:rFonts w:asciiTheme="majorBidi" w:hAnsiTheme="majorBidi"/>
          <w:color w:val="000000" w:themeColor="text1"/>
          <w:lang w:val="en-GB"/>
        </w:rPr>
        <w:t>A review of the existing programmes revealed a number of issues. They included programming errors, breaks in the structure of the trees</w:t>
      </w:r>
      <w:r w:rsidRPr="00F31509">
        <w:rPr>
          <w:rFonts w:asciiTheme="majorBidi" w:eastAsia="Times New Roman" w:hAnsiTheme="majorBidi" w:cstheme="majorBidi"/>
          <w:color w:val="000000" w:themeColor="text1"/>
          <w:lang w:val="en-GB"/>
        </w:rPr>
        <w:t>, hardcoded and undocumented exceptions,</w:t>
      </w:r>
      <w:r w:rsidRPr="000E33AB">
        <w:rPr>
          <w:rFonts w:asciiTheme="majorBidi" w:hAnsiTheme="majorBidi"/>
          <w:color w:val="000000" w:themeColor="text1"/>
          <w:lang w:val="en-GB"/>
        </w:rPr>
        <w:t xml:space="preserve"> or as outlined</w:t>
      </w:r>
      <w:r w:rsidRPr="00F31509">
        <w:rPr>
          <w:rFonts w:asciiTheme="majorBidi" w:eastAsia="Times New Roman" w:hAnsiTheme="majorBidi" w:cstheme="majorBidi"/>
          <w:color w:val="000000" w:themeColor="text1"/>
          <w:lang w:val="en-GB"/>
        </w:rPr>
        <w:t xml:space="preserve"> above</w:t>
      </w:r>
      <w:r w:rsidRPr="000E33AB">
        <w:rPr>
          <w:rFonts w:asciiTheme="majorBidi" w:hAnsiTheme="majorBidi"/>
          <w:color w:val="000000" w:themeColor="text1"/>
          <w:lang w:val="en-GB"/>
        </w:rPr>
        <w:t xml:space="preserve">, inappropriate conversion factors. These problems become most visible when standardization leads to obviously wrong results, most notably negative utilization. </w:t>
      </w:r>
      <w:r w:rsidR="00456DC0">
        <w:fldChar w:fldCharType="begin"/>
      </w:r>
      <w:r w:rsidR="00456DC0">
        <w:instrText xml:space="preserve"> REF _Ref420067962 \h  \* MERGEFORMAT </w:instrText>
      </w:r>
      <w:r w:rsidR="00456DC0">
        <w:fldChar w:fldCharType="separate"/>
      </w:r>
      <w:r w:rsidR="00AA4884" w:rsidRPr="000E33AB">
        <w:rPr>
          <w:rFonts w:asciiTheme="majorBidi" w:hAnsiTheme="majorBidi"/>
          <w:color w:val="000000" w:themeColor="text1"/>
          <w:lang w:val="en-GB"/>
        </w:rPr>
        <w:t xml:space="preserve">Figure </w:t>
      </w:r>
      <w:r w:rsidR="00AA4884" w:rsidRPr="00F31509">
        <w:rPr>
          <w:rFonts w:asciiTheme="majorBidi" w:eastAsia="Times New Roman" w:hAnsiTheme="majorBidi" w:cstheme="majorBidi"/>
          <w:color w:val="000000" w:themeColor="text1"/>
          <w:lang w:val="en-GB"/>
        </w:rPr>
        <w:t>3</w:t>
      </w:r>
      <w:r w:rsidR="00456DC0">
        <w:fldChar w:fldCharType="end"/>
      </w:r>
      <w:r w:rsidRPr="000E33AB">
        <w:rPr>
          <w:rFonts w:asciiTheme="majorBidi" w:hAnsiTheme="majorBidi"/>
          <w:color w:val="000000" w:themeColor="text1"/>
          <w:lang w:val="en-GB"/>
        </w:rPr>
        <w:t xml:space="preserve"> below provides just one example of how wrong standardization </w:t>
      </w:r>
      <w:r w:rsidRPr="00F31509">
        <w:rPr>
          <w:rFonts w:asciiTheme="majorBidi" w:eastAsia="Times New Roman" w:hAnsiTheme="majorBidi" w:cstheme="majorBidi"/>
          <w:color w:val="000000" w:themeColor="text1"/>
          <w:lang w:val="en-GB"/>
        </w:rPr>
        <w:t xml:space="preserve">can and indeed </w:t>
      </w:r>
      <w:r w:rsidRPr="000E33AB">
        <w:rPr>
          <w:rFonts w:asciiTheme="majorBidi" w:hAnsiTheme="majorBidi"/>
          <w:color w:val="000000" w:themeColor="text1"/>
          <w:lang w:val="en-GB"/>
        </w:rPr>
        <w:t>has led to increasing negative utilization</w:t>
      </w:r>
      <w:r w:rsidRPr="00F31509">
        <w:rPr>
          <w:rFonts w:asciiTheme="majorBidi" w:eastAsia="Times New Roman" w:hAnsiTheme="majorBidi" w:cstheme="majorBidi"/>
          <w:color w:val="000000" w:themeColor="text1"/>
          <w:lang w:val="en-GB"/>
        </w:rPr>
        <w:t xml:space="preserve">. The current revisions tried to identify as many </w:t>
      </w:r>
      <w:r w:rsidRPr="000E33AB">
        <w:rPr>
          <w:rFonts w:asciiTheme="majorBidi" w:hAnsiTheme="majorBidi"/>
          <w:color w:val="000000" w:themeColor="text1"/>
          <w:lang w:val="en-GB"/>
        </w:rPr>
        <w:t xml:space="preserve">of </w:t>
      </w:r>
      <w:r w:rsidRPr="00F31509">
        <w:rPr>
          <w:rFonts w:asciiTheme="majorBidi" w:eastAsia="Times New Roman" w:hAnsiTheme="majorBidi" w:cstheme="majorBidi"/>
          <w:color w:val="000000" w:themeColor="text1"/>
          <w:lang w:val="en-GB"/>
        </w:rPr>
        <w:t xml:space="preserve">these </w:t>
      </w:r>
      <w:r w:rsidRPr="000E33AB">
        <w:rPr>
          <w:rFonts w:asciiTheme="majorBidi" w:hAnsiTheme="majorBidi"/>
          <w:color w:val="000000" w:themeColor="text1"/>
          <w:lang w:val="en-GB"/>
        </w:rPr>
        <w:t xml:space="preserve">cases </w:t>
      </w:r>
      <w:r w:rsidRPr="00F31509">
        <w:rPr>
          <w:rFonts w:asciiTheme="majorBidi" w:eastAsia="Times New Roman" w:hAnsiTheme="majorBidi" w:cstheme="majorBidi"/>
          <w:color w:val="000000" w:themeColor="text1"/>
          <w:lang w:val="en-GB"/>
        </w:rPr>
        <w:t xml:space="preserve">as possible and address them by using appropriate shares, identical commodity trees for different variables/elements </w:t>
      </w:r>
      <w:r w:rsidRPr="000E33AB">
        <w:rPr>
          <w:rFonts w:asciiTheme="majorBidi" w:hAnsiTheme="majorBidi"/>
          <w:color w:val="000000" w:themeColor="text1"/>
          <w:lang w:val="en-GB"/>
        </w:rPr>
        <w:t xml:space="preserve">of </w:t>
      </w:r>
      <w:r w:rsidRPr="00F31509">
        <w:rPr>
          <w:rFonts w:asciiTheme="majorBidi" w:eastAsia="Times New Roman" w:hAnsiTheme="majorBidi" w:cstheme="majorBidi"/>
          <w:color w:val="000000" w:themeColor="text1"/>
          <w:lang w:val="en-GB"/>
        </w:rPr>
        <w:t>the balance and more reasonable extraction rates.</w:t>
      </w:r>
      <w:r w:rsidRPr="000E33AB">
        <w:rPr>
          <w:rFonts w:asciiTheme="majorBidi" w:hAnsiTheme="majorBidi"/>
          <w:color w:val="000000" w:themeColor="text1"/>
          <w:lang w:val="en-GB"/>
        </w:rPr>
        <w:t xml:space="preserve"> </w:t>
      </w:r>
      <w:r w:rsidR="00D46A0C" w:rsidRPr="000E33AB">
        <w:rPr>
          <w:rFonts w:asciiTheme="majorBidi" w:hAnsiTheme="majorBidi"/>
          <w:color w:val="000000" w:themeColor="text1"/>
          <w:lang w:val="en-GB"/>
        </w:rPr>
        <w:t xml:space="preserve">These </w:t>
      </w:r>
      <w:r w:rsidR="00D46A0C">
        <w:rPr>
          <w:rFonts w:asciiTheme="majorBidi" w:eastAsia="Times New Roman" w:hAnsiTheme="majorBidi" w:cstheme="majorBidi"/>
          <w:color w:val="000000" w:themeColor="text1"/>
          <w:lang w:val="en-GB"/>
        </w:rPr>
        <w:t xml:space="preserve">rates should be periodically reviewed and updated to ensure </w:t>
      </w:r>
      <w:r w:rsidR="00D46A0C" w:rsidRPr="000E33AB">
        <w:rPr>
          <w:rFonts w:asciiTheme="majorBidi" w:hAnsiTheme="majorBidi"/>
          <w:color w:val="000000" w:themeColor="text1"/>
          <w:lang w:val="en-GB"/>
        </w:rPr>
        <w:t xml:space="preserve">they </w:t>
      </w:r>
      <w:r w:rsidR="00D46A0C">
        <w:rPr>
          <w:rFonts w:asciiTheme="majorBidi" w:eastAsia="Times New Roman" w:hAnsiTheme="majorBidi" w:cstheme="majorBidi"/>
          <w:color w:val="000000" w:themeColor="text1"/>
          <w:lang w:val="en-GB"/>
        </w:rPr>
        <w:t>remain valid.</w:t>
      </w:r>
    </w:p>
    <w:p w14:paraId="6CBB4B08" w14:textId="77777777" w:rsidR="004F65E4" w:rsidRPr="00F31509" w:rsidRDefault="00040401" w:rsidP="004F65E4">
      <w:pPr>
        <w:keepNext/>
        <w:jc w:val="both"/>
        <w:rPr>
          <w:rFonts w:asciiTheme="majorBidi" w:hAnsiTheme="majorBidi" w:cstheme="majorBidi"/>
          <w:color w:val="000000" w:themeColor="text1"/>
          <w:szCs w:val="24"/>
          <w:lang w:val="en-GB"/>
        </w:rPr>
      </w:pPr>
      <w:r w:rsidRPr="00F31509">
        <w:rPr>
          <w:rFonts w:asciiTheme="majorBidi" w:hAnsiTheme="majorBidi" w:cstheme="majorBidi"/>
          <w:noProof/>
          <w:color w:val="000000" w:themeColor="text1"/>
          <w:szCs w:val="24"/>
          <w:lang w:eastAsia="en-US"/>
        </w:rPr>
        <w:lastRenderedPageBreak/>
        <w:drawing>
          <wp:inline distT="0" distB="0" distL="0" distR="0">
            <wp:extent cx="5768340" cy="3444240"/>
            <wp:effectExtent l="0" t="0" r="22860" b="2286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683A5868" w14:textId="140308E1" w:rsidR="004F65E4" w:rsidRPr="000E33AB" w:rsidRDefault="004F65E4" w:rsidP="000E33AB">
      <w:pPr>
        <w:pStyle w:val="Caption"/>
        <w:jc w:val="both"/>
        <w:rPr>
          <w:rFonts w:asciiTheme="majorBidi" w:hAnsiTheme="majorBidi"/>
          <w:b/>
          <w:color w:val="000000" w:themeColor="text1"/>
          <w:lang w:val="en-GB"/>
        </w:rPr>
      </w:pPr>
      <w:bookmarkStart w:id="21" w:name="_Ref420067962"/>
      <w:bookmarkStart w:id="22" w:name="_Toc420402581"/>
      <w:bookmarkStart w:id="23" w:name="_Toc420745884"/>
      <w:bookmarkStart w:id="24" w:name="_Ref420913719"/>
      <w:bookmarkStart w:id="25" w:name="_Toc421026210"/>
      <w:bookmarkStart w:id="26" w:name="_Toc428383854"/>
      <w:bookmarkStart w:id="27" w:name="_Toc430872505"/>
      <w:r w:rsidRPr="000E33AB">
        <w:rPr>
          <w:rFonts w:asciiTheme="majorBidi" w:hAnsiTheme="majorBidi"/>
          <w:color w:val="000000" w:themeColor="text1"/>
          <w:lang w:val="en-GB"/>
        </w:rPr>
        <w:t xml:space="preserve">Figure </w:t>
      </w:r>
      <w:r w:rsidR="00022678" w:rsidRPr="000E33AB">
        <w:rPr>
          <w:rFonts w:asciiTheme="majorBidi" w:hAnsiTheme="majorBidi"/>
          <w:b/>
          <w:color w:val="000000" w:themeColor="text1"/>
          <w:lang w:val="en-GB"/>
        </w:rPr>
        <w:fldChar w:fldCharType="begin"/>
      </w:r>
      <w:r w:rsidRPr="00F31509">
        <w:rPr>
          <w:rFonts w:asciiTheme="majorBidi" w:hAnsiTheme="majorBidi" w:cstheme="majorBidi"/>
          <w:color w:val="000000" w:themeColor="text1"/>
          <w:lang w:val="en-GB"/>
        </w:rPr>
        <w:instrText xml:space="preserve"> SEQ Figure \* ARABIC </w:instrText>
      </w:r>
      <w:r w:rsidR="00022678" w:rsidRPr="000E33AB">
        <w:rPr>
          <w:rFonts w:asciiTheme="majorBidi" w:hAnsiTheme="majorBidi"/>
          <w:b/>
          <w:color w:val="000000" w:themeColor="text1"/>
          <w:lang w:val="en-GB"/>
        </w:rPr>
        <w:fldChar w:fldCharType="separate"/>
      </w:r>
      <w:r w:rsidR="000B360D" w:rsidRPr="00F31509">
        <w:rPr>
          <w:rFonts w:asciiTheme="majorBidi" w:hAnsiTheme="majorBidi" w:cstheme="majorBidi"/>
          <w:noProof/>
          <w:color w:val="000000" w:themeColor="text1"/>
          <w:lang w:val="en-GB"/>
        </w:rPr>
        <w:t>3</w:t>
      </w:r>
      <w:r w:rsidR="00022678" w:rsidRPr="000E33AB">
        <w:rPr>
          <w:rFonts w:asciiTheme="majorBidi" w:hAnsiTheme="majorBidi"/>
          <w:b/>
          <w:color w:val="000000" w:themeColor="text1"/>
          <w:lang w:val="en-GB"/>
        </w:rPr>
        <w:fldChar w:fldCharType="end"/>
      </w:r>
      <w:bookmarkEnd w:id="21"/>
      <w:r w:rsidRPr="000E33AB">
        <w:rPr>
          <w:rFonts w:asciiTheme="majorBidi" w:hAnsiTheme="majorBidi"/>
          <w:color w:val="000000" w:themeColor="text1"/>
          <w:lang w:val="en-GB"/>
        </w:rPr>
        <w:t>: Standardization and negative utilization</w:t>
      </w:r>
      <w:bookmarkEnd w:id="22"/>
      <w:bookmarkEnd w:id="23"/>
      <w:bookmarkEnd w:id="24"/>
      <w:bookmarkEnd w:id="25"/>
      <w:bookmarkEnd w:id="26"/>
      <w:bookmarkEnd w:id="27"/>
      <w:r w:rsidRPr="000E33AB">
        <w:rPr>
          <w:rFonts w:asciiTheme="majorBidi" w:hAnsiTheme="majorBidi"/>
          <w:color w:val="000000" w:themeColor="text1"/>
          <w:lang w:val="en-GB"/>
        </w:rPr>
        <w:t xml:space="preserve"> </w:t>
      </w:r>
    </w:p>
    <w:p w14:paraId="215E7A34" w14:textId="77777777" w:rsidR="004F65E4" w:rsidRPr="000E33AB" w:rsidRDefault="004F65E4" w:rsidP="000E33AB">
      <w:pPr>
        <w:jc w:val="both"/>
        <w:rPr>
          <w:rFonts w:asciiTheme="majorBidi" w:hAnsiTheme="majorBidi"/>
          <w:color w:val="000000" w:themeColor="text1"/>
          <w:lang w:val="en-GB"/>
        </w:rPr>
      </w:pPr>
    </w:p>
    <w:p w14:paraId="4082F05C" w14:textId="77777777" w:rsidR="004F65E4" w:rsidRPr="000E33AB" w:rsidRDefault="004F65E4" w:rsidP="000E33AB">
      <w:pPr>
        <w:pStyle w:val="Heading2"/>
      </w:pPr>
      <w:bookmarkStart w:id="28" w:name="_Toc421025847"/>
      <w:bookmarkStart w:id="29" w:name="_Toc428383832"/>
      <w:bookmarkStart w:id="30" w:name="_Toc428436054"/>
      <w:bookmarkStart w:id="31" w:name="_Toc428436355"/>
      <w:bookmarkStart w:id="32" w:name="_Toc428436481"/>
      <w:r w:rsidRPr="00AE18A5">
        <w:t>Standardization and trade</w:t>
      </w:r>
      <w:bookmarkEnd w:id="28"/>
      <w:bookmarkEnd w:id="29"/>
      <w:bookmarkEnd w:id="30"/>
      <w:bookmarkEnd w:id="31"/>
      <w:bookmarkEnd w:id="32"/>
    </w:p>
    <w:p w14:paraId="7A4BE098" w14:textId="3784D048" w:rsidR="004F65E4" w:rsidRPr="000E33AB" w:rsidRDefault="004F65E4" w:rsidP="00A80E90">
      <w:pPr>
        <w:jc w:val="both"/>
      </w:pPr>
      <w:r w:rsidRPr="000E33AB">
        <w:rPr>
          <w:rFonts w:asciiTheme="majorBidi" w:hAnsiTheme="majorBidi"/>
          <w:color w:val="000000" w:themeColor="text1"/>
          <w:lang w:val="en-GB"/>
        </w:rPr>
        <w:t xml:space="preserve">Notionally, all </w:t>
      </w:r>
      <w:r w:rsidR="005729D3" w:rsidRPr="00F31509">
        <w:rPr>
          <w:rFonts w:asciiTheme="majorBidi" w:eastAsia="Times New Roman" w:hAnsiTheme="majorBidi" w:cstheme="majorBidi"/>
          <w:color w:val="000000" w:themeColor="text1"/>
          <w:lang w:val="en-GB"/>
        </w:rPr>
        <w:t>commodities</w:t>
      </w:r>
      <w:r w:rsidR="005729D3" w:rsidRPr="000E33AB">
        <w:rPr>
          <w:rFonts w:asciiTheme="majorBidi" w:hAnsiTheme="majorBidi"/>
          <w:color w:val="000000" w:themeColor="text1"/>
          <w:lang w:val="en-GB"/>
        </w:rPr>
        <w:t xml:space="preserve"> </w:t>
      </w:r>
      <w:r w:rsidRPr="000E33AB">
        <w:rPr>
          <w:rFonts w:asciiTheme="majorBidi" w:hAnsiTheme="majorBidi"/>
          <w:color w:val="000000" w:themeColor="text1"/>
          <w:lang w:val="en-GB"/>
        </w:rPr>
        <w:t xml:space="preserve">of the </w:t>
      </w:r>
      <w:r w:rsidR="005729D3" w:rsidRPr="00F31509">
        <w:rPr>
          <w:rFonts w:asciiTheme="majorBidi" w:eastAsia="Times New Roman" w:hAnsiTheme="majorBidi" w:cstheme="majorBidi"/>
          <w:color w:val="000000" w:themeColor="text1"/>
          <w:lang w:val="en-GB"/>
        </w:rPr>
        <w:t>SUAs</w:t>
      </w:r>
      <w:r w:rsidR="005729D3" w:rsidRPr="000E33AB">
        <w:rPr>
          <w:rFonts w:asciiTheme="majorBidi" w:hAnsiTheme="majorBidi"/>
          <w:color w:val="000000" w:themeColor="text1"/>
          <w:lang w:val="en-GB"/>
        </w:rPr>
        <w:t xml:space="preserve"> </w:t>
      </w:r>
      <w:r w:rsidRPr="000E33AB">
        <w:rPr>
          <w:rFonts w:asciiTheme="majorBidi" w:hAnsiTheme="majorBidi"/>
          <w:color w:val="000000" w:themeColor="text1"/>
          <w:lang w:val="en-GB"/>
        </w:rPr>
        <w:t>are to be standardized</w:t>
      </w:r>
      <w:r w:rsidRPr="00F31509">
        <w:rPr>
          <w:rFonts w:asciiTheme="majorBidi" w:eastAsia="Times New Roman" w:hAnsiTheme="majorBidi" w:cstheme="majorBidi"/>
          <w:color w:val="000000" w:themeColor="text1"/>
          <w:lang w:val="en-GB"/>
        </w:rPr>
        <w:t>, i.e.</w:t>
      </w:r>
      <w:r w:rsidRPr="000E33AB">
        <w:rPr>
          <w:rFonts w:asciiTheme="majorBidi" w:hAnsiTheme="majorBidi"/>
          <w:color w:val="000000" w:themeColor="text1"/>
          <w:lang w:val="en-GB"/>
        </w:rPr>
        <w:t xml:space="preserve"> all</w:t>
      </w:r>
      <w:r w:rsidRPr="00F31509">
        <w:rPr>
          <w:rFonts w:asciiTheme="majorBidi" w:eastAsia="Times New Roman" w:hAnsiTheme="majorBidi" w:cstheme="majorBidi"/>
          <w:color w:val="000000" w:themeColor="text1"/>
          <w:lang w:val="en-GB"/>
        </w:rPr>
        <w:t xml:space="preserve"> underlying</w:t>
      </w:r>
      <w:r w:rsidRPr="000E33AB">
        <w:rPr>
          <w:rFonts w:asciiTheme="majorBidi" w:hAnsiTheme="majorBidi"/>
          <w:color w:val="000000" w:themeColor="text1"/>
          <w:lang w:val="en-GB"/>
        </w:rPr>
        <w:t xml:space="preserve"> processed products are to be converted back into their primary equivalents. If, for instance, wheat is stored in terms of flour, these quantities would need to be converted back into their wheat equivalents for stocks. Indeed, where data are available, this is being implemented. In practice, however, the lion’s share of information about processed products use and supply is limited to imports and exports. </w:t>
      </w:r>
    </w:p>
    <w:p w14:paraId="371FFD9A" w14:textId="77777777" w:rsidR="008170BC" w:rsidRPr="00A62499" w:rsidRDefault="008170BC" w:rsidP="00A62499">
      <w:pPr>
        <w:jc w:val="both"/>
        <w:rPr>
          <w:rFonts w:cs="Times New Roman"/>
          <w:sz w:val="24"/>
          <w:szCs w:val="24"/>
        </w:rPr>
      </w:pPr>
      <w:bookmarkStart w:id="33" w:name="example"/>
      <w:bookmarkStart w:id="34" w:name="_Toc421025850"/>
      <w:bookmarkEnd w:id="33"/>
      <w:bookmarkEnd w:id="34"/>
      <w:proofErr w:type="gramStart"/>
      <w:r w:rsidRPr="00A62499">
        <w:rPr>
          <w:rFonts w:cs="Times New Roman"/>
          <w:i/>
          <w:iCs/>
          <w:sz w:val="24"/>
          <w:szCs w:val="24"/>
        </w:rPr>
        <w:t>Data availability</w:t>
      </w:r>
      <w:r w:rsidRPr="00A62499">
        <w:rPr>
          <w:rFonts w:cs="Times New Roman"/>
          <w:sz w:val="24"/>
          <w:szCs w:val="24"/>
        </w:rPr>
        <w:t>.</w:t>
      </w:r>
      <w:proofErr w:type="gramEnd"/>
      <w:r w:rsidRPr="00A62499">
        <w:rPr>
          <w:rFonts w:cs="Times New Roman"/>
          <w:sz w:val="24"/>
          <w:szCs w:val="24"/>
        </w:rPr>
        <w:t xml:space="preserve"> While information about trade is both most reliable and most detailed, not all countries report, and by far, not all countries provide information for all processed products. Details are available by region, year, and individual country on the UN </w:t>
      </w:r>
      <w:proofErr w:type="spellStart"/>
      <w:r w:rsidRPr="00A62499">
        <w:rPr>
          <w:rFonts w:cs="Times New Roman"/>
          <w:sz w:val="24"/>
          <w:szCs w:val="24"/>
        </w:rPr>
        <w:t>Comtrade</w:t>
      </w:r>
      <w:proofErr w:type="spellEnd"/>
      <w:r w:rsidRPr="00A62499">
        <w:rPr>
          <w:rFonts w:cs="Times New Roman"/>
          <w:sz w:val="24"/>
          <w:szCs w:val="24"/>
        </w:rPr>
        <w:t xml:space="preserve"> webpage</w:t>
      </w:r>
      <w:r w:rsidRPr="00A62499">
        <w:rPr>
          <w:rStyle w:val="FootnoteReference"/>
          <w:rFonts w:cs="Times New Roman"/>
          <w:sz w:val="24"/>
          <w:szCs w:val="24"/>
        </w:rPr>
        <w:footnoteReference w:id="4"/>
      </w:r>
      <w:r w:rsidRPr="00A62499">
        <w:rPr>
          <w:rFonts w:cs="Times New Roman"/>
          <w:sz w:val="24"/>
          <w:szCs w:val="24"/>
        </w:rPr>
        <w:t xml:space="preserve">. To overcome incomplete and unreliable trade information, a trade matrix has been constructed that fills missing flows and where necessary, i.e. unreliable, overwrites even officially provided trade information. Overwriting official trade information is kept to the absolute minimum (see section on trade); it is done with the aim to create a system of trade flows that is fully square, i.e. where total imports match exports for every commodity. This offers the added advantage that at world level the FBS balances show balanced trade and more importantly, no country has food supplies in excess or deficit only because of non-reported or underreported trade.  </w:t>
      </w:r>
    </w:p>
    <w:p w14:paraId="2FE5806A" w14:textId="1445D188" w:rsidR="008170BC" w:rsidRPr="00A62499" w:rsidRDefault="008170BC" w:rsidP="00A62499">
      <w:pPr>
        <w:jc w:val="both"/>
        <w:rPr>
          <w:rFonts w:cs="Times New Roman"/>
          <w:sz w:val="24"/>
          <w:szCs w:val="24"/>
        </w:rPr>
      </w:pPr>
      <w:r w:rsidRPr="00A62499">
        <w:rPr>
          <w:rFonts w:cs="Times New Roman"/>
          <w:sz w:val="24"/>
          <w:szCs w:val="24"/>
        </w:rPr>
        <w:lastRenderedPageBreak/>
        <w:t xml:space="preserve">Products of the same name and classification but from different provenances have different characteristics in terms of nutrient contents and food values. .While there is awareness of the </w:t>
      </w:r>
      <w:proofErr w:type="gramStart"/>
      <w:r w:rsidRPr="00A62499">
        <w:rPr>
          <w:rFonts w:cs="Times New Roman"/>
          <w:sz w:val="24"/>
          <w:szCs w:val="24"/>
        </w:rPr>
        <w:t>problem,</w:t>
      </w:r>
      <w:proofErr w:type="gramEnd"/>
      <w:r w:rsidRPr="00A62499">
        <w:rPr>
          <w:rFonts w:cs="Times New Roman"/>
          <w:sz w:val="24"/>
          <w:szCs w:val="24"/>
        </w:rPr>
        <w:t xml:space="preserve"> these subtleties could not be implemented in the current version of the system.</w:t>
      </w:r>
    </w:p>
    <w:p w14:paraId="127C366E" w14:textId="77777777" w:rsidR="008170BC" w:rsidRPr="00A62499" w:rsidRDefault="008170BC" w:rsidP="00A62499">
      <w:pPr>
        <w:jc w:val="both"/>
        <w:rPr>
          <w:rFonts w:cs="Times New Roman"/>
          <w:sz w:val="24"/>
          <w:szCs w:val="24"/>
        </w:rPr>
      </w:pPr>
    </w:p>
    <w:p w14:paraId="4240DE39" w14:textId="77777777" w:rsidR="008170BC" w:rsidRPr="00A62499" w:rsidRDefault="008170BC" w:rsidP="00A62499">
      <w:pPr>
        <w:pStyle w:val="Heading3"/>
        <w:jc w:val="both"/>
        <w:rPr>
          <w:rFonts w:ascii="Times New Roman" w:hAnsi="Times New Roman"/>
        </w:rPr>
      </w:pPr>
      <w:r w:rsidRPr="00A62499">
        <w:rPr>
          <w:rFonts w:ascii="Times New Roman" w:hAnsi="Times New Roman"/>
        </w:rPr>
        <w:t>The Standardization Algorithm</w:t>
      </w:r>
    </w:p>
    <w:p w14:paraId="4D99F664" w14:textId="77777777" w:rsidR="008170BC" w:rsidRPr="00A62499" w:rsidRDefault="008170BC" w:rsidP="00A62499">
      <w:pPr>
        <w:jc w:val="both"/>
        <w:rPr>
          <w:rFonts w:cs="Times New Roman"/>
        </w:rPr>
      </w:pPr>
    </w:p>
    <w:p w14:paraId="268E3152" w14:textId="77777777" w:rsidR="008170BC" w:rsidRPr="00A62499" w:rsidRDefault="008170BC" w:rsidP="00A62499">
      <w:pPr>
        <w:jc w:val="both"/>
        <w:rPr>
          <w:rFonts w:cs="Times New Roman"/>
          <w:sz w:val="24"/>
          <w:szCs w:val="24"/>
        </w:rPr>
      </w:pPr>
      <w:r w:rsidRPr="00A62499">
        <w:rPr>
          <w:rFonts w:cs="Times New Roman"/>
          <w:sz w:val="24"/>
          <w:szCs w:val="24"/>
        </w:rPr>
        <w:t>The specifics of the standardization process are outlined below:</w:t>
      </w:r>
    </w:p>
    <w:p w14:paraId="3806EC35" w14:textId="77777777" w:rsidR="000241B7" w:rsidRDefault="008963FA" w:rsidP="002D4725">
      <w:pPr>
        <w:pStyle w:val="Compact"/>
        <w:numPr>
          <w:ilvl w:val="0"/>
          <w:numId w:val="2"/>
        </w:numPr>
        <w:spacing w:line="276" w:lineRule="auto"/>
        <w:jc w:val="both"/>
        <w:rPr>
          <w:rFonts w:cs="Times New Roman"/>
        </w:rPr>
      </w:pPr>
      <w:r>
        <w:rPr>
          <w:rFonts w:cs="Times New Roman"/>
        </w:rPr>
        <w:t xml:space="preserve">For a few commodity trees (such as the sugar cane and beet trees), the balancing level is not at the top level of the commodity tree.  For example, we balance these commodity trees at the raw sugar level rather than the sugar cane/beet.  In these cases, the primary product is </w:t>
      </w:r>
      <w:r w:rsidR="000241B7">
        <w:rPr>
          <w:rFonts w:cs="Times New Roman"/>
        </w:rPr>
        <w:t>processed</w:t>
      </w:r>
      <w:r>
        <w:rPr>
          <w:rFonts w:cs="Times New Roman"/>
        </w:rPr>
        <w:t xml:space="preserve"> immediately with all supply (minus small allocations to seed, feed, etc. if applicable) </w:t>
      </w:r>
      <w:r w:rsidR="000241B7">
        <w:rPr>
          <w:rFonts w:cs="Times New Roman"/>
        </w:rPr>
        <w:t>being converted down the commodity tree.</w:t>
      </w:r>
    </w:p>
    <w:p w14:paraId="7CA089C9" w14:textId="77777777" w:rsidR="009464A7" w:rsidRPr="000241B7" w:rsidRDefault="000241B7" w:rsidP="002D4725">
      <w:pPr>
        <w:pStyle w:val="Compact"/>
        <w:numPr>
          <w:ilvl w:val="0"/>
          <w:numId w:val="2"/>
        </w:numPr>
        <w:spacing w:line="276" w:lineRule="auto"/>
        <w:jc w:val="both"/>
        <w:rPr>
          <w:rFonts w:cs="Times New Roman"/>
        </w:rPr>
      </w:pPr>
      <w:r w:rsidRPr="000241B7">
        <w:rPr>
          <w:rFonts w:cs="Times New Roman"/>
        </w:rPr>
        <w:t xml:space="preserve">We then take the </w:t>
      </w:r>
      <w:r w:rsidR="007A5953" w:rsidRPr="000241B7">
        <w:rPr>
          <w:rFonts w:cs="Times New Roman"/>
        </w:rPr>
        <w:t xml:space="preserve">full SUA table of elements, and we create a balance for each </w:t>
      </w:r>
      <w:r w:rsidR="009464A7" w:rsidRPr="000241B7">
        <w:rPr>
          <w:rFonts w:cs="Times New Roman"/>
        </w:rPr>
        <w:t>processed commodity</w:t>
      </w:r>
      <w:r w:rsidR="009464A7" w:rsidRPr="00C1388E">
        <w:rPr>
          <w:rFonts w:cs="Times New Roman"/>
        </w:rPr>
        <w:t>:</w:t>
      </w:r>
    </w:p>
    <w:p w14:paraId="35D2F0BC" w14:textId="77777777" w:rsidR="009464A7" w:rsidRDefault="009464A7" w:rsidP="002D4725">
      <w:pPr>
        <w:pStyle w:val="Compact"/>
        <w:numPr>
          <w:ilvl w:val="0"/>
          <w:numId w:val="4"/>
        </w:numPr>
        <w:spacing w:line="276" w:lineRule="auto"/>
        <w:jc w:val="both"/>
        <w:rPr>
          <w:rFonts w:cs="Times New Roman"/>
        </w:rPr>
      </w:pPr>
      <w:r>
        <w:rPr>
          <w:rFonts w:cs="Times New Roman"/>
        </w:rPr>
        <w:t>If there is an imbalance such that supply exceeds utilization for some commodity, we can balance this commodity by allocating the difference to food/feed/etc. (whatever is most relevant for that commodity).</w:t>
      </w:r>
    </w:p>
    <w:p w14:paraId="786A3AC7" w14:textId="77777777" w:rsidR="009464A7" w:rsidRDefault="009464A7" w:rsidP="002D4725">
      <w:pPr>
        <w:pStyle w:val="Compact"/>
        <w:numPr>
          <w:ilvl w:val="0"/>
          <w:numId w:val="4"/>
        </w:numPr>
        <w:spacing w:line="276" w:lineRule="auto"/>
        <w:jc w:val="both"/>
        <w:rPr>
          <w:rFonts w:cs="Times New Roman"/>
        </w:rPr>
      </w:pPr>
      <w:r w:rsidRPr="009464A7">
        <w:rPr>
          <w:rFonts w:cs="Times New Roman"/>
        </w:rPr>
        <w:t>If utilization exceeds supply, then we balance by creating production of this element.</w:t>
      </w:r>
    </w:p>
    <w:p w14:paraId="1E5DE65F" w14:textId="77777777" w:rsidR="009464A7" w:rsidRPr="009464A7" w:rsidRDefault="009464A7" w:rsidP="002D4725">
      <w:pPr>
        <w:pStyle w:val="Compact"/>
        <w:numPr>
          <w:ilvl w:val="0"/>
          <w:numId w:val="4"/>
        </w:numPr>
        <w:spacing w:line="276" w:lineRule="auto"/>
        <w:jc w:val="both"/>
        <w:rPr>
          <w:rFonts w:cs="Times New Roman"/>
        </w:rPr>
      </w:pPr>
      <w:r w:rsidRPr="009464A7">
        <w:rPr>
          <w:rFonts w:cs="Times New Roman"/>
        </w:rPr>
        <w:t>If production is official, we balance the commodity by adjusting the food/feed/... elements accordingly to create a balance (as trade and production are fixed when they are official).</w:t>
      </w:r>
    </w:p>
    <w:p w14:paraId="135B8A94" w14:textId="77777777" w:rsidR="009464A7" w:rsidRDefault="000241B7" w:rsidP="002D4725">
      <w:pPr>
        <w:pStyle w:val="Compact"/>
        <w:numPr>
          <w:ilvl w:val="0"/>
          <w:numId w:val="2"/>
        </w:numPr>
        <w:spacing w:line="276" w:lineRule="auto"/>
        <w:jc w:val="both"/>
        <w:rPr>
          <w:rFonts w:cs="Times New Roman"/>
        </w:rPr>
      </w:pPr>
      <w:r>
        <w:rPr>
          <w:rFonts w:cs="Times New Roman"/>
        </w:rPr>
        <w:t xml:space="preserve">Some processed commodities can be created from several "parent" products.  Lacking better information, we </w:t>
      </w:r>
      <w:r w:rsidR="005D3D72">
        <w:rPr>
          <w:rFonts w:cs="Times New Roman"/>
        </w:rPr>
        <w:t xml:space="preserve">define shares </w:t>
      </w:r>
      <w:r>
        <w:rPr>
          <w:rFonts w:cs="Times New Roman"/>
        </w:rPr>
        <w:t>f</w:t>
      </w:r>
      <w:r w:rsidR="005D3D72">
        <w:rPr>
          <w:rFonts w:cs="Times New Roman"/>
        </w:rPr>
        <w:t>or</w:t>
      </w:r>
      <w:r>
        <w:rPr>
          <w:rFonts w:cs="Times New Roman"/>
        </w:rPr>
        <w:t xml:space="preserve"> these processed products based on the proportional availability of all parents.  For example, </w:t>
      </w:r>
      <w:r w:rsidR="005D3D72">
        <w:rPr>
          <w:rFonts w:cs="Times New Roman"/>
        </w:rPr>
        <w:t>suppose</w:t>
      </w:r>
      <w:r>
        <w:rPr>
          <w:rFonts w:cs="Times New Roman"/>
        </w:rPr>
        <w:t xml:space="preserve"> </w:t>
      </w:r>
      <w:r w:rsidR="005D3D72">
        <w:rPr>
          <w:rFonts w:cs="Times New Roman"/>
        </w:rPr>
        <w:t>breakfast cereals are created from only wheat and oats, and that the availability of wheat is twice that of oats.  Then, we assume twice as high of a "share" for wheat to breakfast cereals than the "share" of oats to breakfast cereals.</w:t>
      </w:r>
      <w:r w:rsidR="00E073F6">
        <w:rPr>
          <w:rFonts w:cs="Times New Roman"/>
        </w:rPr>
        <w:t xml:space="preserve">  Shares are uniquely defined by assuming that the shares from one commodity to all </w:t>
      </w:r>
      <w:proofErr w:type="spellStart"/>
      <w:proofErr w:type="gramStart"/>
      <w:r w:rsidR="00E073F6">
        <w:rPr>
          <w:rFonts w:cs="Times New Roman"/>
        </w:rPr>
        <w:t>it's</w:t>
      </w:r>
      <w:proofErr w:type="spellEnd"/>
      <w:proofErr w:type="gramEnd"/>
      <w:r w:rsidR="00E073F6">
        <w:rPr>
          <w:rFonts w:cs="Times New Roman"/>
        </w:rPr>
        <w:t xml:space="preserve"> parents must add to 100%.</w:t>
      </w:r>
    </w:p>
    <w:p w14:paraId="39E00EDB" w14:textId="77777777" w:rsidR="00E073F6" w:rsidRDefault="005D3D72" w:rsidP="002D4725">
      <w:pPr>
        <w:pStyle w:val="Compact"/>
        <w:numPr>
          <w:ilvl w:val="0"/>
          <w:numId w:val="2"/>
        </w:numPr>
        <w:spacing w:line="276" w:lineRule="auto"/>
        <w:jc w:val="both"/>
        <w:rPr>
          <w:rFonts w:cs="Times New Roman"/>
        </w:rPr>
      </w:pPr>
      <w:r>
        <w:rPr>
          <w:rFonts w:cs="Times New Roman"/>
        </w:rPr>
        <w:t>Using the shares previously computed</w:t>
      </w:r>
      <w:proofErr w:type="gramStart"/>
      <w:r>
        <w:rPr>
          <w:rFonts w:cs="Times New Roman"/>
        </w:rPr>
        <w:t>,</w:t>
      </w:r>
      <w:proofErr w:type="gramEnd"/>
      <w:r>
        <w:rPr>
          <w:rFonts w:cs="Times New Roman"/>
        </w:rPr>
        <w:t xml:space="preserve"> we standardize all SUA elements up to the "balancing level."  </w:t>
      </w:r>
      <w:r w:rsidR="00E073F6">
        <w:rPr>
          <w:rFonts w:cs="Times New Roman"/>
        </w:rPr>
        <w:t xml:space="preserve">For standardization of quantities, this involves summing quantities after dividing by extraction rates; for standardization of calories this is a simple summation.  For </w:t>
      </w:r>
      <w:r>
        <w:rPr>
          <w:rFonts w:cs="Times New Roman"/>
        </w:rPr>
        <w:t xml:space="preserve">most </w:t>
      </w:r>
      <w:r w:rsidR="00E073F6">
        <w:rPr>
          <w:rFonts w:cs="Times New Roman"/>
        </w:rPr>
        <w:t>commodity trees</w:t>
      </w:r>
      <w:r>
        <w:rPr>
          <w:rFonts w:cs="Times New Roman"/>
        </w:rPr>
        <w:t xml:space="preserve">, </w:t>
      </w:r>
      <w:r w:rsidR="00E073F6">
        <w:rPr>
          <w:rFonts w:cs="Times New Roman"/>
        </w:rPr>
        <w:t xml:space="preserve">the "balancing level" </w:t>
      </w:r>
      <w:r>
        <w:rPr>
          <w:rFonts w:cs="Times New Roman"/>
        </w:rPr>
        <w:t>is the primary level, but in the case of some commodities (such as sugar) this is a processed level.</w:t>
      </w:r>
      <w:r w:rsidR="00E073F6">
        <w:rPr>
          <w:rFonts w:cs="Times New Roman"/>
        </w:rPr>
        <w:t xml:space="preserve">  The share is used to define the proportion of a commodity standardizing up into its parents.  Some elements are not standardized:</w:t>
      </w:r>
    </w:p>
    <w:p w14:paraId="63A6BF26" w14:textId="77777777" w:rsidR="00E073F6" w:rsidRDefault="00E073F6" w:rsidP="002D4725">
      <w:pPr>
        <w:pStyle w:val="Compact"/>
        <w:numPr>
          <w:ilvl w:val="0"/>
          <w:numId w:val="5"/>
        </w:numPr>
        <w:spacing w:line="276" w:lineRule="auto"/>
        <w:jc w:val="both"/>
        <w:rPr>
          <w:rFonts w:cs="Times New Roman"/>
        </w:rPr>
      </w:pPr>
      <w:r>
        <w:rPr>
          <w:rFonts w:cs="Times New Roman"/>
        </w:rPr>
        <w:t xml:space="preserve">Production is not standardized for commodities below the balancing level; this is because the production of these processed commodities is simply just the </w:t>
      </w:r>
      <w:r>
        <w:rPr>
          <w:rFonts w:cs="Times New Roman"/>
        </w:rPr>
        <w:lastRenderedPageBreak/>
        <w:t>conversion of the parent commodity into the processed commodity.  It differs from true production of a primary product where food is actually created.</w:t>
      </w:r>
    </w:p>
    <w:p w14:paraId="0EFFFB9C" w14:textId="77777777" w:rsidR="00E073F6" w:rsidRDefault="00E073F6" w:rsidP="002D4725">
      <w:pPr>
        <w:pStyle w:val="Compact"/>
        <w:numPr>
          <w:ilvl w:val="0"/>
          <w:numId w:val="5"/>
        </w:numPr>
        <w:spacing w:line="276" w:lineRule="auto"/>
        <w:jc w:val="both"/>
        <w:rPr>
          <w:rFonts w:cs="Times New Roman"/>
        </w:rPr>
      </w:pPr>
      <w:r>
        <w:rPr>
          <w:rFonts w:cs="Times New Roman"/>
        </w:rPr>
        <w:t>Some commodities (such as beer, wine, etc.) are standardized back to different parents than how they were created.  In this case, the production (and only the production variable) of beer, for example, must be standardized back to wheat as the amount of wheat utilized for food processing.</w:t>
      </w:r>
    </w:p>
    <w:p w14:paraId="0D644B3E" w14:textId="77777777" w:rsidR="00E073F6" w:rsidRPr="00E073F6" w:rsidRDefault="00E073F6" w:rsidP="002D4725">
      <w:pPr>
        <w:pStyle w:val="Compact"/>
        <w:numPr>
          <w:ilvl w:val="0"/>
          <w:numId w:val="2"/>
        </w:numPr>
        <w:spacing w:line="276" w:lineRule="auto"/>
        <w:jc w:val="both"/>
        <w:rPr>
          <w:rFonts w:cs="Times New Roman"/>
        </w:rPr>
      </w:pPr>
      <w:r>
        <w:rPr>
          <w:rFonts w:cs="Times New Roman"/>
        </w:rPr>
        <w:t xml:space="preserve">At the balancing level, there is likely an imbalance between supply and utilization.  Each element is therefore updated based on its expected variability (see the section on balancing), and a final balance is achieved.  As quantities are adjusted, calories should also be scaled up or down in proportion to the adjustment applied to the food element. </w:t>
      </w:r>
    </w:p>
    <w:p w14:paraId="5BA74C82" w14:textId="77777777" w:rsidR="00E073F6" w:rsidRPr="00E073F6" w:rsidRDefault="00E073F6" w:rsidP="002D4725">
      <w:pPr>
        <w:pStyle w:val="Compact"/>
        <w:numPr>
          <w:ilvl w:val="0"/>
          <w:numId w:val="2"/>
        </w:numPr>
        <w:spacing w:line="276" w:lineRule="auto"/>
        <w:jc w:val="both"/>
        <w:rPr>
          <w:rFonts w:cs="Times New Roman"/>
        </w:rPr>
      </w:pPr>
      <w:r>
        <w:rPr>
          <w:rFonts w:cs="Times New Roman"/>
        </w:rPr>
        <w:t>Lastly, the balanced level items are summed together to create the various FBS aggregates.</w:t>
      </w:r>
    </w:p>
    <w:p w14:paraId="3C2EFFE7" w14:textId="77777777" w:rsidR="008170BC" w:rsidRPr="00A62499" w:rsidRDefault="008170BC" w:rsidP="002D4725">
      <w:pPr>
        <w:pStyle w:val="Compact"/>
        <w:numPr>
          <w:ilvl w:val="1"/>
          <w:numId w:val="3"/>
        </w:numPr>
        <w:spacing w:line="276" w:lineRule="auto"/>
        <w:jc w:val="both"/>
        <w:rPr>
          <w:rFonts w:cs="Times New Roman"/>
        </w:rPr>
      </w:pPr>
    </w:p>
    <w:p w14:paraId="721C113D" w14:textId="77777777" w:rsidR="008170BC" w:rsidRPr="00A62499" w:rsidRDefault="008170BC" w:rsidP="002D4725">
      <w:pPr>
        <w:pStyle w:val="Compact"/>
        <w:numPr>
          <w:ilvl w:val="1"/>
          <w:numId w:val="3"/>
        </w:numPr>
        <w:spacing w:line="276" w:lineRule="auto"/>
        <w:jc w:val="both"/>
        <w:rPr>
          <w:rFonts w:cs="Times New Roman"/>
        </w:rPr>
      </w:pPr>
    </w:p>
    <w:p w14:paraId="39CE4693" w14:textId="77777777" w:rsidR="003133F9" w:rsidRPr="00A62499" w:rsidRDefault="003133F9" w:rsidP="00A62499">
      <w:pPr>
        <w:jc w:val="both"/>
        <w:rPr>
          <w:rStyle w:val="Strong"/>
          <w:rFonts w:eastAsiaTheme="majorEastAsia" w:cs="Times New Roman"/>
          <w:b w:val="0"/>
          <w:bCs w:val="0"/>
          <w:sz w:val="24"/>
        </w:rPr>
      </w:pPr>
      <w:r w:rsidRPr="00A62499">
        <w:rPr>
          <w:rStyle w:val="Strong"/>
          <w:rFonts w:cs="Times New Roman"/>
          <w:sz w:val="24"/>
        </w:rPr>
        <w:br w:type="page"/>
      </w:r>
    </w:p>
    <w:p w14:paraId="4BF42BFE" w14:textId="2A418DB1" w:rsidR="009571C8" w:rsidRPr="000E33AB" w:rsidRDefault="009571C8" w:rsidP="00A25C44">
      <w:pPr>
        <w:jc w:val="both"/>
        <w:rPr>
          <w:rFonts w:asciiTheme="majorBidi" w:hAnsiTheme="majorBidi"/>
          <w:color w:val="000000" w:themeColor="text1"/>
          <w:lang w:val="en-GB"/>
        </w:rPr>
      </w:pPr>
    </w:p>
    <w:sectPr w:rsidR="009571C8" w:rsidRPr="000E33AB" w:rsidSect="000E33AB">
      <w:footerReference w:type="default" r:id="rId14"/>
      <w:pgSz w:w="11906" w:h="16838"/>
      <w:pgMar w:top="1440" w:right="1440" w:bottom="1440" w:left="1440" w:header="709" w:footer="709" w:gutter="0"/>
      <w:cols w:space="708"/>
      <w:docGrid w:linePitch="360"/>
    </w:sectPr>
  </w:body>
</w:document>
</file>

<file path=word/commentsExtended.xml><?xml version="1.0" encoding="utf-8"?>
<w15:commentsEx xmlns:mc="http://schemas.openxmlformats.org/markup-compatibility/2006" xmlns:w15="http://schemas.microsoft.com/office/word/2012/wordml" mc:Ignorable="w15">
  <w15:commentEx w15:done="0" w15:paraId="523E405A"/>
  <w15:commentEx w15:done="0" w15:paraId="38FBA7DF"/>
  <w15:commentEx w15:done="0" w15:paraId="5AEF1080"/>
  <w15:commentEx w15:done="0" w15:paraId="58667058"/>
  <w15:commentEx w15:done="0" w15:paraId="6954AE8B"/>
  <w15:commentEx w15:done="0" w15:paraId="176AFDBE"/>
  <w15:commentEx w15:done="0" w15:paraId="5CB55304"/>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DD5AF20" w14:textId="77777777" w:rsidR="002D4725" w:rsidRDefault="002D4725" w:rsidP="00DB6CDA">
      <w:pPr>
        <w:spacing w:after="0" w:line="240" w:lineRule="auto"/>
      </w:pPr>
      <w:r>
        <w:separator/>
      </w:r>
    </w:p>
  </w:endnote>
  <w:endnote w:type="continuationSeparator" w:id="0">
    <w:p w14:paraId="3930E1C4" w14:textId="77777777" w:rsidR="002D4725" w:rsidRDefault="002D4725" w:rsidP="00DB6CDA">
      <w:pPr>
        <w:spacing w:after="0" w:line="240" w:lineRule="auto"/>
      </w:pPr>
      <w:r>
        <w:continuationSeparator/>
      </w:r>
    </w:p>
  </w:endnote>
  <w:endnote w:type="continuationNotice" w:id="1">
    <w:p w14:paraId="179E5519" w14:textId="77777777" w:rsidR="002D4725" w:rsidRDefault="002D472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altName w:val="Segoe UI"/>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Liberation Sans">
    <w:altName w:val="Arial Unicode MS"/>
    <w:charset w:val="80"/>
    <w:family w:val="swiss"/>
    <w:pitch w:val="variable"/>
  </w:font>
  <w:font w:name="DejaVu Sans">
    <w:panose1 w:val="020B0603030804020204"/>
    <w:charset w:val="00"/>
    <w:family w:val="swiss"/>
    <w:pitch w:val="variable"/>
    <w:sig w:usb0="E7002EFF" w:usb1="D200FDFF" w:usb2="0A246029" w:usb3="00000000" w:csb0="000001FF" w:csb1="00000000"/>
  </w:font>
  <w:font w:name="Lohit Hindi">
    <w:altName w:val="MS Mincho"/>
    <w:charset w:val="80"/>
    <w:family w:val="auto"/>
    <w:pitch w:val="variable"/>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F17D13" w14:textId="507C539D" w:rsidR="002D27E3" w:rsidRDefault="002D27E3">
    <w:pPr>
      <w:pStyle w:val="Footer"/>
    </w:pPr>
    <w:r>
      <w:tab/>
      <w:t xml:space="preserve">Page </w:t>
    </w:r>
    <w:r w:rsidR="00456DC0">
      <w:fldChar w:fldCharType="begin"/>
    </w:r>
    <w:r w:rsidR="00456DC0">
      <w:instrText xml:space="preserve"> PAGE </w:instrText>
    </w:r>
    <w:r w:rsidR="00456DC0">
      <w:fldChar w:fldCharType="separate"/>
    </w:r>
    <w:r w:rsidR="00E53A77">
      <w:rPr>
        <w:noProof/>
      </w:rPr>
      <w:t>1</w:t>
    </w:r>
    <w:r w:rsidR="00456DC0">
      <w:rPr>
        <w:noProof/>
      </w:rPr>
      <w:fldChar w:fldCharType="end"/>
    </w:r>
    <w:r>
      <w:t xml:space="preserve"> of </w:t>
    </w:r>
    <w:r w:rsidR="00456DC0">
      <w:fldChar w:fldCharType="begin"/>
    </w:r>
    <w:r w:rsidR="00456DC0">
      <w:instrText xml:space="preserve"> NUMPAGES \*Arabic </w:instrText>
    </w:r>
    <w:r w:rsidR="00456DC0">
      <w:fldChar w:fldCharType="separate"/>
    </w:r>
    <w:r w:rsidR="00E53A77">
      <w:rPr>
        <w:noProof/>
      </w:rPr>
      <w:t>8</w:t>
    </w:r>
    <w:r w:rsidR="00456DC0">
      <w:rPr>
        <w:noProof/>
      </w:rPr>
      <w:fldChar w:fldCharType="end"/>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28865E7" w14:textId="77777777" w:rsidR="002D4725" w:rsidRDefault="002D4725" w:rsidP="00DB6CDA">
      <w:pPr>
        <w:spacing w:after="0" w:line="240" w:lineRule="auto"/>
      </w:pPr>
      <w:r>
        <w:separator/>
      </w:r>
    </w:p>
  </w:footnote>
  <w:footnote w:type="continuationSeparator" w:id="0">
    <w:p w14:paraId="1EC94E09" w14:textId="77777777" w:rsidR="002D4725" w:rsidRDefault="002D4725" w:rsidP="00DB6CDA">
      <w:pPr>
        <w:spacing w:after="0" w:line="240" w:lineRule="auto"/>
      </w:pPr>
      <w:r>
        <w:continuationSeparator/>
      </w:r>
    </w:p>
  </w:footnote>
  <w:footnote w:type="continuationNotice" w:id="1">
    <w:p w14:paraId="02738245" w14:textId="77777777" w:rsidR="002D4725" w:rsidRDefault="002D4725">
      <w:pPr>
        <w:spacing w:after="0" w:line="240" w:lineRule="auto"/>
      </w:pPr>
    </w:p>
  </w:footnote>
  <w:footnote w:id="2">
    <w:p w14:paraId="71488404" w14:textId="77777777" w:rsidR="002D27E3" w:rsidRPr="000E33AB" w:rsidRDefault="002D27E3" w:rsidP="004F65E4">
      <w:pPr>
        <w:pStyle w:val="FootnoteText"/>
        <w:rPr>
          <w:rFonts w:ascii="Times New Roman" w:hAnsi="Times New Roman"/>
        </w:rPr>
      </w:pPr>
      <w:r w:rsidRPr="000E33AB">
        <w:rPr>
          <w:rStyle w:val="FootnoteReference"/>
          <w:rFonts w:ascii="Times New Roman" w:hAnsi="Times New Roman"/>
        </w:rPr>
        <w:footnoteRef/>
      </w:r>
      <w:r w:rsidRPr="000E33AB">
        <w:rPr>
          <w:rFonts w:ascii="Times New Roman" w:hAnsi="Times New Roman"/>
        </w:rPr>
        <w:t xml:space="preserve"> Some few products are specified as processed products, such as butter or vegetable oils.</w:t>
      </w:r>
    </w:p>
  </w:footnote>
  <w:footnote w:id="3">
    <w:p w14:paraId="05FD7801" w14:textId="77777777" w:rsidR="002D27E3" w:rsidRPr="000E33AB" w:rsidRDefault="002D27E3" w:rsidP="004F65E4">
      <w:pPr>
        <w:pStyle w:val="FootnoteText"/>
        <w:rPr>
          <w:rFonts w:ascii="Times New Roman" w:hAnsi="Times New Roman"/>
        </w:rPr>
      </w:pPr>
      <w:r w:rsidRPr="000E33AB">
        <w:rPr>
          <w:rStyle w:val="FootnoteReference"/>
          <w:rFonts w:ascii="Times New Roman" w:hAnsi="Times New Roman"/>
        </w:rPr>
        <w:footnoteRef/>
      </w:r>
      <w:r w:rsidRPr="000E33AB">
        <w:rPr>
          <w:rFonts w:ascii="Times New Roman" w:hAnsi="Times New Roman"/>
        </w:rPr>
        <w:t xml:space="preserve"> http://www.ars.usda.gov/Services/docs.htm?docid=8964</w:t>
      </w:r>
    </w:p>
  </w:footnote>
  <w:footnote w:id="4">
    <w:p w14:paraId="6150CCE4" w14:textId="77777777" w:rsidR="00E073F6" w:rsidRPr="00D216FE" w:rsidRDefault="00E073F6">
      <w:pPr>
        <w:pStyle w:val="FootnoteText"/>
      </w:pPr>
      <w:r>
        <w:rPr>
          <w:rStyle w:val="FootnoteReference"/>
        </w:rPr>
        <w:footnoteRef/>
      </w:r>
      <w:r>
        <w:t xml:space="preserve"> </w:t>
      </w:r>
      <w:r w:rsidRPr="00D216FE">
        <w:t>http://comtrade.un.org/db/mr/daReportersResults.aspx</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1740440A"/>
    <w:lvl w:ilvl="0">
      <w:start w:val="1"/>
      <w:numFmt w:val="none"/>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rPr>
        <w:lang w:val="en-GB"/>
      </w:r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2"/>
    <w:multiLevelType w:val="singleLevel"/>
    <w:tmpl w:val="00000002"/>
    <w:name w:val="WW8Num2"/>
    <w:lvl w:ilvl="0">
      <w:start w:val="1"/>
      <w:numFmt w:val="bullet"/>
      <w:lvlText w:val=""/>
      <w:lvlJc w:val="left"/>
      <w:pPr>
        <w:tabs>
          <w:tab w:val="num" w:pos="0"/>
        </w:tabs>
        <w:ind w:left="720" w:hanging="360"/>
      </w:pPr>
      <w:rPr>
        <w:rFonts w:ascii="Symbol" w:hAnsi="Symbol"/>
      </w:rPr>
    </w:lvl>
  </w:abstractNum>
  <w:abstractNum w:abstractNumId="2">
    <w:nsid w:val="00000003"/>
    <w:multiLevelType w:val="singleLevel"/>
    <w:tmpl w:val="00000003"/>
    <w:name w:val="WW8Num3"/>
    <w:lvl w:ilvl="0">
      <w:start w:val="1"/>
      <w:numFmt w:val="bullet"/>
      <w:lvlText w:val=""/>
      <w:lvlJc w:val="left"/>
      <w:pPr>
        <w:tabs>
          <w:tab w:val="num" w:pos="0"/>
        </w:tabs>
        <w:ind w:left="720" w:hanging="360"/>
      </w:pPr>
      <w:rPr>
        <w:rFonts w:ascii="Symbol" w:hAnsi="Symbol"/>
      </w:rPr>
    </w:lvl>
  </w:abstractNum>
  <w:abstractNum w:abstractNumId="3">
    <w:nsid w:val="00000004"/>
    <w:multiLevelType w:val="singleLevel"/>
    <w:tmpl w:val="00000004"/>
    <w:name w:val="WW8Num4"/>
    <w:lvl w:ilvl="0">
      <w:start w:val="1"/>
      <w:numFmt w:val="bullet"/>
      <w:lvlText w:val=""/>
      <w:lvlJc w:val="left"/>
      <w:pPr>
        <w:tabs>
          <w:tab w:val="num" w:pos="0"/>
        </w:tabs>
        <w:ind w:left="720" w:hanging="360"/>
      </w:pPr>
      <w:rPr>
        <w:rFonts w:ascii="Symbol" w:hAnsi="Symbol"/>
      </w:rPr>
    </w:lvl>
  </w:abstractNum>
  <w:abstractNum w:abstractNumId="4">
    <w:nsid w:val="00000015"/>
    <w:multiLevelType w:val="multilevel"/>
    <w:tmpl w:val="00000015"/>
    <w:name w:val="WW8Num21"/>
    <w:lvl w:ilvl="0">
      <w:start w:val="1"/>
      <w:numFmt w:val="bullet"/>
      <w:lvlText w:val=""/>
      <w:lvlJc w:val="left"/>
      <w:pPr>
        <w:tabs>
          <w:tab w:val="num" w:pos="720"/>
        </w:tabs>
        <w:ind w:left="720" w:hanging="360"/>
      </w:pPr>
      <w:rPr>
        <w:rFonts w:ascii="Wingdings 2" w:hAnsi="Wingdings 2"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5">
    <w:nsid w:val="00000017"/>
    <w:multiLevelType w:val="multilevel"/>
    <w:tmpl w:val="00000017"/>
    <w:name w:val="WW8Num23"/>
    <w:lvl w:ilvl="0">
      <w:start w:val="1"/>
      <w:numFmt w:val="decimal"/>
      <w:lvlText w:val=" %1 "/>
      <w:lvlJc w:val="left"/>
      <w:pPr>
        <w:tabs>
          <w:tab w:val="num" w:pos="720"/>
        </w:tabs>
        <w:ind w:left="720" w:hanging="360"/>
      </w:pPr>
    </w:lvl>
    <w:lvl w:ilvl="1">
      <w:start w:val="1"/>
      <w:numFmt w:val="decimal"/>
      <w:lvlText w:val=" %1.%2 "/>
      <w:lvlJc w:val="left"/>
      <w:pPr>
        <w:tabs>
          <w:tab w:val="num" w:pos="1080"/>
        </w:tabs>
        <w:ind w:left="1080" w:hanging="360"/>
      </w:pPr>
    </w:lvl>
    <w:lvl w:ilvl="2">
      <w:start w:val="1"/>
      <w:numFmt w:val="decimal"/>
      <w:lvlText w:val=" %1.%2.%3 "/>
      <w:lvlJc w:val="left"/>
      <w:pPr>
        <w:tabs>
          <w:tab w:val="num" w:pos="1440"/>
        </w:tabs>
        <w:ind w:left="1440" w:hanging="360"/>
      </w:pPr>
    </w:lvl>
    <w:lvl w:ilvl="3">
      <w:start w:val="1"/>
      <w:numFmt w:val="decimal"/>
      <w:lvlText w:val=" %1.%2.%3.%4 "/>
      <w:lvlJc w:val="left"/>
      <w:pPr>
        <w:tabs>
          <w:tab w:val="num" w:pos="1800"/>
        </w:tabs>
        <w:ind w:left="1800" w:hanging="360"/>
      </w:pPr>
    </w:lvl>
    <w:lvl w:ilvl="4">
      <w:start w:val="1"/>
      <w:numFmt w:val="decimal"/>
      <w:lvlText w:val=" %1.%2.%3.%4.%5 "/>
      <w:lvlJc w:val="left"/>
      <w:pPr>
        <w:tabs>
          <w:tab w:val="num" w:pos="2160"/>
        </w:tabs>
        <w:ind w:left="2160" w:hanging="360"/>
      </w:pPr>
    </w:lvl>
    <w:lvl w:ilvl="5">
      <w:start w:val="1"/>
      <w:numFmt w:val="decimal"/>
      <w:lvlText w:val=" %1.%2.%3.%4.%5.%6 "/>
      <w:lvlJc w:val="left"/>
      <w:pPr>
        <w:tabs>
          <w:tab w:val="num" w:pos="2520"/>
        </w:tabs>
        <w:ind w:left="2520" w:hanging="360"/>
      </w:pPr>
    </w:lvl>
    <w:lvl w:ilvl="6">
      <w:start w:val="1"/>
      <w:numFmt w:val="decimal"/>
      <w:lvlText w:val=" %1.%2.%3.%4.%5.%6.%7 "/>
      <w:lvlJc w:val="left"/>
      <w:pPr>
        <w:tabs>
          <w:tab w:val="num" w:pos="2880"/>
        </w:tabs>
        <w:ind w:left="2880" w:hanging="360"/>
      </w:pPr>
    </w:lvl>
    <w:lvl w:ilvl="7">
      <w:start w:val="1"/>
      <w:numFmt w:val="decimal"/>
      <w:lvlText w:val=" %1.%2.%3.%4.%5.%6.%7.%8 "/>
      <w:lvlJc w:val="left"/>
      <w:pPr>
        <w:tabs>
          <w:tab w:val="num" w:pos="3240"/>
        </w:tabs>
        <w:ind w:left="3240" w:hanging="360"/>
      </w:pPr>
    </w:lvl>
    <w:lvl w:ilvl="8">
      <w:start w:val="1"/>
      <w:numFmt w:val="decimal"/>
      <w:lvlText w:val=" %1.%2.%3.%4.%5.%6.%7.%8.%9 "/>
      <w:lvlJc w:val="left"/>
      <w:pPr>
        <w:tabs>
          <w:tab w:val="num" w:pos="3600"/>
        </w:tabs>
        <w:ind w:left="3600" w:hanging="360"/>
      </w:pPr>
    </w:lvl>
  </w:abstractNum>
  <w:abstractNum w:abstractNumId="6">
    <w:nsid w:val="0000001A"/>
    <w:multiLevelType w:val="multilevel"/>
    <w:tmpl w:val="0000001A"/>
    <w:name w:val="WW8Num26"/>
    <w:lvl w:ilvl="0">
      <w:start w:val="1"/>
      <w:numFmt w:val="decimal"/>
      <w:lvlText w:val=" %1 "/>
      <w:lvlJc w:val="left"/>
      <w:pPr>
        <w:tabs>
          <w:tab w:val="num" w:pos="720"/>
        </w:tabs>
        <w:ind w:left="720" w:hanging="360"/>
      </w:pPr>
    </w:lvl>
    <w:lvl w:ilvl="1">
      <w:start w:val="1"/>
      <w:numFmt w:val="decimal"/>
      <w:lvlText w:val=" %1.%2 "/>
      <w:lvlJc w:val="left"/>
      <w:pPr>
        <w:tabs>
          <w:tab w:val="num" w:pos="1080"/>
        </w:tabs>
        <w:ind w:left="1080" w:hanging="360"/>
      </w:pPr>
    </w:lvl>
    <w:lvl w:ilvl="2">
      <w:start w:val="1"/>
      <w:numFmt w:val="decimal"/>
      <w:lvlText w:val=" %1.%2.%3 "/>
      <w:lvlJc w:val="left"/>
      <w:pPr>
        <w:tabs>
          <w:tab w:val="num" w:pos="1440"/>
        </w:tabs>
        <w:ind w:left="1440" w:hanging="360"/>
      </w:pPr>
    </w:lvl>
    <w:lvl w:ilvl="3">
      <w:start w:val="1"/>
      <w:numFmt w:val="decimal"/>
      <w:lvlText w:val=" %1.%2.%3.%4 "/>
      <w:lvlJc w:val="left"/>
      <w:pPr>
        <w:tabs>
          <w:tab w:val="num" w:pos="1800"/>
        </w:tabs>
        <w:ind w:left="1800" w:hanging="360"/>
      </w:pPr>
    </w:lvl>
    <w:lvl w:ilvl="4">
      <w:start w:val="1"/>
      <w:numFmt w:val="decimal"/>
      <w:lvlText w:val=" %1.%2.%3.%4.%5 "/>
      <w:lvlJc w:val="left"/>
      <w:pPr>
        <w:tabs>
          <w:tab w:val="num" w:pos="2160"/>
        </w:tabs>
        <w:ind w:left="2160" w:hanging="360"/>
      </w:pPr>
    </w:lvl>
    <w:lvl w:ilvl="5">
      <w:start w:val="1"/>
      <w:numFmt w:val="decimal"/>
      <w:lvlText w:val=" %1.%2.%3.%4.%5.%6 "/>
      <w:lvlJc w:val="left"/>
      <w:pPr>
        <w:tabs>
          <w:tab w:val="num" w:pos="2520"/>
        </w:tabs>
        <w:ind w:left="2520" w:hanging="360"/>
      </w:pPr>
    </w:lvl>
    <w:lvl w:ilvl="6">
      <w:start w:val="1"/>
      <w:numFmt w:val="decimal"/>
      <w:lvlText w:val=" %1.%2.%3.%4.%5.%6.%7 "/>
      <w:lvlJc w:val="left"/>
      <w:pPr>
        <w:tabs>
          <w:tab w:val="num" w:pos="2880"/>
        </w:tabs>
        <w:ind w:left="2880" w:hanging="360"/>
      </w:pPr>
    </w:lvl>
    <w:lvl w:ilvl="7">
      <w:start w:val="1"/>
      <w:numFmt w:val="decimal"/>
      <w:lvlText w:val=" %1.%2.%3.%4.%5.%6.%7.%8 "/>
      <w:lvlJc w:val="left"/>
      <w:pPr>
        <w:tabs>
          <w:tab w:val="num" w:pos="3240"/>
        </w:tabs>
        <w:ind w:left="3240" w:hanging="360"/>
      </w:pPr>
    </w:lvl>
    <w:lvl w:ilvl="8">
      <w:start w:val="1"/>
      <w:numFmt w:val="decimal"/>
      <w:lvlText w:val=" %1.%2.%3.%4.%5.%6.%7.%8.%9 "/>
      <w:lvlJc w:val="left"/>
      <w:pPr>
        <w:tabs>
          <w:tab w:val="num" w:pos="3600"/>
        </w:tabs>
        <w:ind w:left="3600" w:hanging="360"/>
      </w:pPr>
    </w:lvl>
  </w:abstractNum>
  <w:abstractNum w:abstractNumId="7">
    <w:nsid w:val="0000003F"/>
    <w:multiLevelType w:val="multilevel"/>
    <w:tmpl w:val="0000003F"/>
    <w:name w:val="WW8Num64"/>
    <w:lvl w:ilvl="0">
      <w:start w:val="1"/>
      <w:numFmt w:val="decimal"/>
      <w:lvlText w:val=" %1 "/>
      <w:lvlJc w:val="left"/>
      <w:pPr>
        <w:tabs>
          <w:tab w:val="num" w:pos="720"/>
        </w:tabs>
        <w:ind w:left="720" w:hanging="360"/>
      </w:pPr>
    </w:lvl>
    <w:lvl w:ilvl="1">
      <w:start w:val="1"/>
      <w:numFmt w:val="decimal"/>
      <w:lvlText w:val=" %1.%2 "/>
      <w:lvlJc w:val="left"/>
      <w:pPr>
        <w:tabs>
          <w:tab w:val="num" w:pos="1080"/>
        </w:tabs>
        <w:ind w:left="1080" w:hanging="360"/>
      </w:pPr>
    </w:lvl>
    <w:lvl w:ilvl="2">
      <w:start w:val="1"/>
      <w:numFmt w:val="decimal"/>
      <w:lvlText w:val=" %1.%2.%3 "/>
      <w:lvlJc w:val="left"/>
      <w:pPr>
        <w:tabs>
          <w:tab w:val="num" w:pos="1440"/>
        </w:tabs>
        <w:ind w:left="1440" w:hanging="360"/>
      </w:pPr>
    </w:lvl>
    <w:lvl w:ilvl="3">
      <w:start w:val="1"/>
      <w:numFmt w:val="decimal"/>
      <w:lvlText w:val=" %1.%2.%3.%4 "/>
      <w:lvlJc w:val="left"/>
      <w:pPr>
        <w:tabs>
          <w:tab w:val="num" w:pos="1800"/>
        </w:tabs>
        <w:ind w:left="1800" w:hanging="360"/>
      </w:pPr>
    </w:lvl>
    <w:lvl w:ilvl="4">
      <w:start w:val="1"/>
      <w:numFmt w:val="decimal"/>
      <w:lvlText w:val=" %1.%2.%3.%4.%5 "/>
      <w:lvlJc w:val="left"/>
      <w:pPr>
        <w:tabs>
          <w:tab w:val="num" w:pos="2160"/>
        </w:tabs>
        <w:ind w:left="2160" w:hanging="360"/>
      </w:pPr>
    </w:lvl>
    <w:lvl w:ilvl="5">
      <w:start w:val="1"/>
      <w:numFmt w:val="decimal"/>
      <w:lvlText w:val=" %1.%2.%3.%4.%5.%6 "/>
      <w:lvlJc w:val="left"/>
      <w:pPr>
        <w:tabs>
          <w:tab w:val="num" w:pos="2520"/>
        </w:tabs>
        <w:ind w:left="2520" w:hanging="360"/>
      </w:pPr>
    </w:lvl>
    <w:lvl w:ilvl="6">
      <w:start w:val="1"/>
      <w:numFmt w:val="decimal"/>
      <w:lvlText w:val=" %1.%2.%3.%4.%5.%6.%7 "/>
      <w:lvlJc w:val="left"/>
      <w:pPr>
        <w:tabs>
          <w:tab w:val="num" w:pos="2880"/>
        </w:tabs>
        <w:ind w:left="2880" w:hanging="360"/>
      </w:pPr>
    </w:lvl>
    <w:lvl w:ilvl="7">
      <w:start w:val="1"/>
      <w:numFmt w:val="decimal"/>
      <w:lvlText w:val=" %1.%2.%3.%4.%5.%6.%7.%8 "/>
      <w:lvlJc w:val="left"/>
      <w:pPr>
        <w:tabs>
          <w:tab w:val="num" w:pos="3240"/>
        </w:tabs>
        <w:ind w:left="3240" w:hanging="360"/>
      </w:pPr>
    </w:lvl>
    <w:lvl w:ilvl="8">
      <w:start w:val="1"/>
      <w:numFmt w:val="decimal"/>
      <w:lvlText w:val=" %1.%2.%3.%4.%5.%6.%7.%8.%9 "/>
      <w:lvlJc w:val="left"/>
      <w:pPr>
        <w:tabs>
          <w:tab w:val="num" w:pos="3600"/>
        </w:tabs>
        <w:ind w:left="3600" w:hanging="360"/>
      </w:pPr>
    </w:lvl>
  </w:abstractNum>
  <w:abstractNum w:abstractNumId="8">
    <w:nsid w:val="00000042"/>
    <w:multiLevelType w:val="multilevel"/>
    <w:tmpl w:val="00000042"/>
    <w:name w:val="WW8Num67"/>
    <w:lvl w:ilvl="0">
      <w:start w:val="1"/>
      <w:numFmt w:val="decimal"/>
      <w:lvlText w:val=" %1 "/>
      <w:lvlJc w:val="left"/>
      <w:pPr>
        <w:tabs>
          <w:tab w:val="num" w:pos="720"/>
        </w:tabs>
        <w:ind w:left="720" w:hanging="360"/>
      </w:pPr>
    </w:lvl>
    <w:lvl w:ilvl="1">
      <w:start w:val="1"/>
      <w:numFmt w:val="decimal"/>
      <w:lvlText w:val=" %1.%2 "/>
      <w:lvlJc w:val="left"/>
      <w:pPr>
        <w:tabs>
          <w:tab w:val="num" w:pos="1080"/>
        </w:tabs>
        <w:ind w:left="1080" w:hanging="360"/>
      </w:pPr>
    </w:lvl>
    <w:lvl w:ilvl="2">
      <w:start w:val="1"/>
      <w:numFmt w:val="decimal"/>
      <w:lvlText w:val=" %1.%2.%3 "/>
      <w:lvlJc w:val="left"/>
      <w:pPr>
        <w:tabs>
          <w:tab w:val="num" w:pos="1440"/>
        </w:tabs>
        <w:ind w:left="1440" w:hanging="360"/>
      </w:pPr>
    </w:lvl>
    <w:lvl w:ilvl="3">
      <w:start w:val="1"/>
      <w:numFmt w:val="decimal"/>
      <w:lvlText w:val=" %1.%2.%3.%4 "/>
      <w:lvlJc w:val="left"/>
      <w:pPr>
        <w:tabs>
          <w:tab w:val="num" w:pos="1800"/>
        </w:tabs>
        <w:ind w:left="1800" w:hanging="360"/>
      </w:pPr>
    </w:lvl>
    <w:lvl w:ilvl="4">
      <w:start w:val="1"/>
      <w:numFmt w:val="decimal"/>
      <w:lvlText w:val=" %1.%2.%3.%4.%5 "/>
      <w:lvlJc w:val="left"/>
      <w:pPr>
        <w:tabs>
          <w:tab w:val="num" w:pos="2160"/>
        </w:tabs>
        <w:ind w:left="2160" w:hanging="360"/>
      </w:pPr>
    </w:lvl>
    <w:lvl w:ilvl="5">
      <w:start w:val="1"/>
      <w:numFmt w:val="decimal"/>
      <w:lvlText w:val=" %1.%2.%3.%4.%5.%6 "/>
      <w:lvlJc w:val="left"/>
      <w:pPr>
        <w:tabs>
          <w:tab w:val="num" w:pos="2520"/>
        </w:tabs>
        <w:ind w:left="2520" w:hanging="360"/>
      </w:pPr>
    </w:lvl>
    <w:lvl w:ilvl="6">
      <w:start w:val="1"/>
      <w:numFmt w:val="decimal"/>
      <w:lvlText w:val=" %1.%2.%3.%4.%5.%6.%7 "/>
      <w:lvlJc w:val="left"/>
      <w:pPr>
        <w:tabs>
          <w:tab w:val="num" w:pos="2880"/>
        </w:tabs>
        <w:ind w:left="2880" w:hanging="360"/>
      </w:pPr>
    </w:lvl>
    <w:lvl w:ilvl="7">
      <w:start w:val="1"/>
      <w:numFmt w:val="decimal"/>
      <w:lvlText w:val=" %1.%2.%3.%4.%5.%6.%7.%8 "/>
      <w:lvlJc w:val="left"/>
      <w:pPr>
        <w:tabs>
          <w:tab w:val="num" w:pos="3240"/>
        </w:tabs>
        <w:ind w:left="3240" w:hanging="360"/>
      </w:pPr>
    </w:lvl>
    <w:lvl w:ilvl="8">
      <w:start w:val="1"/>
      <w:numFmt w:val="decimal"/>
      <w:lvlText w:val=" %1.%2.%3.%4.%5.%6.%7.%8.%9 "/>
      <w:lvlJc w:val="left"/>
      <w:pPr>
        <w:tabs>
          <w:tab w:val="num" w:pos="3600"/>
        </w:tabs>
        <w:ind w:left="3600" w:hanging="360"/>
      </w:pPr>
    </w:lvl>
  </w:abstractNum>
  <w:abstractNum w:abstractNumId="9">
    <w:nsid w:val="0000006F"/>
    <w:multiLevelType w:val="multilevel"/>
    <w:tmpl w:val="0000006F"/>
    <w:name w:val="WW8Num11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nsid w:val="1388031E"/>
    <w:multiLevelType w:val="multilevel"/>
    <w:tmpl w:val="9B3E1DF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1">
    <w:nsid w:val="32CC7331"/>
    <w:multiLevelType w:val="hybridMultilevel"/>
    <w:tmpl w:val="EFF065FE"/>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12">
    <w:nsid w:val="663B1247"/>
    <w:multiLevelType w:val="multilevel"/>
    <w:tmpl w:val="8968C8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3">
    <w:nsid w:val="6EE47A6A"/>
    <w:multiLevelType w:val="hybridMultilevel"/>
    <w:tmpl w:val="0EA08AF0"/>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num w:numId="1">
    <w:abstractNumId w:val="0"/>
  </w:num>
  <w:num w:numId="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12"/>
  </w:num>
  <w:num w:numId="4">
    <w:abstractNumId w:val="11"/>
  </w:num>
  <w:num w:numId="5">
    <w:abstractNumId w:val="13"/>
  </w:num>
  <w:numIdMacAtCleanup w:val="5"/>
</w:numbering>
</file>

<file path=word/people.xml><?xml version="1.0" encoding="utf-8"?>
<w15:people xmlns:mc="http://schemas.openxmlformats.org/markup-compatibility/2006" xmlns:w15="http://schemas.microsoft.com/office/word/2012/wordml" mc:Ignorable="w15">
  <w15:person w15:author="veronica gianfaldoni">
    <w15:presenceInfo w15:providerId="" w15:userI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283"/>
  <w:defaultTableStyle w:val="Normal"/>
  <w:drawingGridHorizontalSpacing w:val="110"/>
  <w:drawingGridVerticalSpacing w:val="0"/>
  <w:displayHorizontalDrawingGridEvery w:val="0"/>
  <w:displayVerticalDrawingGridEvery w:val="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
  <w:rsids>
    <w:rsidRoot w:val="008870CD"/>
    <w:rsid w:val="00006704"/>
    <w:rsid w:val="000113E8"/>
    <w:rsid w:val="00012D72"/>
    <w:rsid w:val="00014970"/>
    <w:rsid w:val="000154A1"/>
    <w:rsid w:val="00022678"/>
    <w:rsid w:val="000241B7"/>
    <w:rsid w:val="00024468"/>
    <w:rsid w:val="000264F4"/>
    <w:rsid w:val="00026618"/>
    <w:rsid w:val="00035558"/>
    <w:rsid w:val="00035AF3"/>
    <w:rsid w:val="00040401"/>
    <w:rsid w:val="000412EE"/>
    <w:rsid w:val="000421CD"/>
    <w:rsid w:val="0004295B"/>
    <w:rsid w:val="00044544"/>
    <w:rsid w:val="00044C11"/>
    <w:rsid w:val="00045DBB"/>
    <w:rsid w:val="00045F7A"/>
    <w:rsid w:val="00046C0D"/>
    <w:rsid w:val="00047794"/>
    <w:rsid w:val="00047C50"/>
    <w:rsid w:val="00051134"/>
    <w:rsid w:val="00056604"/>
    <w:rsid w:val="000622DB"/>
    <w:rsid w:val="00062783"/>
    <w:rsid w:val="00065285"/>
    <w:rsid w:val="00066BB8"/>
    <w:rsid w:val="00067AD1"/>
    <w:rsid w:val="0007321F"/>
    <w:rsid w:val="00082617"/>
    <w:rsid w:val="000854D5"/>
    <w:rsid w:val="000867EB"/>
    <w:rsid w:val="00090BA3"/>
    <w:rsid w:val="00093B2C"/>
    <w:rsid w:val="00096776"/>
    <w:rsid w:val="000A2E41"/>
    <w:rsid w:val="000A3DB4"/>
    <w:rsid w:val="000A4BBB"/>
    <w:rsid w:val="000A5874"/>
    <w:rsid w:val="000A58EC"/>
    <w:rsid w:val="000B360D"/>
    <w:rsid w:val="000B5565"/>
    <w:rsid w:val="000C0792"/>
    <w:rsid w:val="000C1376"/>
    <w:rsid w:val="000C27B0"/>
    <w:rsid w:val="000C402C"/>
    <w:rsid w:val="000C422B"/>
    <w:rsid w:val="000C4D1A"/>
    <w:rsid w:val="000D222D"/>
    <w:rsid w:val="000D39E8"/>
    <w:rsid w:val="000D6C58"/>
    <w:rsid w:val="000D7CE4"/>
    <w:rsid w:val="000E13C3"/>
    <w:rsid w:val="000E2D32"/>
    <w:rsid w:val="000E2E21"/>
    <w:rsid w:val="000E3378"/>
    <w:rsid w:val="000E33AB"/>
    <w:rsid w:val="000E3FFA"/>
    <w:rsid w:val="000E49A5"/>
    <w:rsid w:val="000E5990"/>
    <w:rsid w:val="000F0712"/>
    <w:rsid w:val="000F3E6C"/>
    <w:rsid w:val="001013B2"/>
    <w:rsid w:val="00102789"/>
    <w:rsid w:val="00102F01"/>
    <w:rsid w:val="00103DD9"/>
    <w:rsid w:val="001061E4"/>
    <w:rsid w:val="0010677F"/>
    <w:rsid w:val="001068E3"/>
    <w:rsid w:val="00110D2C"/>
    <w:rsid w:val="00110D9F"/>
    <w:rsid w:val="00111DB4"/>
    <w:rsid w:val="00114A21"/>
    <w:rsid w:val="00114FE2"/>
    <w:rsid w:val="00115347"/>
    <w:rsid w:val="00121C3C"/>
    <w:rsid w:val="00122211"/>
    <w:rsid w:val="00122558"/>
    <w:rsid w:val="0012504B"/>
    <w:rsid w:val="00125A28"/>
    <w:rsid w:val="00126B0D"/>
    <w:rsid w:val="00130B6A"/>
    <w:rsid w:val="001339CB"/>
    <w:rsid w:val="00133A2C"/>
    <w:rsid w:val="00133D49"/>
    <w:rsid w:val="001353F6"/>
    <w:rsid w:val="001374C2"/>
    <w:rsid w:val="001417E9"/>
    <w:rsid w:val="00145DE3"/>
    <w:rsid w:val="001476EE"/>
    <w:rsid w:val="00147ACF"/>
    <w:rsid w:val="0015461D"/>
    <w:rsid w:val="00155602"/>
    <w:rsid w:val="00155B4D"/>
    <w:rsid w:val="001562E7"/>
    <w:rsid w:val="0015692F"/>
    <w:rsid w:val="00156C87"/>
    <w:rsid w:val="00166939"/>
    <w:rsid w:val="00167B6D"/>
    <w:rsid w:val="00167EE5"/>
    <w:rsid w:val="00170954"/>
    <w:rsid w:val="001715B6"/>
    <w:rsid w:val="00171E58"/>
    <w:rsid w:val="00172852"/>
    <w:rsid w:val="00176595"/>
    <w:rsid w:val="0018088A"/>
    <w:rsid w:val="00184AEA"/>
    <w:rsid w:val="00190A2A"/>
    <w:rsid w:val="00193156"/>
    <w:rsid w:val="00193C4B"/>
    <w:rsid w:val="00194FEC"/>
    <w:rsid w:val="00197DB1"/>
    <w:rsid w:val="00197EAF"/>
    <w:rsid w:val="001A06C5"/>
    <w:rsid w:val="001A0A93"/>
    <w:rsid w:val="001A1EA5"/>
    <w:rsid w:val="001A3666"/>
    <w:rsid w:val="001A3D6A"/>
    <w:rsid w:val="001A4B88"/>
    <w:rsid w:val="001A4C27"/>
    <w:rsid w:val="001B0417"/>
    <w:rsid w:val="001B273F"/>
    <w:rsid w:val="001B56EC"/>
    <w:rsid w:val="001C04E0"/>
    <w:rsid w:val="001C0A4E"/>
    <w:rsid w:val="001C1A41"/>
    <w:rsid w:val="001C1D8B"/>
    <w:rsid w:val="001C2BE9"/>
    <w:rsid w:val="001C3696"/>
    <w:rsid w:val="001D084C"/>
    <w:rsid w:val="001D4DCC"/>
    <w:rsid w:val="001D6393"/>
    <w:rsid w:val="001E2220"/>
    <w:rsid w:val="001E58EB"/>
    <w:rsid w:val="001E5E13"/>
    <w:rsid w:val="001E6920"/>
    <w:rsid w:val="001F1472"/>
    <w:rsid w:val="001F1599"/>
    <w:rsid w:val="001F19C9"/>
    <w:rsid w:val="001F1A05"/>
    <w:rsid w:val="001F3217"/>
    <w:rsid w:val="001F5200"/>
    <w:rsid w:val="001F6212"/>
    <w:rsid w:val="00203501"/>
    <w:rsid w:val="00203A5F"/>
    <w:rsid w:val="00204903"/>
    <w:rsid w:val="00205C7A"/>
    <w:rsid w:val="00205D58"/>
    <w:rsid w:val="00206826"/>
    <w:rsid w:val="00216835"/>
    <w:rsid w:val="00223221"/>
    <w:rsid w:val="002243BE"/>
    <w:rsid w:val="0023197B"/>
    <w:rsid w:val="00232C5E"/>
    <w:rsid w:val="002366FD"/>
    <w:rsid w:val="00242EDA"/>
    <w:rsid w:val="00245A2C"/>
    <w:rsid w:val="002515C7"/>
    <w:rsid w:val="00253A13"/>
    <w:rsid w:val="002609CC"/>
    <w:rsid w:val="00261901"/>
    <w:rsid w:val="00261AA2"/>
    <w:rsid w:val="00263630"/>
    <w:rsid w:val="00264986"/>
    <w:rsid w:val="002660DE"/>
    <w:rsid w:val="00270698"/>
    <w:rsid w:val="002718B1"/>
    <w:rsid w:val="002744C3"/>
    <w:rsid w:val="002803E5"/>
    <w:rsid w:val="00281F64"/>
    <w:rsid w:val="00284E7E"/>
    <w:rsid w:val="00290A92"/>
    <w:rsid w:val="00290A95"/>
    <w:rsid w:val="00290B9B"/>
    <w:rsid w:val="00291B6A"/>
    <w:rsid w:val="00293D72"/>
    <w:rsid w:val="00295276"/>
    <w:rsid w:val="00296DE8"/>
    <w:rsid w:val="002A057A"/>
    <w:rsid w:val="002A081E"/>
    <w:rsid w:val="002A1563"/>
    <w:rsid w:val="002A46D7"/>
    <w:rsid w:val="002B0985"/>
    <w:rsid w:val="002B2008"/>
    <w:rsid w:val="002B2414"/>
    <w:rsid w:val="002C2022"/>
    <w:rsid w:val="002C59EF"/>
    <w:rsid w:val="002C66DA"/>
    <w:rsid w:val="002C700D"/>
    <w:rsid w:val="002C773C"/>
    <w:rsid w:val="002D27E3"/>
    <w:rsid w:val="002D4725"/>
    <w:rsid w:val="002D546A"/>
    <w:rsid w:val="002D6712"/>
    <w:rsid w:val="002E1DFE"/>
    <w:rsid w:val="002E29DE"/>
    <w:rsid w:val="002F0887"/>
    <w:rsid w:val="002F0CB9"/>
    <w:rsid w:val="002F25A7"/>
    <w:rsid w:val="002F544B"/>
    <w:rsid w:val="002F55AF"/>
    <w:rsid w:val="00300017"/>
    <w:rsid w:val="00301414"/>
    <w:rsid w:val="00301CF0"/>
    <w:rsid w:val="003079A9"/>
    <w:rsid w:val="0031095D"/>
    <w:rsid w:val="00310FE7"/>
    <w:rsid w:val="00311164"/>
    <w:rsid w:val="00311F0D"/>
    <w:rsid w:val="00312896"/>
    <w:rsid w:val="00312959"/>
    <w:rsid w:val="003133F9"/>
    <w:rsid w:val="00315F17"/>
    <w:rsid w:val="0032555A"/>
    <w:rsid w:val="00330B00"/>
    <w:rsid w:val="003335C0"/>
    <w:rsid w:val="00334116"/>
    <w:rsid w:val="00335468"/>
    <w:rsid w:val="0033622F"/>
    <w:rsid w:val="00337BF9"/>
    <w:rsid w:val="00340E3F"/>
    <w:rsid w:val="003412FE"/>
    <w:rsid w:val="00342E17"/>
    <w:rsid w:val="00343C78"/>
    <w:rsid w:val="00344422"/>
    <w:rsid w:val="003444B3"/>
    <w:rsid w:val="00345C2C"/>
    <w:rsid w:val="00350726"/>
    <w:rsid w:val="00351000"/>
    <w:rsid w:val="00351629"/>
    <w:rsid w:val="00353BD5"/>
    <w:rsid w:val="00355588"/>
    <w:rsid w:val="00355F46"/>
    <w:rsid w:val="0036414D"/>
    <w:rsid w:val="003664A6"/>
    <w:rsid w:val="003749ED"/>
    <w:rsid w:val="00374C82"/>
    <w:rsid w:val="003757F7"/>
    <w:rsid w:val="00375CFB"/>
    <w:rsid w:val="00376274"/>
    <w:rsid w:val="0037696B"/>
    <w:rsid w:val="00380023"/>
    <w:rsid w:val="003804F3"/>
    <w:rsid w:val="00380DAF"/>
    <w:rsid w:val="00381EA0"/>
    <w:rsid w:val="00386635"/>
    <w:rsid w:val="00392A27"/>
    <w:rsid w:val="00392F3A"/>
    <w:rsid w:val="00396493"/>
    <w:rsid w:val="003A32A1"/>
    <w:rsid w:val="003A3DA5"/>
    <w:rsid w:val="003A5BFD"/>
    <w:rsid w:val="003A6BD0"/>
    <w:rsid w:val="003A6EDE"/>
    <w:rsid w:val="003B02AA"/>
    <w:rsid w:val="003B0542"/>
    <w:rsid w:val="003B095B"/>
    <w:rsid w:val="003C00F7"/>
    <w:rsid w:val="003C1E56"/>
    <w:rsid w:val="003C239D"/>
    <w:rsid w:val="003C4744"/>
    <w:rsid w:val="003C4E96"/>
    <w:rsid w:val="003C6AA5"/>
    <w:rsid w:val="003C6ACE"/>
    <w:rsid w:val="003D3FA6"/>
    <w:rsid w:val="003D5D84"/>
    <w:rsid w:val="003D68F3"/>
    <w:rsid w:val="003D789C"/>
    <w:rsid w:val="003E6821"/>
    <w:rsid w:val="003F0B3E"/>
    <w:rsid w:val="003F3963"/>
    <w:rsid w:val="003F40A0"/>
    <w:rsid w:val="003F4E04"/>
    <w:rsid w:val="003F56EE"/>
    <w:rsid w:val="003F5CAD"/>
    <w:rsid w:val="003F6313"/>
    <w:rsid w:val="003F7DB3"/>
    <w:rsid w:val="00401497"/>
    <w:rsid w:val="00401F1C"/>
    <w:rsid w:val="0040676B"/>
    <w:rsid w:val="00407BC7"/>
    <w:rsid w:val="00407D3D"/>
    <w:rsid w:val="00411BA6"/>
    <w:rsid w:val="004143CB"/>
    <w:rsid w:val="004150F3"/>
    <w:rsid w:val="004151D9"/>
    <w:rsid w:val="004177DF"/>
    <w:rsid w:val="00417C7D"/>
    <w:rsid w:val="004200D2"/>
    <w:rsid w:val="004240BF"/>
    <w:rsid w:val="00424547"/>
    <w:rsid w:val="00424D0B"/>
    <w:rsid w:val="00442B3E"/>
    <w:rsid w:val="00445CF2"/>
    <w:rsid w:val="00450A6B"/>
    <w:rsid w:val="00456395"/>
    <w:rsid w:val="00456687"/>
    <w:rsid w:val="00456DC0"/>
    <w:rsid w:val="00457A7D"/>
    <w:rsid w:val="004679B3"/>
    <w:rsid w:val="0047177D"/>
    <w:rsid w:val="00472224"/>
    <w:rsid w:val="004766E8"/>
    <w:rsid w:val="004779A6"/>
    <w:rsid w:val="00480307"/>
    <w:rsid w:val="0048169D"/>
    <w:rsid w:val="00482D17"/>
    <w:rsid w:val="00483623"/>
    <w:rsid w:val="00485E01"/>
    <w:rsid w:val="00490230"/>
    <w:rsid w:val="00493406"/>
    <w:rsid w:val="00494A88"/>
    <w:rsid w:val="00496AF6"/>
    <w:rsid w:val="0049747E"/>
    <w:rsid w:val="00497F56"/>
    <w:rsid w:val="00497F67"/>
    <w:rsid w:val="004A0A69"/>
    <w:rsid w:val="004A2079"/>
    <w:rsid w:val="004A2EB6"/>
    <w:rsid w:val="004A34BA"/>
    <w:rsid w:val="004A4BAC"/>
    <w:rsid w:val="004B2062"/>
    <w:rsid w:val="004B3819"/>
    <w:rsid w:val="004B48B0"/>
    <w:rsid w:val="004B63E2"/>
    <w:rsid w:val="004B7547"/>
    <w:rsid w:val="004C0D51"/>
    <w:rsid w:val="004C102C"/>
    <w:rsid w:val="004C228B"/>
    <w:rsid w:val="004C287D"/>
    <w:rsid w:val="004C4AD8"/>
    <w:rsid w:val="004C59F2"/>
    <w:rsid w:val="004C5E51"/>
    <w:rsid w:val="004D00DE"/>
    <w:rsid w:val="004D363B"/>
    <w:rsid w:val="004D66DA"/>
    <w:rsid w:val="004D705D"/>
    <w:rsid w:val="004E144E"/>
    <w:rsid w:val="004E2097"/>
    <w:rsid w:val="004F1953"/>
    <w:rsid w:val="004F1D1C"/>
    <w:rsid w:val="004F227F"/>
    <w:rsid w:val="004F311A"/>
    <w:rsid w:val="004F65E4"/>
    <w:rsid w:val="004F7A80"/>
    <w:rsid w:val="005003D0"/>
    <w:rsid w:val="00500542"/>
    <w:rsid w:val="005007AA"/>
    <w:rsid w:val="005009BC"/>
    <w:rsid w:val="005029FC"/>
    <w:rsid w:val="00503404"/>
    <w:rsid w:val="0050444B"/>
    <w:rsid w:val="00505956"/>
    <w:rsid w:val="00505E82"/>
    <w:rsid w:val="00505EE3"/>
    <w:rsid w:val="00511427"/>
    <w:rsid w:val="0051336F"/>
    <w:rsid w:val="00513521"/>
    <w:rsid w:val="0051366E"/>
    <w:rsid w:val="0051469E"/>
    <w:rsid w:val="005146B9"/>
    <w:rsid w:val="00517D9F"/>
    <w:rsid w:val="00520BD3"/>
    <w:rsid w:val="00523A4B"/>
    <w:rsid w:val="00525E97"/>
    <w:rsid w:val="00526087"/>
    <w:rsid w:val="0052743E"/>
    <w:rsid w:val="005321B7"/>
    <w:rsid w:val="005325D5"/>
    <w:rsid w:val="00534A92"/>
    <w:rsid w:val="00536040"/>
    <w:rsid w:val="0053683D"/>
    <w:rsid w:val="005403A0"/>
    <w:rsid w:val="00542BD2"/>
    <w:rsid w:val="00543456"/>
    <w:rsid w:val="005474CD"/>
    <w:rsid w:val="0055143E"/>
    <w:rsid w:val="00552CEC"/>
    <w:rsid w:val="00561AF8"/>
    <w:rsid w:val="00561BC9"/>
    <w:rsid w:val="005630C6"/>
    <w:rsid w:val="005729D3"/>
    <w:rsid w:val="00573CF6"/>
    <w:rsid w:val="0057568A"/>
    <w:rsid w:val="00582077"/>
    <w:rsid w:val="00583D15"/>
    <w:rsid w:val="00584C82"/>
    <w:rsid w:val="005852F8"/>
    <w:rsid w:val="00591CC7"/>
    <w:rsid w:val="005936C8"/>
    <w:rsid w:val="0059554E"/>
    <w:rsid w:val="005A0EA1"/>
    <w:rsid w:val="005A1036"/>
    <w:rsid w:val="005A2159"/>
    <w:rsid w:val="005A7806"/>
    <w:rsid w:val="005C1715"/>
    <w:rsid w:val="005C18CA"/>
    <w:rsid w:val="005C19F3"/>
    <w:rsid w:val="005C2598"/>
    <w:rsid w:val="005C6648"/>
    <w:rsid w:val="005C6810"/>
    <w:rsid w:val="005D3D72"/>
    <w:rsid w:val="005D4243"/>
    <w:rsid w:val="005D5720"/>
    <w:rsid w:val="005D6108"/>
    <w:rsid w:val="005E20EA"/>
    <w:rsid w:val="005E5009"/>
    <w:rsid w:val="005F0B36"/>
    <w:rsid w:val="005F16F6"/>
    <w:rsid w:val="005F1781"/>
    <w:rsid w:val="005F1BAD"/>
    <w:rsid w:val="005F4922"/>
    <w:rsid w:val="00600340"/>
    <w:rsid w:val="006051F9"/>
    <w:rsid w:val="0060612E"/>
    <w:rsid w:val="0060624B"/>
    <w:rsid w:val="006072F7"/>
    <w:rsid w:val="00611663"/>
    <w:rsid w:val="006236F4"/>
    <w:rsid w:val="006325B8"/>
    <w:rsid w:val="0063355B"/>
    <w:rsid w:val="0063475E"/>
    <w:rsid w:val="00640F83"/>
    <w:rsid w:val="00643841"/>
    <w:rsid w:val="0064744A"/>
    <w:rsid w:val="00653C56"/>
    <w:rsid w:val="00653FB4"/>
    <w:rsid w:val="00657C93"/>
    <w:rsid w:val="00660C76"/>
    <w:rsid w:val="006676C4"/>
    <w:rsid w:val="00672541"/>
    <w:rsid w:val="00676EE2"/>
    <w:rsid w:val="006812BD"/>
    <w:rsid w:val="00684837"/>
    <w:rsid w:val="006861B4"/>
    <w:rsid w:val="00691878"/>
    <w:rsid w:val="0069308B"/>
    <w:rsid w:val="006A0525"/>
    <w:rsid w:val="006A1085"/>
    <w:rsid w:val="006A19C4"/>
    <w:rsid w:val="006A3C4A"/>
    <w:rsid w:val="006A7320"/>
    <w:rsid w:val="006B2B44"/>
    <w:rsid w:val="006B6D19"/>
    <w:rsid w:val="006C05AE"/>
    <w:rsid w:val="006C244D"/>
    <w:rsid w:val="006C28E2"/>
    <w:rsid w:val="006C454E"/>
    <w:rsid w:val="006C5510"/>
    <w:rsid w:val="006D0BE8"/>
    <w:rsid w:val="006D3860"/>
    <w:rsid w:val="006D588E"/>
    <w:rsid w:val="006D6274"/>
    <w:rsid w:val="006D7B99"/>
    <w:rsid w:val="006D7BB4"/>
    <w:rsid w:val="006E32A4"/>
    <w:rsid w:val="006E7119"/>
    <w:rsid w:val="006F0C9D"/>
    <w:rsid w:val="006F2F31"/>
    <w:rsid w:val="006F3003"/>
    <w:rsid w:val="006F58F3"/>
    <w:rsid w:val="006F7A09"/>
    <w:rsid w:val="00704369"/>
    <w:rsid w:val="007043CF"/>
    <w:rsid w:val="0070646C"/>
    <w:rsid w:val="00706B28"/>
    <w:rsid w:val="007156BD"/>
    <w:rsid w:val="00721FA3"/>
    <w:rsid w:val="00722C67"/>
    <w:rsid w:val="00726810"/>
    <w:rsid w:val="00742863"/>
    <w:rsid w:val="007438AE"/>
    <w:rsid w:val="00746DB6"/>
    <w:rsid w:val="00761865"/>
    <w:rsid w:val="00766BB6"/>
    <w:rsid w:val="00781EC2"/>
    <w:rsid w:val="00790A12"/>
    <w:rsid w:val="007912C4"/>
    <w:rsid w:val="007920B0"/>
    <w:rsid w:val="0079361F"/>
    <w:rsid w:val="007A5953"/>
    <w:rsid w:val="007A7332"/>
    <w:rsid w:val="007B0625"/>
    <w:rsid w:val="007B0EFB"/>
    <w:rsid w:val="007B5C83"/>
    <w:rsid w:val="007B6164"/>
    <w:rsid w:val="007B6B71"/>
    <w:rsid w:val="007C28B1"/>
    <w:rsid w:val="007C57F5"/>
    <w:rsid w:val="007C6C51"/>
    <w:rsid w:val="007D3DE0"/>
    <w:rsid w:val="007D4247"/>
    <w:rsid w:val="007D70A5"/>
    <w:rsid w:val="007E0482"/>
    <w:rsid w:val="007E04A5"/>
    <w:rsid w:val="007E09C4"/>
    <w:rsid w:val="007E17FC"/>
    <w:rsid w:val="007E3547"/>
    <w:rsid w:val="007F0981"/>
    <w:rsid w:val="007F2666"/>
    <w:rsid w:val="00805271"/>
    <w:rsid w:val="008066B5"/>
    <w:rsid w:val="00811253"/>
    <w:rsid w:val="008116E9"/>
    <w:rsid w:val="008170BC"/>
    <w:rsid w:val="00817A9B"/>
    <w:rsid w:val="00820919"/>
    <w:rsid w:val="00823626"/>
    <w:rsid w:val="00824962"/>
    <w:rsid w:val="00832C21"/>
    <w:rsid w:val="008341A1"/>
    <w:rsid w:val="0083458B"/>
    <w:rsid w:val="0083635F"/>
    <w:rsid w:val="00837A4A"/>
    <w:rsid w:val="00846C4F"/>
    <w:rsid w:val="00851330"/>
    <w:rsid w:val="00852A27"/>
    <w:rsid w:val="008604DA"/>
    <w:rsid w:val="00862722"/>
    <w:rsid w:val="00862DC3"/>
    <w:rsid w:val="00866B8E"/>
    <w:rsid w:val="00867820"/>
    <w:rsid w:val="00867AA1"/>
    <w:rsid w:val="008755A8"/>
    <w:rsid w:val="008772D1"/>
    <w:rsid w:val="008814B8"/>
    <w:rsid w:val="008815A1"/>
    <w:rsid w:val="0088229C"/>
    <w:rsid w:val="008842C6"/>
    <w:rsid w:val="008843AB"/>
    <w:rsid w:val="008851F9"/>
    <w:rsid w:val="008870CD"/>
    <w:rsid w:val="00887FF2"/>
    <w:rsid w:val="00891363"/>
    <w:rsid w:val="00892C99"/>
    <w:rsid w:val="00893802"/>
    <w:rsid w:val="00894E96"/>
    <w:rsid w:val="008963FA"/>
    <w:rsid w:val="00896933"/>
    <w:rsid w:val="008A0489"/>
    <w:rsid w:val="008A490B"/>
    <w:rsid w:val="008A4E33"/>
    <w:rsid w:val="008A5C76"/>
    <w:rsid w:val="008A5D12"/>
    <w:rsid w:val="008B0C44"/>
    <w:rsid w:val="008B1749"/>
    <w:rsid w:val="008B2142"/>
    <w:rsid w:val="008B6439"/>
    <w:rsid w:val="008B66E4"/>
    <w:rsid w:val="008B6DDE"/>
    <w:rsid w:val="008B731C"/>
    <w:rsid w:val="008C3E1E"/>
    <w:rsid w:val="008C46F9"/>
    <w:rsid w:val="008D3A03"/>
    <w:rsid w:val="008D7D48"/>
    <w:rsid w:val="008E1789"/>
    <w:rsid w:val="008E18EB"/>
    <w:rsid w:val="008E2C5B"/>
    <w:rsid w:val="008E4F1C"/>
    <w:rsid w:val="008F0D3A"/>
    <w:rsid w:val="008F2704"/>
    <w:rsid w:val="008F35ED"/>
    <w:rsid w:val="008F4D73"/>
    <w:rsid w:val="008F4DED"/>
    <w:rsid w:val="008F76B4"/>
    <w:rsid w:val="0090296E"/>
    <w:rsid w:val="00907C2A"/>
    <w:rsid w:val="009134CF"/>
    <w:rsid w:val="00913EB1"/>
    <w:rsid w:val="009175CC"/>
    <w:rsid w:val="009222D9"/>
    <w:rsid w:val="0092387E"/>
    <w:rsid w:val="00925E69"/>
    <w:rsid w:val="0092690C"/>
    <w:rsid w:val="00927570"/>
    <w:rsid w:val="00927EEC"/>
    <w:rsid w:val="00931520"/>
    <w:rsid w:val="00932E35"/>
    <w:rsid w:val="0093464A"/>
    <w:rsid w:val="00937D90"/>
    <w:rsid w:val="00940386"/>
    <w:rsid w:val="0094157A"/>
    <w:rsid w:val="009422A9"/>
    <w:rsid w:val="009430FB"/>
    <w:rsid w:val="00943822"/>
    <w:rsid w:val="009459DF"/>
    <w:rsid w:val="009464A7"/>
    <w:rsid w:val="00951319"/>
    <w:rsid w:val="00953993"/>
    <w:rsid w:val="00953E14"/>
    <w:rsid w:val="00955CA0"/>
    <w:rsid w:val="009571C8"/>
    <w:rsid w:val="0095751D"/>
    <w:rsid w:val="009616CB"/>
    <w:rsid w:val="00962EF5"/>
    <w:rsid w:val="009665E6"/>
    <w:rsid w:val="0097372B"/>
    <w:rsid w:val="0097374A"/>
    <w:rsid w:val="00982B47"/>
    <w:rsid w:val="00982B99"/>
    <w:rsid w:val="009843FB"/>
    <w:rsid w:val="00987C81"/>
    <w:rsid w:val="00992213"/>
    <w:rsid w:val="00993611"/>
    <w:rsid w:val="009937F7"/>
    <w:rsid w:val="009942B7"/>
    <w:rsid w:val="00996555"/>
    <w:rsid w:val="009A3452"/>
    <w:rsid w:val="009A6F93"/>
    <w:rsid w:val="009B438F"/>
    <w:rsid w:val="009B5855"/>
    <w:rsid w:val="009B6378"/>
    <w:rsid w:val="009C2CF8"/>
    <w:rsid w:val="009D4D5F"/>
    <w:rsid w:val="009E25F8"/>
    <w:rsid w:val="009E304D"/>
    <w:rsid w:val="009E6E42"/>
    <w:rsid w:val="009F17CB"/>
    <w:rsid w:val="009F2072"/>
    <w:rsid w:val="009F3A40"/>
    <w:rsid w:val="009F457A"/>
    <w:rsid w:val="00A02CEA"/>
    <w:rsid w:val="00A077C5"/>
    <w:rsid w:val="00A10B46"/>
    <w:rsid w:val="00A12ACA"/>
    <w:rsid w:val="00A1526A"/>
    <w:rsid w:val="00A17D8E"/>
    <w:rsid w:val="00A219BE"/>
    <w:rsid w:val="00A22ADA"/>
    <w:rsid w:val="00A249E9"/>
    <w:rsid w:val="00A24F19"/>
    <w:rsid w:val="00A25A94"/>
    <w:rsid w:val="00A25C44"/>
    <w:rsid w:val="00A3083A"/>
    <w:rsid w:val="00A31E23"/>
    <w:rsid w:val="00A3370E"/>
    <w:rsid w:val="00A33A15"/>
    <w:rsid w:val="00A34AEC"/>
    <w:rsid w:val="00A410AC"/>
    <w:rsid w:val="00A43912"/>
    <w:rsid w:val="00A448AA"/>
    <w:rsid w:val="00A44CEB"/>
    <w:rsid w:val="00A44D1B"/>
    <w:rsid w:val="00A52FAF"/>
    <w:rsid w:val="00A531B4"/>
    <w:rsid w:val="00A54A6D"/>
    <w:rsid w:val="00A601C6"/>
    <w:rsid w:val="00A62499"/>
    <w:rsid w:val="00A6272D"/>
    <w:rsid w:val="00A63B01"/>
    <w:rsid w:val="00A65712"/>
    <w:rsid w:val="00A67CF0"/>
    <w:rsid w:val="00A72C70"/>
    <w:rsid w:val="00A74724"/>
    <w:rsid w:val="00A800FF"/>
    <w:rsid w:val="00A80B1C"/>
    <w:rsid w:val="00A80E90"/>
    <w:rsid w:val="00A81CF8"/>
    <w:rsid w:val="00A8403F"/>
    <w:rsid w:val="00A91829"/>
    <w:rsid w:val="00A95227"/>
    <w:rsid w:val="00A96307"/>
    <w:rsid w:val="00A9733C"/>
    <w:rsid w:val="00AA07CE"/>
    <w:rsid w:val="00AA17A3"/>
    <w:rsid w:val="00AA2701"/>
    <w:rsid w:val="00AA4884"/>
    <w:rsid w:val="00AA4FEB"/>
    <w:rsid w:val="00AA5F53"/>
    <w:rsid w:val="00AB1235"/>
    <w:rsid w:val="00AB2081"/>
    <w:rsid w:val="00AB4B94"/>
    <w:rsid w:val="00AB6320"/>
    <w:rsid w:val="00AC46B3"/>
    <w:rsid w:val="00AC4838"/>
    <w:rsid w:val="00AD062D"/>
    <w:rsid w:val="00AD3BFF"/>
    <w:rsid w:val="00AD3D7E"/>
    <w:rsid w:val="00AD6356"/>
    <w:rsid w:val="00AE18A5"/>
    <w:rsid w:val="00AE2599"/>
    <w:rsid w:val="00AE4D4B"/>
    <w:rsid w:val="00AE70E2"/>
    <w:rsid w:val="00AF0691"/>
    <w:rsid w:val="00AF19C9"/>
    <w:rsid w:val="00AF27C6"/>
    <w:rsid w:val="00AF7972"/>
    <w:rsid w:val="00AF7C2C"/>
    <w:rsid w:val="00B0066F"/>
    <w:rsid w:val="00B04572"/>
    <w:rsid w:val="00B04B43"/>
    <w:rsid w:val="00B07291"/>
    <w:rsid w:val="00B1077B"/>
    <w:rsid w:val="00B1130C"/>
    <w:rsid w:val="00B14120"/>
    <w:rsid w:val="00B141C4"/>
    <w:rsid w:val="00B15268"/>
    <w:rsid w:val="00B15641"/>
    <w:rsid w:val="00B2210D"/>
    <w:rsid w:val="00B22416"/>
    <w:rsid w:val="00B2482E"/>
    <w:rsid w:val="00B24AD0"/>
    <w:rsid w:val="00B257BE"/>
    <w:rsid w:val="00B26E27"/>
    <w:rsid w:val="00B32469"/>
    <w:rsid w:val="00B35831"/>
    <w:rsid w:val="00B406F4"/>
    <w:rsid w:val="00B445C5"/>
    <w:rsid w:val="00B44757"/>
    <w:rsid w:val="00B44A5A"/>
    <w:rsid w:val="00B500A6"/>
    <w:rsid w:val="00B51EC9"/>
    <w:rsid w:val="00B5440F"/>
    <w:rsid w:val="00B62580"/>
    <w:rsid w:val="00B71383"/>
    <w:rsid w:val="00B76119"/>
    <w:rsid w:val="00B76A92"/>
    <w:rsid w:val="00B80079"/>
    <w:rsid w:val="00B80A8F"/>
    <w:rsid w:val="00B80EB9"/>
    <w:rsid w:val="00B82154"/>
    <w:rsid w:val="00B836CF"/>
    <w:rsid w:val="00B877EE"/>
    <w:rsid w:val="00B90353"/>
    <w:rsid w:val="00B90D8D"/>
    <w:rsid w:val="00B93F44"/>
    <w:rsid w:val="00BA0107"/>
    <w:rsid w:val="00BA19DC"/>
    <w:rsid w:val="00BA43AE"/>
    <w:rsid w:val="00BA5A82"/>
    <w:rsid w:val="00BA6121"/>
    <w:rsid w:val="00BB22F5"/>
    <w:rsid w:val="00BB25C6"/>
    <w:rsid w:val="00BB64A5"/>
    <w:rsid w:val="00BC2CDF"/>
    <w:rsid w:val="00BD01CF"/>
    <w:rsid w:val="00BD07CA"/>
    <w:rsid w:val="00BD08A9"/>
    <w:rsid w:val="00BD24CC"/>
    <w:rsid w:val="00BD3620"/>
    <w:rsid w:val="00BD5B80"/>
    <w:rsid w:val="00BE1E8B"/>
    <w:rsid w:val="00BE3BFA"/>
    <w:rsid w:val="00BE6D63"/>
    <w:rsid w:val="00BF3C09"/>
    <w:rsid w:val="00BF4262"/>
    <w:rsid w:val="00BF4697"/>
    <w:rsid w:val="00C0124C"/>
    <w:rsid w:val="00C017F7"/>
    <w:rsid w:val="00C01B71"/>
    <w:rsid w:val="00C06DED"/>
    <w:rsid w:val="00C06EB9"/>
    <w:rsid w:val="00C07636"/>
    <w:rsid w:val="00C1388E"/>
    <w:rsid w:val="00C13D25"/>
    <w:rsid w:val="00C1637C"/>
    <w:rsid w:val="00C247FB"/>
    <w:rsid w:val="00C27F2D"/>
    <w:rsid w:val="00C32ED8"/>
    <w:rsid w:val="00C35402"/>
    <w:rsid w:val="00C3747E"/>
    <w:rsid w:val="00C417DB"/>
    <w:rsid w:val="00C4241C"/>
    <w:rsid w:val="00C4334D"/>
    <w:rsid w:val="00C457A0"/>
    <w:rsid w:val="00C468B9"/>
    <w:rsid w:val="00C46C67"/>
    <w:rsid w:val="00C500F7"/>
    <w:rsid w:val="00C54184"/>
    <w:rsid w:val="00C62BEB"/>
    <w:rsid w:val="00C63982"/>
    <w:rsid w:val="00C67573"/>
    <w:rsid w:val="00C70D72"/>
    <w:rsid w:val="00C712E8"/>
    <w:rsid w:val="00C720F5"/>
    <w:rsid w:val="00C757FD"/>
    <w:rsid w:val="00C80973"/>
    <w:rsid w:val="00C80AD9"/>
    <w:rsid w:val="00C84C98"/>
    <w:rsid w:val="00C859EF"/>
    <w:rsid w:val="00C91925"/>
    <w:rsid w:val="00C91D55"/>
    <w:rsid w:val="00C9492D"/>
    <w:rsid w:val="00C949B0"/>
    <w:rsid w:val="00CA091B"/>
    <w:rsid w:val="00CA196B"/>
    <w:rsid w:val="00CA6796"/>
    <w:rsid w:val="00CB0E24"/>
    <w:rsid w:val="00CB25B1"/>
    <w:rsid w:val="00CB37B9"/>
    <w:rsid w:val="00CB5AFF"/>
    <w:rsid w:val="00CB6E4A"/>
    <w:rsid w:val="00CB7427"/>
    <w:rsid w:val="00CD311F"/>
    <w:rsid w:val="00CD4DCB"/>
    <w:rsid w:val="00CD7BB6"/>
    <w:rsid w:val="00CE0903"/>
    <w:rsid w:val="00CE0BF9"/>
    <w:rsid w:val="00CE2347"/>
    <w:rsid w:val="00CE2E3D"/>
    <w:rsid w:val="00CE6332"/>
    <w:rsid w:val="00CF14D1"/>
    <w:rsid w:val="00CF730D"/>
    <w:rsid w:val="00CF7C44"/>
    <w:rsid w:val="00D00E82"/>
    <w:rsid w:val="00D01AE7"/>
    <w:rsid w:val="00D05BF4"/>
    <w:rsid w:val="00D06399"/>
    <w:rsid w:val="00D06B76"/>
    <w:rsid w:val="00D06DB1"/>
    <w:rsid w:val="00D11D89"/>
    <w:rsid w:val="00D15A87"/>
    <w:rsid w:val="00D205FD"/>
    <w:rsid w:val="00D20BF0"/>
    <w:rsid w:val="00D216FE"/>
    <w:rsid w:val="00D251AC"/>
    <w:rsid w:val="00D261DB"/>
    <w:rsid w:val="00D32D65"/>
    <w:rsid w:val="00D46A0C"/>
    <w:rsid w:val="00D52B86"/>
    <w:rsid w:val="00D53329"/>
    <w:rsid w:val="00D57137"/>
    <w:rsid w:val="00D607A4"/>
    <w:rsid w:val="00D610AE"/>
    <w:rsid w:val="00D63B32"/>
    <w:rsid w:val="00D6465E"/>
    <w:rsid w:val="00D64F7A"/>
    <w:rsid w:val="00D65E32"/>
    <w:rsid w:val="00D70D83"/>
    <w:rsid w:val="00D714EF"/>
    <w:rsid w:val="00D742CF"/>
    <w:rsid w:val="00D81076"/>
    <w:rsid w:val="00D84045"/>
    <w:rsid w:val="00D878A0"/>
    <w:rsid w:val="00D9165B"/>
    <w:rsid w:val="00D94F6C"/>
    <w:rsid w:val="00D96749"/>
    <w:rsid w:val="00DA50AC"/>
    <w:rsid w:val="00DB3594"/>
    <w:rsid w:val="00DB43F6"/>
    <w:rsid w:val="00DB6CDA"/>
    <w:rsid w:val="00DC2808"/>
    <w:rsid w:val="00DC2C77"/>
    <w:rsid w:val="00DC2C8B"/>
    <w:rsid w:val="00DC2C9A"/>
    <w:rsid w:val="00DC39BC"/>
    <w:rsid w:val="00DC462B"/>
    <w:rsid w:val="00DD005C"/>
    <w:rsid w:val="00DD2E9D"/>
    <w:rsid w:val="00DD47B4"/>
    <w:rsid w:val="00DE1E38"/>
    <w:rsid w:val="00DE37EA"/>
    <w:rsid w:val="00DE3D86"/>
    <w:rsid w:val="00DE5D89"/>
    <w:rsid w:val="00DF4AA6"/>
    <w:rsid w:val="00DF7DBA"/>
    <w:rsid w:val="00E007AD"/>
    <w:rsid w:val="00E01500"/>
    <w:rsid w:val="00E02722"/>
    <w:rsid w:val="00E02775"/>
    <w:rsid w:val="00E0298F"/>
    <w:rsid w:val="00E05221"/>
    <w:rsid w:val="00E05E81"/>
    <w:rsid w:val="00E073F6"/>
    <w:rsid w:val="00E11440"/>
    <w:rsid w:val="00E14B00"/>
    <w:rsid w:val="00E15B2D"/>
    <w:rsid w:val="00E16636"/>
    <w:rsid w:val="00E21A7F"/>
    <w:rsid w:val="00E22F11"/>
    <w:rsid w:val="00E253F5"/>
    <w:rsid w:val="00E26435"/>
    <w:rsid w:val="00E304EE"/>
    <w:rsid w:val="00E32516"/>
    <w:rsid w:val="00E32BFD"/>
    <w:rsid w:val="00E3463F"/>
    <w:rsid w:val="00E41780"/>
    <w:rsid w:val="00E41F39"/>
    <w:rsid w:val="00E4319E"/>
    <w:rsid w:val="00E444CD"/>
    <w:rsid w:val="00E46A6F"/>
    <w:rsid w:val="00E512F4"/>
    <w:rsid w:val="00E5297B"/>
    <w:rsid w:val="00E52F68"/>
    <w:rsid w:val="00E532E0"/>
    <w:rsid w:val="00E53A77"/>
    <w:rsid w:val="00E542CD"/>
    <w:rsid w:val="00E54FC6"/>
    <w:rsid w:val="00E566EB"/>
    <w:rsid w:val="00E70192"/>
    <w:rsid w:val="00E73056"/>
    <w:rsid w:val="00E73875"/>
    <w:rsid w:val="00E748D7"/>
    <w:rsid w:val="00E774B0"/>
    <w:rsid w:val="00E777BC"/>
    <w:rsid w:val="00E8132F"/>
    <w:rsid w:val="00E82B0F"/>
    <w:rsid w:val="00E8302D"/>
    <w:rsid w:val="00E83340"/>
    <w:rsid w:val="00E85A3D"/>
    <w:rsid w:val="00E90B28"/>
    <w:rsid w:val="00E93C3B"/>
    <w:rsid w:val="00E94EAD"/>
    <w:rsid w:val="00E97823"/>
    <w:rsid w:val="00EA1A21"/>
    <w:rsid w:val="00EA5966"/>
    <w:rsid w:val="00EA6005"/>
    <w:rsid w:val="00EA610D"/>
    <w:rsid w:val="00EB16E2"/>
    <w:rsid w:val="00EB1ABC"/>
    <w:rsid w:val="00EB2009"/>
    <w:rsid w:val="00EB2C30"/>
    <w:rsid w:val="00EB3FCC"/>
    <w:rsid w:val="00EB7AF1"/>
    <w:rsid w:val="00EC037A"/>
    <w:rsid w:val="00EC6D25"/>
    <w:rsid w:val="00ED1B4C"/>
    <w:rsid w:val="00ED2B7B"/>
    <w:rsid w:val="00ED6095"/>
    <w:rsid w:val="00ED757B"/>
    <w:rsid w:val="00EE0695"/>
    <w:rsid w:val="00EE226A"/>
    <w:rsid w:val="00EE3B2D"/>
    <w:rsid w:val="00EF1CDF"/>
    <w:rsid w:val="00EF2733"/>
    <w:rsid w:val="00EF4286"/>
    <w:rsid w:val="00EF5F69"/>
    <w:rsid w:val="00EF7653"/>
    <w:rsid w:val="00F01C88"/>
    <w:rsid w:val="00F02494"/>
    <w:rsid w:val="00F05E30"/>
    <w:rsid w:val="00F13A83"/>
    <w:rsid w:val="00F150B3"/>
    <w:rsid w:val="00F17666"/>
    <w:rsid w:val="00F2274F"/>
    <w:rsid w:val="00F228AD"/>
    <w:rsid w:val="00F255D3"/>
    <w:rsid w:val="00F2603B"/>
    <w:rsid w:val="00F301CE"/>
    <w:rsid w:val="00F304D5"/>
    <w:rsid w:val="00F31509"/>
    <w:rsid w:val="00F3178F"/>
    <w:rsid w:val="00F31AAA"/>
    <w:rsid w:val="00F35597"/>
    <w:rsid w:val="00F419F3"/>
    <w:rsid w:val="00F441D0"/>
    <w:rsid w:val="00F449C6"/>
    <w:rsid w:val="00F53012"/>
    <w:rsid w:val="00F5550E"/>
    <w:rsid w:val="00F573D0"/>
    <w:rsid w:val="00F5751E"/>
    <w:rsid w:val="00F60E97"/>
    <w:rsid w:val="00F61868"/>
    <w:rsid w:val="00F649C0"/>
    <w:rsid w:val="00F64D40"/>
    <w:rsid w:val="00F64FE0"/>
    <w:rsid w:val="00F655D7"/>
    <w:rsid w:val="00F719CD"/>
    <w:rsid w:val="00F75238"/>
    <w:rsid w:val="00F756BD"/>
    <w:rsid w:val="00F76DCF"/>
    <w:rsid w:val="00F811C0"/>
    <w:rsid w:val="00F81AE7"/>
    <w:rsid w:val="00F81F1B"/>
    <w:rsid w:val="00F83664"/>
    <w:rsid w:val="00F83C92"/>
    <w:rsid w:val="00F857C8"/>
    <w:rsid w:val="00F90434"/>
    <w:rsid w:val="00F920FE"/>
    <w:rsid w:val="00F955A7"/>
    <w:rsid w:val="00F95981"/>
    <w:rsid w:val="00F9617E"/>
    <w:rsid w:val="00F96921"/>
    <w:rsid w:val="00FA1C5E"/>
    <w:rsid w:val="00FA3F98"/>
    <w:rsid w:val="00FA7BE2"/>
    <w:rsid w:val="00FB12DF"/>
    <w:rsid w:val="00FB13E7"/>
    <w:rsid w:val="00FB1802"/>
    <w:rsid w:val="00FB1C8E"/>
    <w:rsid w:val="00FB53F6"/>
    <w:rsid w:val="00FB5DAD"/>
    <w:rsid w:val="00FB6315"/>
    <w:rsid w:val="00FC0360"/>
    <w:rsid w:val="00FC5A62"/>
    <w:rsid w:val="00FC5D04"/>
    <w:rsid w:val="00FC6477"/>
    <w:rsid w:val="00FD11AB"/>
    <w:rsid w:val="00FD1CAB"/>
    <w:rsid w:val="00FD2564"/>
    <w:rsid w:val="00FD35B6"/>
    <w:rsid w:val="00FD5239"/>
    <w:rsid w:val="00FE0776"/>
    <w:rsid w:val="00FE38DB"/>
    <w:rsid w:val="00FE4E53"/>
    <w:rsid w:val="00FF08C8"/>
    <w:rsid w:val="00FF174D"/>
    <w:rsid w:val="00FF513B"/>
    <w:rsid w:val="00FF5210"/>
    <w:rsid w:val="00FF697C"/>
    <w:rsid w:val="3D03C2F7"/>
    <w:rsid w:val="483DA69D"/>
    <w:rsid w:val="50422CBD"/>
    <w:rsid w:val="60226960"/>
    <w:rsid w:val="726F4BD4"/>
    <w:rsid w:val="76D9A7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0"/>
    <w:lsdException w:name="toc 6" w:uiPriority="0"/>
    <w:lsdException w:name="toc 7" w:uiPriority="0"/>
    <w:lsdException w:name="toc 8" w:uiPriority="0"/>
    <w:lsdException w:name="toc 9" w:uiPriority="0"/>
    <w:lsdException w:name="footnote text" w:qFormat="1"/>
    <w:lsdException w:name="caption" w:semiHidden="0" w:uiPriority="35" w:unhideWhenUsed="0" w:qFormat="1"/>
    <w:lsdException w:name="table of figures" w:qFormat="1"/>
    <w:lsdException w:name="footnote reference" w:qFormat="1"/>
    <w:lsdException w:name="page number" w:uiPriority="0"/>
    <w:lsdException w:name="endnote reference" w:uiPriority="0"/>
    <w:lsdException w:name="Lis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Date" w:qFormat="1"/>
    <w:lsdException w:name="Strong" w:semiHidden="0" w:uiPriority="22" w:unhideWhenUsed="0" w:qFormat="1"/>
    <w:lsdException w:name="Emphasis" w:semiHidden="0" w:uiPriority="20" w:unhideWhenUsed="0" w:qFormat="1"/>
    <w:lsdException w:name="Table Simple 2" w:uiPriority="0"/>
    <w:lsdException w:name="Table Classic 1"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0" w:qFormat="1"/>
    <w:lsdException w:name="TOC Heading" w:uiPriority="39" w:qFormat="1"/>
  </w:latentStyles>
  <w:style w:type="paragraph" w:default="1" w:styleId="Normal">
    <w:name w:val="Normal"/>
    <w:aliases w:val="figure note"/>
    <w:qFormat/>
    <w:rsid w:val="00AE18A5"/>
    <w:pPr>
      <w:suppressAutoHyphens/>
      <w:spacing w:after="200" w:line="276" w:lineRule="auto"/>
    </w:pPr>
    <w:rPr>
      <w:rFonts w:ascii="Book Antiqua" w:eastAsia="Arial" w:hAnsi="Book Antiqua" w:cs="Arial"/>
      <w:sz w:val="22"/>
      <w:szCs w:val="22"/>
      <w:lang w:val="en-US" w:eastAsia="ar-SA"/>
    </w:rPr>
  </w:style>
  <w:style w:type="paragraph" w:styleId="Heading1">
    <w:name w:val="heading 1"/>
    <w:basedOn w:val="Normal"/>
    <w:next w:val="Normal"/>
    <w:link w:val="Heading1Char"/>
    <w:autoRedefine/>
    <w:uiPriority w:val="9"/>
    <w:qFormat/>
    <w:rsid w:val="00AE18A5"/>
    <w:pPr>
      <w:keepNext/>
      <w:pageBreakBefore/>
      <w:spacing w:before="240" w:after="60"/>
      <w:jc w:val="both"/>
      <w:outlineLvl w:val="0"/>
    </w:pPr>
    <w:rPr>
      <w:rFonts w:ascii="Times New Roman" w:eastAsia="Times New Roman" w:hAnsi="Times New Roman" w:cs="Times New Roman"/>
      <w:b/>
      <w:bCs/>
      <w:color w:val="1F497D" w:themeColor="text2"/>
      <w:kern w:val="28"/>
      <w:sz w:val="28"/>
      <w:szCs w:val="32"/>
      <w:lang w:val="en-GB"/>
    </w:rPr>
  </w:style>
  <w:style w:type="paragraph" w:styleId="Heading2">
    <w:name w:val="heading 2"/>
    <w:basedOn w:val="Normal"/>
    <w:next w:val="Normal"/>
    <w:link w:val="Heading2Char"/>
    <w:autoRedefine/>
    <w:uiPriority w:val="9"/>
    <w:qFormat/>
    <w:rsid w:val="00AE18A5"/>
    <w:pPr>
      <w:keepNext/>
      <w:numPr>
        <w:ilvl w:val="1"/>
        <w:numId w:val="1"/>
      </w:numPr>
      <w:ind w:left="0" w:firstLine="0"/>
      <w:jc w:val="both"/>
      <w:outlineLvl w:val="1"/>
    </w:pPr>
    <w:rPr>
      <w:rFonts w:ascii="Times New Roman" w:eastAsia="Times New Roman" w:hAnsi="Times New Roman" w:cs="Times New Roman"/>
      <w:bCs/>
      <w:i/>
      <w:iCs/>
      <w:lang w:val="en-GB"/>
    </w:rPr>
  </w:style>
  <w:style w:type="paragraph" w:styleId="Heading3">
    <w:name w:val="heading 3"/>
    <w:basedOn w:val="Normal"/>
    <w:next w:val="Normal"/>
    <w:link w:val="Heading3Char"/>
    <w:uiPriority w:val="9"/>
    <w:qFormat/>
    <w:rsid w:val="00AE18A5"/>
    <w:pPr>
      <w:keepNext/>
      <w:numPr>
        <w:ilvl w:val="2"/>
        <w:numId w:val="1"/>
      </w:numPr>
      <w:spacing w:before="240" w:after="60"/>
      <w:outlineLvl w:val="2"/>
    </w:pPr>
    <w:rPr>
      <w:rFonts w:ascii="Cambria" w:eastAsia="Times New Roman" w:hAnsi="Cambria" w:cs="Times New Roman"/>
      <w:b/>
      <w:bCs/>
      <w:color w:val="1F497D" w:themeColor="text2"/>
      <w:sz w:val="24"/>
      <w:szCs w:val="26"/>
    </w:rPr>
  </w:style>
  <w:style w:type="paragraph" w:styleId="Heading4">
    <w:name w:val="heading 4"/>
    <w:basedOn w:val="Normal"/>
    <w:next w:val="Normal"/>
    <w:link w:val="Heading4Char"/>
    <w:uiPriority w:val="9"/>
    <w:qFormat/>
    <w:rsid w:val="00AE18A5"/>
    <w:pPr>
      <w:keepNext/>
      <w:numPr>
        <w:ilvl w:val="3"/>
        <w:numId w:val="1"/>
      </w:numPr>
      <w:spacing w:before="240" w:after="60"/>
      <w:outlineLvl w:val="3"/>
    </w:pPr>
    <w:rPr>
      <w:rFonts w:ascii="Calibri" w:eastAsia="Times New Roman" w:hAnsi="Calibri" w:cs="Times New Roman"/>
      <w:bCs/>
      <w:color w:val="1F497D" w:themeColor="text2"/>
      <w:sz w:val="24"/>
      <w:szCs w:val="28"/>
    </w:rPr>
  </w:style>
  <w:style w:type="paragraph" w:styleId="Heading5">
    <w:name w:val="heading 5"/>
    <w:basedOn w:val="Normal"/>
    <w:next w:val="Normal"/>
    <w:link w:val="Heading5Char"/>
    <w:uiPriority w:val="9"/>
    <w:unhideWhenUsed/>
    <w:qFormat/>
    <w:rsid w:val="00AE18A5"/>
    <w:pPr>
      <w:keepNext/>
      <w:keepLines/>
      <w:suppressAutoHyphens w:val="0"/>
      <w:spacing w:before="200" w:after="0" w:line="240" w:lineRule="auto"/>
      <w:outlineLvl w:val="4"/>
    </w:pPr>
    <w:rPr>
      <w:rFonts w:asciiTheme="majorHAnsi" w:eastAsiaTheme="majorEastAsia" w:hAnsiTheme="majorHAnsi" w:cstheme="majorBidi"/>
      <w:i/>
      <w:iCs/>
      <w:color w:val="4F81BD" w:themeColor="accent1"/>
      <w:sz w:val="24"/>
      <w:szCs w:val="24"/>
      <w:lang w:eastAsia="en-US"/>
    </w:rPr>
  </w:style>
  <w:style w:type="paragraph" w:styleId="Heading6">
    <w:name w:val="heading 6"/>
    <w:basedOn w:val="Normal"/>
    <w:next w:val="Normal"/>
    <w:link w:val="Heading6Char"/>
    <w:uiPriority w:val="9"/>
    <w:semiHidden/>
    <w:unhideWhenUsed/>
    <w:qFormat/>
    <w:rsid w:val="00AE18A5"/>
    <w:pPr>
      <w:keepNext/>
      <w:keepLines/>
      <w:suppressAutoHyphens w:val="0"/>
      <w:spacing w:before="200" w:after="0"/>
      <w:outlineLvl w:val="5"/>
    </w:pPr>
    <w:rPr>
      <w:rFonts w:asciiTheme="majorHAnsi" w:eastAsiaTheme="majorEastAsia" w:hAnsiTheme="majorHAnsi" w:cstheme="majorBidi"/>
      <w:i/>
      <w:iCs/>
      <w:color w:val="243F60" w:themeColor="accent1" w:themeShade="7F"/>
      <w:sz w:val="20"/>
      <w:lang w:eastAsia="en-US" w:bidi="en-US"/>
    </w:rPr>
  </w:style>
  <w:style w:type="paragraph" w:styleId="Heading7">
    <w:name w:val="heading 7"/>
    <w:basedOn w:val="Normal"/>
    <w:next w:val="Normal"/>
    <w:link w:val="Heading7Char"/>
    <w:uiPriority w:val="9"/>
    <w:semiHidden/>
    <w:unhideWhenUsed/>
    <w:qFormat/>
    <w:rsid w:val="00AE18A5"/>
    <w:pPr>
      <w:keepNext/>
      <w:keepLines/>
      <w:suppressAutoHyphens w:val="0"/>
      <w:spacing w:before="200" w:after="0"/>
      <w:outlineLvl w:val="6"/>
    </w:pPr>
    <w:rPr>
      <w:rFonts w:asciiTheme="majorHAnsi" w:eastAsiaTheme="majorEastAsia" w:hAnsiTheme="majorHAnsi" w:cstheme="majorBidi"/>
      <w:i/>
      <w:iCs/>
      <w:color w:val="404040" w:themeColor="text1" w:themeTint="BF"/>
      <w:sz w:val="20"/>
      <w:lang w:eastAsia="en-US" w:bidi="en-US"/>
    </w:rPr>
  </w:style>
  <w:style w:type="paragraph" w:styleId="Heading8">
    <w:name w:val="heading 8"/>
    <w:basedOn w:val="Normal"/>
    <w:next w:val="Normal"/>
    <w:link w:val="Heading8Char"/>
    <w:uiPriority w:val="9"/>
    <w:semiHidden/>
    <w:unhideWhenUsed/>
    <w:qFormat/>
    <w:rsid w:val="00AE18A5"/>
    <w:pPr>
      <w:keepNext/>
      <w:keepLines/>
      <w:suppressAutoHyphens w:val="0"/>
      <w:spacing w:before="200" w:after="0"/>
      <w:outlineLvl w:val="7"/>
    </w:pPr>
    <w:rPr>
      <w:rFonts w:asciiTheme="majorHAnsi" w:eastAsiaTheme="majorEastAsia" w:hAnsiTheme="majorHAnsi" w:cstheme="majorBidi"/>
      <w:color w:val="4F81BD" w:themeColor="accent1"/>
      <w:sz w:val="20"/>
      <w:szCs w:val="20"/>
      <w:lang w:eastAsia="en-US" w:bidi="en-US"/>
    </w:rPr>
  </w:style>
  <w:style w:type="paragraph" w:styleId="Heading9">
    <w:name w:val="heading 9"/>
    <w:basedOn w:val="Normal"/>
    <w:next w:val="Normal"/>
    <w:link w:val="Heading9Char"/>
    <w:uiPriority w:val="9"/>
    <w:semiHidden/>
    <w:unhideWhenUsed/>
    <w:qFormat/>
    <w:rsid w:val="00AE18A5"/>
    <w:pPr>
      <w:keepNext/>
      <w:keepLines/>
      <w:suppressAutoHyphens w:val="0"/>
      <w:spacing w:before="200" w:after="0"/>
      <w:outlineLvl w:val="8"/>
    </w:pPr>
    <w:rPr>
      <w:rFonts w:asciiTheme="majorHAnsi" w:eastAsiaTheme="majorEastAsia" w:hAnsiTheme="majorHAnsi" w:cstheme="majorBidi"/>
      <w:i/>
      <w:iCs/>
      <w:color w:val="404040" w:themeColor="text1" w:themeTint="BF"/>
      <w:sz w:val="20"/>
      <w:szCs w:val="20"/>
      <w:lang w:eastAsia="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4F65E4"/>
    <w:rPr>
      <w:rFonts w:asciiTheme="majorHAnsi" w:eastAsiaTheme="majorEastAsia" w:hAnsiTheme="majorHAnsi" w:cstheme="majorBidi"/>
      <w:i/>
      <w:iCs/>
      <w:color w:val="4F81BD" w:themeColor="accent1"/>
      <w:sz w:val="24"/>
      <w:szCs w:val="24"/>
      <w:lang w:val="en-US" w:eastAsia="en-US"/>
    </w:rPr>
  </w:style>
  <w:style w:type="character" w:customStyle="1" w:styleId="WW8Num2z0">
    <w:name w:val="WW8Num2z0"/>
    <w:rsid w:val="0093464A"/>
    <w:rPr>
      <w:rFonts w:ascii="Symbol" w:hAnsi="Symbol"/>
    </w:rPr>
  </w:style>
  <w:style w:type="character" w:customStyle="1" w:styleId="WW8Num3z0">
    <w:name w:val="WW8Num3z0"/>
    <w:rsid w:val="0093464A"/>
    <w:rPr>
      <w:rFonts w:ascii="Symbol" w:hAnsi="Symbol"/>
    </w:rPr>
  </w:style>
  <w:style w:type="character" w:customStyle="1" w:styleId="WW8Num4z0">
    <w:name w:val="WW8Num4z0"/>
    <w:rsid w:val="0093464A"/>
    <w:rPr>
      <w:rFonts w:ascii="Symbol" w:hAnsi="Symbol"/>
    </w:rPr>
  </w:style>
  <w:style w:type="character" w:customStyle="1" w:styleId="WW8Num5z0">
    <w:name w:val="WW8Num5z0"/>
    <w:rsid w:val="0093464A"/>
    <w:rPr>
      <w:rFonts w:ascii="Symbol" w:hAnsi="Symbol"/>
    </w:rPr>
  </w:style>
  <w:style w:type="character" w:customStyle="1" w:styleId="WW8Num6z0">
    <w:name w:val="WW8Num6z0"/>
    <w:rsid w:val="0093464A"/>
    <w:rPr>
      <w:rFonts w:ascii="Symbol" w:hAnsi="Symbol"/>
    </w:rPr>
  </w:style>
  <w:style w:type="character" w:customStyle="1" w:styleId="DefaultParagraphFont1">
    <w:name w:val="Default Paragraph Font1"/>
    <w:rsid w:val="0093464A"/>
  </w:style>
  <w:style w:type="character" w:customStyle="1" w:styleId="WW8Num7z0">
    <w:name w:val="WW8Num7z0"/>
    <w:rsid w:val="0093464A"/>
    <w:rPr>
      <w:rFonts w:ascii="Symbol" w:hAnsi="Symbol"/>
    </w:rPr>
  </w:style>
  <w:style w:type="character" w:customStyle="1" w:styleId="WW8Num8z0">
    <w:name w:val="WW8Num8z0"/>
    <w:rsid w:val="0093464A"/>
    <w:rPr>
      <w:rFonts w:ascii="Symbol" w:hAnsi="Symbol"/>
    </w:rPr>
  </w:style>
  <w:style w:type="character" w:customStyle="1" w:styleId="WW8Num10z0">
    <w:name w:val="WW8Num10z0"/>
    <w:rsid w:val="0093464A"/>
    <w:rPr>
      <w:rFonts w:ascii="Symbol" w:hAnsi="Symbol"/>
    </w:rPr>
  </w:style>
  <w:style w:type="character" w:customStyle="1" w:styleId="WW8Num13z0">
    <w:name w:val="WW8Num13z0"/>
    <w:rsid w:val="0093464A"/>
    <w:rPr>
      <w:rFonts w:ascii="Symbol" w:hAnsi="Symbol"/>
    </w:rPr>
  </w:style>
  <w:style w:type="character" w:customStyle="1" w:styleId="WW8Num13z1">
    <w:name w:val="WW8Num13z1"/>
    <w:rsid w:val="0093464A"/>
    <w:rPr>
      <w:rFonts w:ascii="Courier New" w:hAnsi="Courier New" w:cs="Courier New"/>
    </w:rPr>
  </w:style>
  <w:style w:type="character" w:customStyle="1" w:styleId="WW8Num13z2">
    <w:name w:val="WW8Num13z2"/>
    <w:rsid w:val="0093464A"/>
    <w:rPr>
      <w:rFonts w:ascii="Wingdings" w:hAnsi="Wingdings"/>
    </w:rPr>
  </w:style>
  <w:style w:type="character" w:customStyle="1" w:styleId="WW8Num14z0">
    <w:name w:val="WW8Num14z0"/>
    <w:rsid w:val="0093464A"/>
    <w:rPr>
      <w:rFonts w:ascii="Symbol" w:hAnsi="Symbol"/>
    </w:rPr>
  </w:style>
  <w:style w:type="character" w:customStyle="1" w:styleId="WW8Num14z1">
    <w:name w:val="WW8Num14z1"/>
    <w:rsid w:val="0093464A"/>
    <w:rPr>
      <w:rFonts w:ascii="Courier New" w:hAnsi="Courier New" w:cs="Courier New"/>
    </w:rPr>
  </w:style>
  <w:style w:type="character" w:customStyle="1" w:styleId="WW8Num14z2">
    <w:name w:val="WW8Num14z2"/>
    <w:rsid w:val="0093464A"/>
    <w:rPr>
      <w:rFonts w:ascii="Wingdings" w:hAnsi="Wingdings"/>
    </w:rPr>
  </w:style>
  <w:style w:type="character" w:customStyle="1" w:styleId="WW8Num15z0">
    <w:name w:val="WW8Num15z0"/>
    <w:rsid w:val="0093464A"/>
    <w:rPr>
      <w:rFonts w:ascii="Symbol" w:hAnsi="Symbol"/>
    </w:rPr>
  </w:style>
  <w:style w:type="character" w:customStyle="1" w:styleId="WW8Num15z1">
    <w:name w:val="WW8Num15z1"/>
    <w:rsid w:val="0093464A"/>
    <w:rPr>
      <w:rFonts w:ascii="Courier New" w:hAnsi="Courier New" w:cs="Courier New"/>
    </w:rPr>
  </w:style>
  <w:style w:type="character" w:customStyle="1" w:styleId="WW8Num15z2">
    <w:name w:val="WW8Num15z2"/>
    <w:rsid w:val="0093464A"/>
    <w:rPr>
      <w:rFonts w:ascii="Wingdings" w:hAnsi="Wingdings"/>
    </w:rPr>
  </w:style>
  <w:style w:type="character" w:customStyle="1" w:styleId="WW8Num16z0">
    <w:name w:val="WW8Num16z0"/>
    <w:rsid w:val="0093464A"/>
    <w:rPr>
      <w:rFonts w:ascii="Symbol" w:hAnsi="Symbol"/>
    </w:rPr>
  </w:style>
  <w:style w:type="character" w:customStyle="1" w:styleId="WW8Num16z1">
    <w:name w:val="WW8Num16z1"/>
    <w:rsid w:val="0093464A"/>
    <w:rPr>
      <w:rFonts w:ascii="Courier New" w:hAnsi="Courier New" w:cs="Courier New"/>
    </w:rPr>
  </w:style>
  <w:style w:type="character" w:customStyle="1" w:styleId="WW8Num16z2">
    <w:name w:val="WW8Num16z2"/>
    <w:rsid w:val="0093464A"/>
    <w:rPr>
      <w:rFonts w:ascii="Wingdings" w:hAnsi="Wingdings"/>
    </w:rPr>
  </w:style>
  <w:style w:type="character" w:customStyle="1" w:styleId="WW8Num18z0">
    <w:name w:val="WW8Num18z0"/>
    <w:rsid w:val="0093464A"/>
    <w:rPr>
      <w:sz w:val="28"/>
      <w:szCs w:val="28"/>
    </w:rPr>
  </w:style>
  <w:style w:type="character" w:customStyle="1" w:styleId="WW8Num20z0">
    <w:name w:val="WW8Num20z0"/>
    <w:rsid w:val="0093464A"/>
    <w:rPr>
      <w:rFonts w:ascii="Symbol" w:hAnsi="Symbol"/>
    </w:rPr>
  </w:style>
  <w:style w:type="character" w:customStyle="1" w:styleId="WW8Num21z0">
    <w:name w:val="WW8Num21z0"/>
    <w:rsid w:val="0093464A"/>
    <w:rPr>
      <w:rFonts w:ascii="Symbol" w:hAnsi="Symbol"/>
    </w:rPr>
  </w:style>
  <w:style w:type="character" w:customStyle="1" w:styleId="WW8Num21z1">
    <w:name w:val="WW8Num21z1"/>
    <w:rsid w:val="0093464A"/>
    <w:rPr>
      <w:rFonts w:ascii="Courier New" w:hAnsi="Courier New" w:cs="Courier New"/>
    </w:rPr>
  </w:style>
  <w:style w:type="character" w:customStyle="1" w:styleId="WW8Num21z2">
    <w:name w:val="WW8Num21z2"/>
    <w:rsid w:val="0093464A"/>
    <w:rPr>
      <w:rFonts w:ascii="Wingdings" w:hAnsi="Wingdings"/>
    </w:rPr>
  </w:style>
  <w:style w:type="character" w:customStyle="1" w:styleId="HeaderChar">
    <w:name w:val="Header Char"/>
    <w:basedOn w:val="DefaultParagraphFont1"/>
    <w:link w:val="Header"/>
    <w:uiPriority w:val="99"/>
    <w:rsid w:val="0093464A"/>
    <w:rPr>
      <w:rFonts w:ascii="Book Antiqua" w:eastAsia="Arial" w:hAnsi="Book Antiqua" w:cs="Arial"/>
      <w:sz w:val="22"/>
      <w:szCs w:val="22"/>
      <w:lang w:val="en-US" w:eastAsia="ar-SA"/>
    </w:rPr>
  </w:style>
  <w:style w:type="character" w:customStyle="1" w:styleId="FooterChar">
    <w:name w:val="Footer Char"/>
    <w:basedOn w:val="DefaultParagraphFont1"/>
    <w:link w:val="Footer"/>
    <w:uiPriority w:val="99"/>
    <w:rsid w:val="0093464A"/>
    <w:rPr>
      <w:rFonts w:ascii="Book Antiqua" w:eastAsia="Arial" w:hAnsi="Book Antiqua" w:cs="Arial"/>
      <w:sz w:val="22"/>
      <w:szCs w:val="22"/>
      <w:lang w:val="en-US" w:eastAsia="ar-SA"/>
    </w:rPr>
  </w:style>
  <w:style w:type="character" w:customStyle="1" w:styleId="BalloonTextChar">
    <w:name w:val="Balloon Text Char"/>
    <w:link w:val="BalloonText"/>
    <w:uiPriority w:val="99"/>
    <w:rsid w:val="0093464A"/>
    <w:rPr>
      <w:rFonts w:ascii="Tahoma" w:eastAsia="Arial" w:hAnsi="Tahoma" w:cs="Tahoma"/>
      <w:sz w:val="16"/>
      <w:szCs w:val="16"/>
      <w:lang w:val="en-US" w:eastAsia="ar-SA"/>
    </w:rPr>
  </w:style>
  <w:style w:type="character" w:customStyle="1" w:styleId="FootnoteTextChar">
    <w:name w:val="Footnote Text Char"/>
    <w:aliases w:val="Paragraph Footnote Char"/>
    <w:basedOn w:val="DefaultParagraphFont1"/>
    <w:link w:val="FootnoteText"/>
    <w:uiPriority w:val="99"/>
    <w:qFormat/>
    <w:rsid w:val="0093464A"/>
    <w:rPr>
      <w:rFonts w:ascii="Book Antiqua" w:eastAsia="Arial" w:hAnsi="Book Antiqua" w:cs="Arial"/>
      <w:lang w:val="en-US" w:eastAsia="ar-SA"/>
    </w:rPr>
  </w:style>
  <w:style w:type="character" w:customStyle="1" w:styleId="FootnoteCharacters">
    <w:name w:val="Footnote Characters"/>
    <w:rsid w:val="0093464A"/>
    <w:rPr>
      <w:vertAlign w:val="superscript"/>
    </w:rPr>
  </w:style>
  <w:style w:type="character" w:customStyle="1" w:styleId="Heading1Char">
    <w:name w:val="Heading 1 Char"/>
    <w:link w:val="Heading1"/>
    <w:uiPriority w:val="9"/>
    <w:rsid w:val="0093464A"/>
    <w:rPr>
      <w:b/>
      <w:bCs/>
      <w:color w:val="1F497D" w:themeColor="text2"/>
      <w:kern w:val="28"/>
      <w:sz w:val="28"/>
      <w:szCs w:val="32"/>
      <w:lang w:eastAsia="ar-SA"/>
    </w:rPr>
  </w:style>
  <w:style w:type="character" w:customStyle="1" w:styleId="Heading2Char">
    <w:name w:val="Heading 2 Char"/>
    <w:link w:val="Heading2"/>
    <w:uiPriority w:val="9"/>
    <w:rsid w:val="0093464A"/>
    <w:rPr>
      <w:bCs/>
      <w:i/>
      <w:iCs/>
      <w:sz w:val="22"/>
      <w:szCs w:val="22"/>
      <w:lang w:eastAsia="ar-SA"/>
    </w:rPr>
  </w:style>
  <w:style w:type="character" w:customStyle="1" w:styleId="Heading3Char">
    <w:name w:val="Heading 3 Char"/>
    <w:link w:val="Heading3"/>
    <w:uiPriority w:val="9"/>
    <w:rsid w:val="0093464A"/>
    <w:rPr>
      <w:rFonts w:ascii="Cambria" w:hAnsi="Cambria"/>
      <w:b/>
      <w:bCs/>
      <w:color w:val="1F497D" w:themeColor="text2"/>
      <w:sz w:val="24"/>
      <w:szCs w:val="26"/>
      <w:lang w:val="en-US" w:eastAsia="ar-SA"/>
    </w:rPr>
  </w:style>
  <w:style w:type="character" w:styleId="PageNumber">
    <w:name w:val="page number"/>
    <w:rsid w:val="0093464A"/>
    <w:rPr>
      <w:rFonts w:ascii="Arial" w:hAnsi="Arial"/>
      <w:sz w:val="18"/>
      <w:szCs w:val="18"/>
    </w:rPr>
  </w:style>
  <w:style w:type="character" w:customStyle="1" w:styleId="BodyTextChar">
    <w:name w:val="Body Text Char"/>
    <w:link w:val="ImageCaption"/>
    <w:qFormat/>
    <w:rsid w:val="0093464A"/>
    <w:rPr>
      <w:rFonts w:ascii="Times New Roman" w:eastAsia="SimSun" w:hAnsi="Times New Roman" w:cs="Arial"/>
      <w:sz w:val="22"/>
      <w:szCs w:val="24"/>
    </w:rPr>
  </w:style>
  <w:style w:type="paragraph" w:customStyle="1" w:styleId="ImageCaption">
    <w:name w:val="Image Caption"/>
    <w:basedOn w:val="Normal"/>
    <w:link w:val="BodyTextChar"/>
    <w:rsid w:val="004F65E4"/>
    <w:pPr>
      <w:suppressAutoHyphens w:val="0"/>
      <w:spacing w:after="120" w:line="240" w:lineRule="auto"/>
    </w:pPr>
    <w:rPr>
      <w:rFonts w:ascii="Times New Roman" w:eastAsia="SimSun" w:hAnsi="Times New Roman"/>
      <w:szCs w:val="24"/>
      <w:lang w:val="en-GB" w:eastAsia="en-GB"/>
    </w:rPr>
  </w:style>
  <w:style w:type="character" w:styleId="Hyperlink">
    <w:name w:val="Hyperlink"/>
    <w:uiPriority w:val="99"/>
    <w:rsid w:val="0093464A"/>
    <w:rPr>
      <w:rFonts w:ascii="Book Antiqua" w:hAnsi="Book Antiqua"/>
      <w:smallCaps/>
      <w:color w:val="0000FF"/>
      <w:sz w:val="22"/>
      <w:u w:val="single"/>
      <w:lang w:val="en-US" w:eastAsia="ar-SA" w:bidi="ar-SA"/>
    </w:rPr>
  </w:style>
  <w:style w:type="character" w:customStyle="1" w:styleId="Heading4Char">
    <w:name w:val="Heading 4 Char"/>
    <w:link w:val="Heading4"/>
    <w:uiPriority w:val="9"/>
    <w:rsid w:val="0093464A"/>
    <w:rPr>
      <w:rFonts w:ascii="Calibri" w:hAnsi="Calibri"/>
      <w:bCs/>
      <w:color w:val="1F497D" w:themeColor="text2"/>
      <w:sz w:val="24"/>
      <w:szCs w:val="28"/>
      <w:lang w:val="en-US" w:eastAsia="ar-SA"/>
    </w:rPr>
  </w:style>
  <w:style w:type="character" w:styleId="CommentReference">
    <w:name w:val="annotation reference"/>
    <w:uiPriority w:val="99"/>
    <w:rsid w:val="00AE18A5"/>
    <w:rPr>
      <w:sz w:val="16"/>
      <w:szCs w:val="16"/>
    </w:rPr>
  </w:style>
  <w:style w:type="character" w:customStyle="1" w:styleId="CommentTextChar">
    <w:name w:val="Comment Text Char"/>
    <w:basedOn w:val="DefaultParagraphFont1"/>
    <w:link w:val="CommentText"/>
    <w:uiPriority w:val="99"/>
    <w:rsid w:val="0093464A"/>
    <w:rPr>
      <w:rFonts w:ascii="Book Antiqua" w:eastAsia="Arial" w:hAnsi="Book Antiqua" w:cs="Arial"/>
      <w:lang w:val="en-US" w:eastAsia="ar-SA"/>
    </w:rPr>
  </w:style>
  <w:style w:type="character" w:customStyle="1" w:styleId="CommentSubjectChar">
    <w:name w:val="Comment Subject Char"/>
    <w:link w:val="CommentSubject"/>
    <w:uiPriority w:val="99"/>
    <w:rsid w:val="0093464A"/>
    <w:rPr>
      <w:rFonts w:ascii="Book Antiqua" w:eastAsia="Arial" w:hAnsi="Book Antiqua" w:cs="Arial"/>
      <w:b/>
      <w:bCs/>
      <w:lang w:val="en-US" w:eastAsia="ar-SA"/>
    </w:rPr>
  </w:style>
  <w:style w:type="character" w:customStyle="1" w:styleId="FootnoteReference1">
    <w:name w:val="Footnote Reference1"/>
    <w:rsid w:val="0093464A"/>
    <w:rPr>
      <w:vertAlign w:val="superscript"/>
    </w:rPr>
  </w:style>
  <w:style w:type="character" w:customStyle="1" w:styleId="EndnoteCharacters">
    <w:name w:val="Endnote Characters"/>
    <w:rsid w:val="0093464A"/>
    <w:rPr>
      <w:vertAlign w:val="superscript"/>
    </w:rPr>
  </w:style>
  <w:style w:type="character" w:customStyle="1" w:styleId="WW-EndnoteCharacters">
    <w:name w:val="WW-Endnote Characters"/>
    <w:rsid w:val="0093464A"/>
  </w:style>
  <w:style w:type="character" w:styleId="FootnoteReference">
    <w:name w:val="footnote reference"/>
    <w:uiPriority w:val="99"/>
    <w:qFormat/>
    <w:rsid w:val="00AE18A5"/>
    <w:rPr>
      <w:vertAlign w:val="superscript"/>
    </w:rPr>
  </w:style>
  <w:style w:type="character" w:styleId="EndnoteReference">
    <w:name w:val="endnote reference"/>
    <w:rsid w:val="0093464A"/>
    <w:rPr>
      <w:vertAlign w:val="superscript"/>
    </w:rPr>
  </w:style>
  <w:style w:type="paragraph" w:customStyle="1" w:styleId="Heading">
    <w:name w:val="Heading"/>
    <w:basedOn w:val="Normal"/>
    <w:next w:val="BodyText"/>
    <w:rsid w:val="0093464A"/>
    <w:pPr>
      <w:keepNext/>
      <w:spacing w:before="240" w:after="120"/>
    </w:pPr>
    <w:rPr>
      <w:rFonts w:ascii="Liberation Sans" w:eastAsia="DejaVu Sans" w:hAnsi="Liberation Sans" w:cs="Lohit Hindi"/>
      <w:sz w:val="28"/>
      <w:szCs w:val="28"/>
    </w:rPr>
  </w:style>
  <w:style w:type="paragraph" w:styleId="BodyText">
    <w:name w:val="Body Text"/>
    <w:basedOn w:val="Normal"/>
    <w:rsid w:val="0093464A"/>
    <w:pPr>
      <w:spacing w:after="120" w:line="240" w:lineRule="auto"/>
      <w:ind w:left="567"/>
    </w:pPr>
    <w:rPr>
      <w:rFonts w:ascii="Times New Roman" w:eastAsia="SimSun" w:hAnsi="Times New Roman"/>
      <w:szCs w:val="24"/>
    </w:rPr>
  </w:style>
  <w:style w:type="paragraph" w:styleId="List">
    <w:name w:val="List"/>
    <w:basedOn w:val="BodyText"/>
    <w:rsid w:val="0093464A"/>
    <w:rPr>
      <w:rFonts w:cs="Lohit Hindi"/>
    </w:rPr>
  </w:style>
  <w:style w:type="paragraph" w:styleId="Caption">
    <w:name w:val="caption"/>
    <w:basedOn w:val="Normal"/>
    <w:uiPriority w:val="35"/>
    <w:qFormat/>
    <w:rsid w:val="00AE18A5"/>
    <w:pPr>
      <w:suppressLineNumbers/>
      <w:spacing w:before="120" w:after="120"/>
    </w:pPr>
    <w:rPr>
      <w:rFonts w:cs="Lohit Hindi"/>
      <w:i/>
      <w:iCs/>
      <w:sz w:val="24"/>
      <w:szCs w:val="24"/>
    </w:rPr>
  </w:style>
  <w:style w:type="paragraph" w:customStyle="1" w:styleId="Index">
    <w:name w:val="Index"/>
    <w:basedOn w:val="Normal"/>
    <w:rsid w:val="0093464A"/>
    <w:pPr>
      <w:suppressLineNumbers/>
    </w:pPr>
    <w:rPr>
      <w:rFonts w:cs="Lohit Hindi"/>
    </w:rPr>
  </w:style>
  <w:style w:type="paragraph" w:styleId="Header">
    <w:name w:val="header"/>
    <w:basedOn w:val="Normal"/>
    <w:link w:val="HeaderChar"/>
    <w:uiPriority w:val="99"/>
    <w:rsid w:val="00AE18A5"/>
    <w:pPr>
      <w:spacing w:after="0" w:line="240" w:lineRule="auto"/>
    </w:pPr>
  </w:style>
  <w:style w:type="paragraph" w:styleId="Footer">
    <w:name w:val="footer"/>
    <w:basedOn w:val="Normal"/>
    <w:link w:val="FooterChar"/>
    <w:uiPriority w:val="99"/>
    <w:rsid w:val="00AE18A5"/>
    <w:pPr>
      <w:spacing w:after="0" w:line="240" w:lineRule="auto"/>
    </w:pPr>
  </w:style>
  <w:style w:type="paragraph" w:styleId="BalloonText">
    <w:name w:val="Balloon Text"/>
    <w:basedOn w:val="Normal"/>
    <w:link w:val="BalloonTextChar"/>
    <w:uiPriority w:val="99"/>
    <w:rsid w:val="00AE18A5"/>
    <w:pPr>
      <w:spacing w:after="0" w:line="240" w:lineRule="auto"/>
    </w:pPr>
    <w:rPr>
      <w:rFonts w:ascii="Tahoma" w:hAnsi="Tahoma" w:cs="Tahoma"/>
      <w:sz w:val="16"/>
      <w:szCs w:val="16"/>
    </w:rPr>
  </w:style>
  <w:style w:type="paragraph" w:styleId="FootnoteText">
    <w:name w:val="footnote text"/>
    <w:aliases w:val="Paragraph Footnote"/>
    <w:basedOn w:val="Normal"/>
    <w:link w:val="FootnoteTextChar"/>
    <w:uiPriority w:val="99"/>
    <w:qFormat/>
    <w:rsid w:val="00AE18A5"/>
    <w:rPr>
      <w:sz w:val="20"/>
      <w:szCs w:val="20"/>
    </w:rPr>
  </w:style>
  <w:style w:type="paragraph" w:customStyle="1" w:styleId="CharCharCharCharCharCharCharCharCharCarattereCarattereCharCharCarattereCarattere">
    <w:name w:val="Char Char Char Char Char Char Char Char Char Carattere Carattere Char Char Carattere Carattere"/>
    <w:basedOn w:val="Normal"/>
    <w:rsid w:val="0093464A"/>
    <w:pPr>
      <w:spacing w:before="120" w:after="160" w:line="240" w:lineRule="exact"/>
      <w:jc w:val="both"/>
    </w:pPr>
    <w:rPr>
      <w:rFonts w:eastAsia="SimSun"/>
      <w:b/>
      <w:smallCaps/>
      <w:szCs w:val="20"/>
    </w:rPr>
  </w:style>
  <w:style w:type="paragraph" w:styleId="TOC1">
    <w:name w:val="toc 1"/>
    <w:basedOn w:val="Normal"/>
    <w:next w:val="Normal"/>
    <w:link w:val="TOC1Char"/>
    <w:uiPriority w:val="39"/>
    <w:qFormat/>
    <w:rsid w:val="00F857C8"/>
    <w:pPr>
      <w:spacing w:before="240" w:after="120" w:line="240" w:lineRule="auto"/>
    </w:pPr>
    <w:rPr>
      <w:rFonts w:ascii="Times New Roman" w:eastAsia="SimSun" w:hAnsi="Times New Roman"/>
      <w:bCs/>
      <w:szCs w:val="20"/>
    </w:rPr>
  </w:style>
  <w:style w:type="paragraph" w:styleId="TOC2">
    <w:name w:val="toc 2"/>
    <w:basedOn w:val="Normal"/>
    <w:next w:val="Normal"/>
    <w:uiPriority w:val="39"/>
    <w:qFormat/>
    <w:rsid w:val="0093464A"/>
    <w:pPr>
      <w:ind w:left="220"/>
    </w:pPr>
  </w:style>
  <w:style w:type="paragraph" w:styleId="CommentText">
    <w:name w:val="annotation text"/>
    <w:basedOn w:val="Normal"/>
    <w:link w:val="CommentTextChar"/>
    <w:uiPriority w:val="99"/>
    <w:rsid w:val="00AE18A5"/>
    <w:rPr>
      <w:sz w:val="20"/>
      <w:szCs w:val="20"/>
    </w:rPr>
  </w:style>
  <w:style w:type="paragraph" w:styleId="CommentSubject">
    <w:name w:val="annotation subject"/>
    <w:basedOn w:val="CommentText"/>
    <w:next w:val="CommentText"/>
    <w:link w:val="CommentSubjectChar"/>
    <w:uiPriority w:val="99"/>
    <w:rsid w:val="00AE18A5"/>
    <w:rPr>
      <w:b/>
      <w:bCs/>
    </w:rPr>
  </w:style>
  <w:style w:type="paragraph" w:customStyle="1" w:styleId="TableContents">
    <w:name w:val="Table Contents"/>
    <w:basedOn w:val="Normal"/>
    <w:rsid w:val="0093464A"/>
    <w:pPr>
      <w:suppressLineNumbers/>
    </w:pPr>
  </w:style>
  <w:style w:type="paragraph" w:customStyle="1" w:styleId="TableHeading">
    <w:name w:val="Table Heading"/>
    <w:basedOn w:val="TableContents"/>
    <w:rsid w:val="0093464A"/>
    <w:pPr>
      <w:jc w:val="center"/>
    </w:pPr>
    <w:rPr>
      <w:b/>
      <w:bCs/>
    </w:rPr>
  </w:style>
  <w:style w:type="paragraph" w:styleId="TOC3">
    <w:name w:val="toc 3"/>
    <w:basedOn w:val="Index"/>
    <w:uiPriority w:val="39"/>
    <w:qFormat/>
    <w:rsid w:val="0093464A"/>
    <w:pPr>
      <w:ind w:left="566"/>
    </w:pPr>
  </w:style>
  <w:style w:type="paragraph" w:styleId="TOC4">
    <w:name w:val="toc 4"/>
    <w:basedOn w:val="Index"/>
    <w:uiPriority w:val="39"/>
    <w:rsid w:val="0093464A"/>
    <w:pPr>
      <w:ind w:left="849"/>
    </w:pPr>
  </w:style>
  <w:style w:type="paragraph" w:styleId="TOC5">
    <w:name w:val="toc 5"/>
    <w:basedOn w:val="Index"/>
    <w:rsid w:val="0093464A"/>
    <w:pPr>
      <w:ind w:left="1132"/>
    </w:pPr>
  </w:style>
  <w:style w:type="paragraph" w:styleId="TOC6">
    <w:name w:val="toc 6"/>
    <w:basedOn w:val="Index"/>
    <w:rsid w:val="0093464A"/>
    <w:pPr>
      <w:ind w:left="1415"/>
    </w:pPr>
  </w:style>
  <w:style w:type="paragraph" w:styleId="TOC7">
    <w:name w:val="toc 7"/>
    <w:basedOn w:val="Index"/>
    <w:rsid w:val="0093464A"/>
    <w:pPr>
      <w:ind w:left="1698"/>
    </w:pPr>
  </w:style>
  <w:style w:type="paragraph" w:styleId="TOC8">
    <w:name w:val="toc 8"/>
    <w:basedOn w:val="Index"/>
    <w:rsid w:val="0093464A"/>
    <w:pPr>
      <w:ind w:left="1981"/>
    </w:pPr>
  </w:style>
  <w:style w:type="paragraph" w:styleId="TOC9">
    <w:name w:val="toc 9"/>
    <w:basedOn w:val="Index"/>
    <w:rsid w:val="0093464A"/>
    <w:pPr>
      <w:ind w:left="2264"/>
    </w:pPr>
  </w:style>
  <w:style w:type="paragraph" w:customStyle="1" w:styleId="Contents10">
    <w:name w:val="Contents 10"/>
    <w:basedOn w:val="Index"/>
    <w:rsid w:val="0093464A"/>
    <w:pPr>
      <w:ind w:left="2547"/>
    </w:pPr>
  </w:style>
  <w:style w:type="paragraph" w:styleId="ListParagraph">
    <w:name w:val="List Paragraph"/>
    <w:basedOn w:val="Normal"/>
    <w:uiPriority w:val="34"/>
    <w:qFormat/>
    <w:rsid w:val="00AE18A5"/>
    <w:pPr>
      <w:suppressAutoHyphens w:val="0"/>
      <w:ind w:left="720"/>
      <w:contextualSpacing/>
    </w:pPr>
    <w:rPr>
      <w:rFonts w:eastAsia="Book Antiqua" w:cs="Times New Roman"/>
      <w:lang w:val="en-GB" w:eastAsia="en-US"/>
    </w:rPr>
  </w:style>
  <w:style w:type="paragraph" w:customStyle="1" w:styleId="NumberedPara">
    <w:name w:val="Numbered Para"/>
    <w:basedOn w:val="Normal"/>
    <w:rsid w:val="00DB6CDA"/>
    <w:pPr>
      <w:suppressAutoHyphens w:val="0"/>
      <w:spacing w:before="160" w:after="20" w:line="240" w:lineRule="auto"/>
    </w:pPr>
    <w:rPr>
      <w:rFonts w:ascii="Times New Roman" w:eastAsia="SimSun" w:hAnsi="Times New Roman" w:cs="Times New Roman"/>
      <w:sz w:val="24"/>
      <w:szCs w:val="24"/>
      <w:lang w:val="en-GB" w:eastAsia="zh-TW"/>
    </w:rPr>
  </w:style>
  <w:style w:type="character" w:customStyle="1" w:styleId="hps">
    <w:name w:val="hps"/>
    <w:basedOn w:val="DefaultParagraphFont"/>
    <w:rsid w:val="00573CF6"/>
  </w:style>
  <w:style w:type="paragraph" w:styleId="NormalWeb">
    <w:name w:val="Normal (Web)"/>
    <w:basedOn w:val="Normal"/>
    <w:uiPriority w:val="99"/>
    <w:rsid w:val="00DC462B"/>
    <w:pPr>
      <w:suppressAutoHyphens w:val="0"/>
      <w:spacing w:before="100" w:beforeAutospacing="1" w:after="100" w:afterAutospacing="1" w:line="240" w:lineRule="auto"/>
    </w:pPr>
    <w:rPr>
      <w:rFonts w:ascii="Times New Roman" w:eastAsia="Times New Roman" w:hAnsi="Times New Roman" w:cs="Times New Roman"/>
      <w:sz w:val="24"/>
      <w:szCs w:val="24"/>
      <w:lang w:val="en-GB" w:eastAsia="en-US"/>
    </w:rPr>
  </w:style>
  <w:style w:type="character" w:styleId="Strong">
    <w:name w:val="Strong"/>
    <w:aliases w:val="table"/>
    <w:basedOn w:val="DefaultParagraphFont"/>
    <w:uiPriority w:val="22"/>
    <w:qFormat/>
    <w:rsid w:val="004F65E4"/>
    <w:rPr>
      <w:rFonts w:ascii="Times New Roman" w:hAnsi="Times New Roman"/>
      <w:b/>
      <w:bCs/>
      <w:color w:val="auto"/>
      <w:sz w:val="22"/>
    </w:rPr>
  </w:style>
  <w:style w:type="paragraph" w:customStyle="1" w:styleId="Compact">
    <w:name w:val="Compact"/>
    <w:basedOn w:val="Normal"/>
    <w:qFormat/>
    <w:rsid w:val="00AE18A5"/>
    <w:pPr>
      <w:suppressAutoHyphens w:val="0"/>
      <w:spacing w:before="36" w:after="36" w:line="240" w:lineRule="auto"/>
    </w:pPr>
    <w:rPr>
      <w:rFonts w:ascii="Times New Roman" w:eastAsiaTheme="minorHAnsi" w:hAnsi="Times New Roman" w:cstheme="minorBidi"/>
      <w:sz w:val="24"/>
      <w:szCs w:val="24"/>
      <w:lang w:eastAsia="en-US"/>
    </w:rPr>
  </w:style>
  <w:style w:type="table" w:customStyle="1" w:styleId="GridTable5Dark-Accent11">
    <w:name w:val="Grid Table 5 Dark - Accent 11"/>
    <w:basedOn w:val="TableNormal"/>
    <w:uiPriority w:val="50"/>
    <w:rsid w:val="004F65E4"/>
    <w:rPr>
      <w:rFonts w:asciiTheme="minorHAnsi" w:eastAsiaTheme="minorEastAsia" w:hAnsiTheme="minorHAnsi" w:cstheme="minorBidi"/>
      <w:sz w:val="22"/>
      <w:szCs w:val="22"/>
      <w:lang w:val="en-US" w:eastAsia="en-US" w:bidi="en-US"/>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paragraph" w:styleId="NoSpacing">
    <w:name w:val="No Spacing"/>
    <w:uiPriority w:val="1"/>
    <w:qFormat/>
    <w:rsid w:val="00AE18A5"/>
    <w:rPr>
      <w:rFonts w:eastAsia="SimSun" w:cs="Arial"/>
      <w:sz w:val="24"/>
      <w:szCs w:val="22"/>
      <w:lang w:eastAsia="zh-CN"/>
    </w:rPr>
  </w:style>
  <w:style w:type="table" w:customStyle="1" w:styleId="GridTable1Light-Accent11">
    <w:name w:val="Grid Table 1 Light - Accent 11"/>
    <w:basedOn w:val="TableNormal"/>
    <w:uiPriority w:val="46"/>
    <w:rsid w:val="004F65E4"/>
    <w:rPr>
      <w:rFonts w:asciiTheme="minorHAnsi" w:eastAsiaTheme="minorEastAsia" w:hAnsiTheme="minorHAnsi" w:cstheme="minorBidi"/>
      <w:sz w:val="22"/>
      <w:szCs w:val="22"/>
      <w:lang w:val="en-US" w:eastAsia="zh-CN"/>
    </w:rPr>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TableofFigures">
    <w:name w:val="table of figures"/>
    <w:basedOn w:val="Normal"/>
    <w:next w:val="Normal"/>
    <w:uiPriority w:val="99"/>
    <w:unhideWhenUsed/>
    <w:qFormat/>
    <w:rsid w:val="002744C3"/>
    <w:pPr>
      <w:suppressAutoHyphens w:val="0"/>
      <w:spacing w:after="0"/>
    </w:pPr>
    <w:rPr>
      <w:rFonts w:ascii="Times New Roman" w:eastAsiaTheme="minorEastAsia" w:hAnsi="Times New Roman" w:cstheme="minorBidi"/>
      <w:lang w:eastAsia="zh-CN"/>
    </w:rPr>
  </w:style>
  <w:style w:type="paragraph" w:styleId="TOCHeading">
    <w:name w:val="TOC Heading"/>
    <w:basedOn w:val="Heading1"/>
    <w:next w:val="Normal"/>
    <w:uiPriority w:val="39"/>
    <w:unhideWhenUsed/>
    <w:qFormat/>
    <w:rsid w:val="00AE18A5"/>
    <w:pPr>
      <w:keepLines/>
      <w:pageBreakBefore w:val="0"/>
      <w:suppressAutoHyphens w:val="0"/>
      <w:spacing w:after="0" w:line="259" w:lineRule="auto"/>
      <w:outlineLvl w:val="9"/>
    </w:pPr>
    <w:rPr>
      <w:rFonts w:asciiTheme="majorHAnsi" w:eastAsiaTheme="majorEastAsia" w:hAnsiTheme="majorHAnsi" w:cstheme="majorBidi"/>
      <w:b w:val="0"/>
      <w:bCs w:val="0"/>
      <w:kern w:val="0"/>
      <w:sz w:val="32"/>
      <w:lang w:eastAsia="en-US"/>
    </w:rPr>
  </w:style>
  <w:style w:type="table" w:styleId="TableGrid">
    <w:name w:val="Table Grid"/>
    <w:basedOn w:val="TableNormal"/>
    <w:uiPriority w:val="59"/>
    <w:rsid w:val="004F65E4"/>
    <w:rPr>
      <w:rFonts w:asciiTheme="minorHAnsi" w:eastAsiaTheme="minorEastAsia" w:hAnsiTheme="minorHAnsi" w:cstheme="minorBidi"/>
      <w:sz w:val="22"/>
      <w:szCs w:val="22"/>
      <w:lang w:val="en-US"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MediumShading1-Accent11">
    <w:name w:val="Medium Shading 1 - Accent 11"/>
    <w:basedOn w:val="TableNormal"/>
    <w:uiPriority w:val="63"/>
    <w:rsid w:val="004F65E4"/>
    <w:rPr>
      <w:rFonts w:asciiTheme="minorHAnsi" w:eastAsiaTheme="minorEastAsia" w:hAnsiTheme="minorHAnsi" w:cstheme="minorBidi"/>
      <w:sz w:val="22"/>
      <w:szCs w:val="22"/>
      <w:lang w:val="en-US" w:eastAsia="zh-CN"/>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References">
    <w:name w:val="References"/>
    <w:basedOn w:val="Normal"/>
    <w:qFormat/>
    <w:rsid w:val="004F65E4"/>
    <w:pPr>
      <w:suppressAutoHyphens w:val="0"/>
      <w:spacing w:after="0" w:line="480" w:lineRule="auto"/>
      <w:ind w:left="720" w:hanging="720"/>
      <w:jc w:val="both"/>
    </w:pPr>
    <w:rPr>
      <w:rFonts w:ascii="Times New Roman" w:eastAsia="Calibri" w:hAnsi="Times New Roman" w:cs="Times New Roman"/>
      <w:sz w:val="24"/>
      <w:lang w:val="en-GB" w:eastAsia="en-US"/>
    </w:rPr>
  </w:style>
  <w:style w:type="paragraph" w:styleId="Title">
    <w:name w:val="Title"/>
    <w:basedOn w:val="Normal"/>
    <w:next w:val="Normal"/>
    <w:link w:val="TitleChar"/>
    <w:uiPriority w:val="10"/>
    <w:qFormat/>
    <w:rsid w:val="00AE18A5"/>
    <w:pPr>
      <w:keepNext/>
      <w:keepLines/>
      <w:suppressAutoHyphens w:val="0"/>
      <w:spacing w:before="480" w:after="240" w:line="240" w:lineRule="auto"/>
      <w:jc w:val="center"/>
    </w:pPr>
    <w:rPr>
      <w:rFonts w:asciiTheme="majorHAnsi" w:eastAsiaTheme="majorEastAsia" w:hAnsiTheme="majorHAnsi" w:cstheme="majorBidi"/>
      <w:b/>
      <w:bCs/>
      <w:color w:val="345A8A" w:themeColor="accent1" w:themeShade="B5"/>
      <w:sz w:val="36"/>
      <w:szCs w:val="36"/>
      <w:lang w:eastAsia="en-US"/>
    </w:rPr>
  </w:style>
  <w:style w:type="character" w:customStyle="1" w:styleId="TitleChar">
    <w:name w:val="Title Char"/>
    <w:basedOn w:val="DefaultParagraphFont"/>
    <w:link w:val="Title"/>
    <w:uiPriority w:val="10"/>
    <w:rsid w:val="004F65E4"/>
    <w:rPr>
      <w:rFonts w:asciiTheme="majorHAnsi" w:eastAsiaTheme="majorEastAsia" w:hAnsiTheme="majorHAnsi" w:cstheme="majorBidi"/>
      <w:b/>
      <w:bCs/>
      <w:color w:val="345A8A" w:themeColor="accent1" w:themeShade="B5"/>
      <w:sz w:val="36"/>
      <w:szCs w:val="36"/>
      <w:lang w:val="en-US" w:eastAsia="en-US"/>
    </w:rPr>
  </w:style>
  <w:style w:type="paragraph" w:styleId="Subtitle">
    <w:name w:val="Subtitle"/>
    <w:basedOn w:val="Title"/>
    <w:next w:val="Normal"/>
    <w:link w:val="SubtitleChar"/>
    <w:uiPriority w:val="11"/>
    <w:qFormat/>
    <w:rsid w:val="00AE18A5"/>
    <w:pPr>
      <w:spacing w:before="240"/>
    </w:pPr>
    <w:rPr>
      <w:sz w:val="30"/>
      <w:szCs w:val="30"/>
    </w:rPr>
  </w:style>
  <w:style w:type="character" w:customStyle="1" w:styleId="SubtitleChar">
    <w:name w:val="Subtitle Char"/>
    <w:basedOn w:val="DefaultParagraphFont"/>
    <w:link w:val="Subtitle"/>
    <w:uiPriority w:val="11"/>
    <w:rsid w:val="004F65E4"/>
    <w:rPr>
      <w:rFonts w:asciiTheme="majorHAnsi" w:eastAsiaTheme="majorEastAsia" w:hAnsiTheme="majorHAnsi" w:cstheme="majorBidi"/>
      <w:b/>
      <w:bCs/>
      <w:color w:val="345A8A" w:themeColor="accent1" w:themeShade="B5"/>
      <w:sz w:val="30"/>
      <w:szCs w:val="30"/>
      <w:lang w:val="en-US" w:eastAsia="en-US"/>
    </w:rPr>
  </w:style>
  <w:style w:type="paragraph" w:customStyle="1" w:styleId="Author">
    <w:name w:val="Author"/>
    <w:next w:val="Normal"/>
    <w:qFormat/>
    <w:rsid w:val="004F65E4"/>
    <w:pPr>
      <w:keepNext/>
      <w:keepLines/>
      <w:spacing w:after="200"/>
      <w:jc w:val="center"/>
    </w:pPr>
    <w:rPr>
      <w:rFonts w:asciiTheme="minorHAnsi" w:eastAsiaTheme="minorHAnsi" w:hAnsiTheme="minorHAnsi" w:cstheme="minorBidi"/>
      <w:sz w:val="24"/>
      <w:szCs w:val="24"/>
      <w:lang w:val="en-US" w:eastAsia="en-US"/>
    </w:rPr>
  </w:style>
  <w:style w:type="paragraph" w:styleId="Date">
    <w:name w:val="Date"/>
    <w:next w:val="Normal"/>
    <w:link w:val="DateChar"/>
    <w:uiPriority w:val="99"/>
    <w:qFormat/>
    <w:rsid w:val="004F65E4"/>
    <w:pPr>
      <w:keepNext/>
      <w:keepLines/>
      <w:spacing w:after="200"/>
      <w:jc w:val="center"/>
    </w:pPr>
    <w:rPr>
      <w:rFonts w:asciiTheme="minorHAnsi" w:eastAsiaTheme="minorHAnsi" w:hAnsiTheme="minorHAnsi" w:cstheme="minorBidi"/>
      <w:sz w:val="24"/>
      <w:szCs w:val="24"/>
      <w:lang w:val="en-US" w:eastAsia="en-US"/>
    </w:rPr>
  </w:style>
  <w:style w:type="character" w:customStyle="1" w:styleId="DateChar">
    <w:name w:val="Date Char"/>
    <w:basedOn w:val="DefaultParagraphFont"/>
    <w:link w:val="Date"/>
    <w:uiPriority w:val="99"/>
    <w:rsid w:val="004F65E4"/>
    <w:rPr>
      <w:rFonts w:asciiTheme="minorHAnsi" w:eastAsiaTheme="minorHAnsi" w:hAnsiTheme="minorHAnsi" w:cstheme="minorBidi"/>
      <w:sz w:val="24"/>
      <w:szCs w:val="24"/>
      <w:lang w:val="en-US" w:eastAsia="en-US"/>
    </w:rPr>
  </w:style>
  <w:style w:type="paragraph" w:customStyle="1" w:styleId="Abstract">
    <w:name w:val="Abstract"/>
    <w:basedOn w:val="Normal"/>
    <w:next w:val="Normal"/>
    <w:qFormat/>
    <w:rsid w:val="004F65E4"/>
    <w:pPr>
      <w:keepNext/>
      <w:keepLines/>
      <w:suppressAutoHyphens w:val="0"/>
      <w:spacing w:before="300" w:after="300" w:line="240" w:lineRule="auto"/>
    </w:pPr>
    <w:rPr>
      <w:rFonts w:asciiTheme="minorHAnsi" w:eastAsiaTheme="minorHAnsi" w:hAnsiTheme="minorHAnsi" w:cstheme="minorBidi"/>
      <w:sz w:val="20"/>
      <w:szCs w:val="20"/>
      <w:lang w:eastAsia="en-US"/>
    </w:rPr>
  </w:style>
  <w:style w:type="paragraph" w:styleId="Bibliography">
    <w:name w:val="Bibliography"/>
    <w:basedOn w:val="Normal"/>
    <w:qFormat/>
    <w:rsid w:val="004F65E4"/>
    <w:pPr>
      <w:suppressAutoHyphens w:val="0"/>
      <w:spacing w:before="180" w:after="180" w:line="240" w:lineRule="auto"/>
    </w:pPr>
    <w:rPr>
      <w:rFonts w:asciiTheme="minorHAnsi" w:eastAsiaTheme="minorHAnsi" w:hAnsiTheme="minorHAnsi" w:cstheme="minorBidi"/>
      <w:sz w:val="24"/>
      <w:szCs w:val="24"/>
      <w:lang w:eastAsia="en-US"/>
    </w:rPr>
  </w:style>
  <w:style w:type="paragraph" w:customStyle="1" w:styleId="BlockQuote">
    <w:name w:val="Block Quote"/>
    <w:basedOn w:val="Normal"/>
    <w:next w:val="Normal"/>
    <w:uiPriority w:val="9"/>
    <w:unhideWhenUsed/>
    <w:qFormat/>
    <w:rsid w:val="004F65E4"/>
    <w:pPr>
      <w:suppressAutoHyphens w:val="0"/>
      <w:spacing w:before="100" w:after="100" w:line="240" w:lineRule="auto"/>
    </w:pPr>
    <w:rPr>
      <w:rFonts w:asciiTheme="majorHAnsi" w:eastAsiaTheme="majorEastAsia" w:hAnsiTheme="majorHAnsi" w:cstheme="majorBidi"/>
      <w:bCs/>
      <w:sz w:val="20"/>
      <w:szCs w:val="20"/>
      <w:lang w:eastAsia="en-US"/>
    </w:rPr>
  </w:style>
  <w:style w:type="paragraph" w:customStyle="1" w:styleId="DefinitionTerm">
    <w:name w:val="Definition Term"/>
    <w:basedOn w:val="Normal"/>
    <w:next w:val="Definition"/>
    <w:rsid w:val="004F65E4"/>
    <w:pPr>
      <w:keepNext/>
      <w:keepLines/>
      <w:suppressAutoHyphens w:val="0"/>
      <w:spacing w:before="180" w:after="0" w:line="240" w:lineRule="auto"/>
    </w:pPr>
    <w:rPr>
      <w:rFonts w:asciiTheme="minorHAnsi" w:eastAsiaTheme="minorHAnsi" w:hAnsiTheme="minorHAnsi" w:cstheme="minorBidi"/>
      <w:b/>
      <w:sz w:val="24"/>
      <w:szCs w:val="24"/>
      <w:lang w:eastAsia="en-US"/>
    </w:rPr>
  </w:style>
  <w:style w:type="paragraph" w:customStyle="1" w:styleId="Definition">
    <w:name w:val="Definition"/>
    <w:basedOn w:val="Normal"/>
    <w:rsid w:val="004F65E4"/>
    <w:pPr>
      <w:suppressAutoHyphens w:val="0"/>
      <w:spacing w:before="180" w:after="180" w:line="240" w:lineRule="auto"/>
    </w:pPr>
    <w:rPr>
      <w:rFonts w:asciiTheme="minorHAnsi" w:eastAsiaTheme="minorHAnsi" w:hAnsiTheme="minorHAnsi" w:cstheme="minorBidi"/>
      <w:sz w:val="24"/>
      <w:szCs w:val="24"/>
      <w:lang w:eastAsia="en-US"/>
    </w:rPr>
  </w:style>
  <w:style w:type="paragraph" w:customStyle="1" w:styleId="TableCaption">
    <w:name w:val="Table Caption"/>
    <w:basedOn w:val="Normal"/>
    <w:qFormat/>
    <w:rsid w:val="004F65E4"/>
    <w:pPr>
      <w:suppressAutoHyphens w:val="0"/>
      <w:spacing w:after="120" w:line="240" w:lineRule="auto"/>
    </w:pPr>
    <w:rPr>
      <w:rFonts w:asciiTheme="minorHAnsi" w:eastAsiaTheme="minorHAnsi" w:hAnsiTheme="minorHAnsi" w:cstheme="minorBidi"/>
      <w:i/>
      <w:sz w:val="24"/>
      <w:szCs w:val="24"/>
      <w:lang w:eastAsia="en-US"/>
    </w:rPr>
  </w:style>
  <w:style w:type="character" w:customStyle="1" w:styleId="VerbatimChar">
    <w:name w:val="Verbatim Char"/>
    <w:basedOn w:val="BodyTextChar"/>
    <w:link w:val="SourceCode"/>
    <w:qFormat/>
    <w:rsid w:val="004F65E4"/>
    <w:rPr>
      <w:rFonts w:asciiTheme="minorHAnsi" w:eastAsiaTheme="minorHAnsi" w:hAnsiTheme="minorHAnsi" w:cstheme="minorBidi"/>
      <w:sz w:val="24"/>
      <w:szCs w:val="24"/>
      <w:lang w:val="en-US" w:eastAsia="en-US"/>
    </w:rPr>
  </w:style>
  <w:style w:type="paragraph" w:customStyle="1" w:styleId="SourceCode">
    <w:name w:val="Source Code"/>
    <w:basedOn w:val="Normal"/>
    <w:link w:val="VerbatimChar"/>
    <w:qFormat/>
    <w:rsid w:val="004F65E4"/>
    <w:pPr>
      <w:suppressAutoHyphens w:val="0"/>
      <w:wordWrap w:val="0"/>
      <w:spacing w:before="180" w:after="180" w:line="240" w:lineRule="auto"/>
    </w:pPr>
    <w:rPr>
      <w:rFonts w:asciiTheme="minorHAnsi" w:eastAsiaTheme="minorHAnsi" w:hAnsiTheme="minorHAnsi" w:cstheme="minorBidi"/>
      <w:sz w:val="24"/>
      <w:szCs w:val="24"/>
      <w:lang w:eastAsia="en-US"/>
    </w:rPr>
  </w:style>
  <w:style w:type="character" w:customStyle="1" w:styleId="FootnoteRef">
    <w:name w:val="Footnote Ref"/>
    <w:basedOn w:val="BodyTextChar"/>
    <w:qFormat/>
    <w:rsid w:val="004F65E4"/>
    <w:rPr>
      <w:rFonts w:ascii="Times New Roman" w:eastAsia="SimSun" w:hAnsi="Times New Roman" w:cs="Arial"/>
      <w:sz w:val="22"/>
      <w:szCs w:val="24"/>
      <w:vertAlign w:val="superscript"/>
    </w:rPr>
  </w:style>
  <w:style w:type="character" w:customStyle="1" w:styleId="Link">
    <w:name w:val="Link"/>
    <w:basedOn w:val="BodyTextChar"/>
    <w:qFormat/>
    <w:rsid w:val="004F65E4"/>
    <w:rPr>
      <w:rFonts w:ascii="Times New Roman" w:eastAsia="SimSun" w:hAnsi="Times New Roman" w:cs="Arial"/>
      <w:color w:val="4F81BD" w:themeColor="accent1"/>
      <w:sz w:val="22"/>
      <w:szCs w:val="24"/>
    </w:rPr>
  </w:style>
  <w:style w:type="character" w:customStyle="1" w:styleId="KeywordTok">
    <w:name w:val="KeywordTok"/>
    <w:basedOn w:val="VerbatimChar"/>
    <w:rsid w:val="004F65E4"/>
    <w:rPr>
      <w:rFonts w:asciiTheme="minorHAnsi" w:eastAsiaTheme="minorHAnsi" w:hAnsiTheme="minorHAnsi" w:cstheme="minorBidi"/>
      <w:b/>
      <w:color w:val="007020"/>
      <w:sz w:val="24"/>
      <w:szCs w:val="24"/>
      <w:lang w:val="en-US" w:eastAsia="en-US"/>
    </w:rPr>
  </w:style>
  <w:style w:type="character" w:customStyle="1" w:styleId="DataTypeTok">
    <w:name w:val="DataTypeTok"/>
    <w:basedOn w:val="VerbatimChar"/>
    <w:rsid w:val="004F65E4"/>
    <w:rPr>
      <w:rFonts w:asciiTheme="minorHAnsi" w:eastAsiaTheme="minorHAnsi" w:hAnsiTheme="minorHAnsi" w:cstheme="minorBidi"/>
      <w:color w:val="902000"/>
      <w:sz w:val="24"/>
      <w:szCs w:val="24"/>
      <w:lang w:val="en-US" w:eastAsia="en-US"/>
    </w:rPr>
  </w:style>
  <w:style w:type="character" w:customStyle="1" w:styleId="DecValTok">
    <w:name w:val="DecValTok"/>
    <w:basedOn w:val="VerbatimChar"/>
    <w:rsid w:val="004F65E4"/>
    <w:rPr>
      <w:rFonts w:asciiTheme="minorHAnsi" w:eastAsiaTheme="minorHAnsi" w:hAnsiTheme="minorHAnsi" w:cstheme="minorBidi"/>
      <w:color w:val="40A070"/>
      <w:sz w:val="24"/>
      <w:szCs w:val="24"/>
      <w:lang w:val="en-US" w:eastAsia="en-US"/>
    </w:rPr>
  </w:style>
  <w:style w:type="character" w:customStyle="1" w:styleId="BaseNTok">
    <w:name w:val="BaseNTok"/>
    <w:basedOn w:val="VerbatimChar"/>
    <w:rsid w:val="004F65E4"/>
    <w:rPr>
      <w:rFonts w:asciiTheme="minorHAnsi" w:eastAsiaTheme="minorHAnsi" w:hAnsiTheme="minorHAnsi" w:cstheme="minorBidi"/>
      <w:color w:val="40A070"/>
      <w:sz w:val="24"/>
      <w:szCs w:val="24"/>
      <w:lang w:val="en-US" w:eastAsia="en-US"/>
    </w:rPr>
  </w:style>
  <w:style w:type="character" w:customStyle="1" w:styleId="FloatTok">
    <w:name w:val="FloatTok"/>
    <w:basedOn w:val="VerbatimChar"/>
    <w:rsid w:val="004F65E4"/>
    <w:rPr>
      <w:rFonts w:asciiTheme="minorHAnsi" w:eastAsiaTheme="minorHAnsi" w:hAnsiTheme="minorHAnsi" w:cstheme="minorBidi"/>
      <w:color w:val="40A070"/>
      <w:sz w:val="24"/>
      <w:szCs w:val="24"/>
      <w:lang w:val="en-US" w:eastAsia="en-US"/>
    </w:rPr>
  </w:style>
  <w:style w:type="character" w:customStyle="1" w:styleId="CharTok">
    <w:name w:val="CharTok"/>
    <w:basedOn w:val="VerbatimChar"/>
    <w:rsid w:val="004F65E4"/>
    <w:rPr>
      <w:rFonts w:asciiTheme="minorHAnsi" w:eastAsiaTheme="minorHAnsi" w:hAnsiTheme="minorHAnsi" w:cstheme="minorBidi"/>
      <w:color w:val="4070A0"/>
      <w:sz w:val="24"/>
      <w:szCs w:val="24"/>
      <w:lang w:val="en-US" w:eastAsia="en-US"/>
    </w:rPr>
  </w:style>
  <w:style w:type="character" w:customStyle="1" w:styleId="StringTok">
    <w:name w:val="StringTok"/>
    <w:basedOn w:val="VerbatimChar"/>
    <w:rsid w:val="004F65E4"/>
    <w:rPr>
      <w:rFonts w:asciiTheme="minorHAnsi" w:eastAsiaTheme="minorHAnsi" w:hAnsiTheme="minorHAnsi" w:cstheme="minorBidi"/>
      <w:color w:val="4070A0"/>
      <w:sz w:val="24"/>
      <w:szCs w:val="24"/>
      <w:lang w:val="en-US" w:eastAsia="en-US"/>
    </w:rPr>
  </w:style>
  <w:style w:type="character" w:customStyle="1" w:styleId="CommentTok">
    <w:name w:val="CommentTok"/>
    <w:basedOn w:val="VerbatimChar"/>
    <w:rsid w:val="004F65E4"/>
    <w:rPr>
      <w:rFonts w:asciiTheme="minorHAnsi" w:eastAsiaTheme="minorHAnsi" w:hAnsiTheme="minorHAnsi" w:cstheme="minorBidi"/>
      <w:i/>
      <w:color w:val="60A0B0"/>
      <w:sz w:val="24"/>
      <w:szCs w:val="24"/>
      <w:lang w:val="en-US" w:eastAsia="en-US"/>
    </w:rPr>
  </w:style>
  <w:style w:type="character" w:customStyle="1" w:styleId="OtherTok">
    <w:name w:val="OtherTok"/>
    <w:basedOn w:val="VerbatimChar"/>
    <w:rsid w:val="004F65E4"/>
    <w:rPr>
      <w:rFonts w:asciiTheme="minorHAnsi" w:eastAsiaTheme="minorHAnsi" w:hAnsiTheme="minorHAnsi" w:cstheme="minorBidi"/>
      <w:color w:val="007020"/>
      <w:sz w:val="24"/>
      <w:szCs w:val="24"/>
      <w:lang w:val="en-US" w:eastAsia="en-US"/>
    </w:rPr>
  </w:style>
  <w:style w:type="character" w:customStyle="1" w:styleId="AlertTok">
    <w:name w:val="AlertTok"/>
    <w:basedOn w:val="VerbatimChar"/>
    <w:rsid w:val="004F65E4"/>
    <w:rPr>
      <w:rFonts w:asciiTheme="minorHAnsi" w:eastAsiaTheme="minorHAnsi" w:hAnsiTheme="minorHAnsi" w:cstheme="minorBidi"/>
      <w:b/>
      <w:color w:val="FF0000"/>
      <w:sz w:val="24"/>
      <w:szCs w:val="24"/>
      <w:lang w:val="en-US" w:eastAsia="en-US"/>
    </w:rPr>
  </w:style>
  <w:style w:type="character" w:customStyle="1" w:styleId="FunctionTok">
    <w:name w:val="FunctionTok"/>
    <w:basedOn w:val="VerbatimChar"/>
    <w:rsid w:val="004F65E4"/>
    <w:rPr>
      <w:rFonts w:asciiTheme="minorHAnsi" w:eastAsiaTheme="minorHAnsi" w:hAnsiTheme="minorHAnsi" w:cstheme="minorBidi"/>
      <w:color w:val="06287E"/>
      <w:sz w:val="24"/>
      <w:szCs w:val="24"/>
      <w:lang w:val="en-US" w:eastAsia="en-US"/>
    </w:rPr>
  </w:style>
  <w:style w:type="character" w:customStyle="1" w:styleId="RegionMarkerTok">
    <w:name w:val="RegionMarkerTok"/>
    <w:basedOn w:val="VerbatimChar"/>
    <w:rsid w:val="004F65E4"/>
    <w:rPr>
      <w:rFonts w:asciiTheme="minorHAnsi" w:eastAsiaTheme="minorHAnsi" w:hAnsiTheme="minorHAnsi" w:cstheme="minorBidi"/>
      <w:sz w:val="24"/>
      <w:szCs w:val="24"/>
      <w:lang w:val="en-US" w:eastAsia="en-US"/>
    </w:rPr>
  </w:style>
  <w:style w:type="character" w:customStyle="1" w:styleId="ErrorTok">
    <w:name w:val="ErrorTok"/>
    <w:basedOn w:val="VerbatimChar"/>
    <w:rsid w:val="004F65E4"/>
    <w:rPr>
      <w:rFonts w:asciiTheme="minorHAnsi" w:eastAsiaTheme="minorHAnsi" w:hAnsiTheme="minorHAnsi" w:cstheme="minorBidi"/>
      <w:b/>
      <w:color w:val="FF0000"/>
      <w:sz w:val="24"/>
      <w:szCs w:val="24"/>
      <w:lang w:val="en-US" w:eastAsia="en-US"/>
    </w:rPr>
  </w:style>
  <w:style w:type="character" w:customStyle="1" w:styleId="NormalTok">
    <w:name w:val="NormalTok"/>
    <w:basedOn w:val="VerbatimChar"/>
    <w:rsid w:val="004F65E4"/>
    <w:rPr>
      <w:rFonts w:asciiTheme="minorHAnsi" w:eastAsiaTheme="minorHAnsi" w:hAnsiTheme="minorHAnsi" w:cstheme="minorBidi"/>
      <w:sz w:val="24"/>
      <w:szCs w:val="24"/>
      <w:lang w:val="en-US" w:eastAsia="en-US"/>
    </w:rPr>
  </w:style>
  <w:style w:type="character" w:customStyle="1" w:styleId="InternetLink">
    <w:name w:val="Internet Link"/>
    <w:basedOn w:val="DefaultParagraphFont"/>
    <w:rsid w:val="006E32A4"/>
    <w:rPr>
      <w:color w:val="0000FF" w:themeColor="hyperlink"/>
      <w:u w:val="single"/>
    </w:rPr>
  </w:style>
  <w:style w:type="character" w:customStyle="1" w:styleId="FootnoteAnchor">
    <w:name w:val="Footnote Anchor"/>
    <w:rsid w:val="006E32A4"/>
    <w:rPr>
      <w:vertAlign w:val="superscript"/>
    </w:rPr>
  </w:style>
  <w:style w:type="paragraph" w:customStyle="1" w:styleId="TextBody">
    <w:name w:val="Text Body"/>
    <w:basedOn w:val="Normal"/>
    <w:rsid w:val="006E32A4"/>
    <w:pPr>
      <w:spacing w:before="180" w:after="120" w:line="240" w:lineRule="auto"/>
    </w:pPr>
    <w:rPr>
      <w:rFonts w:ascii="Cambria" w:eastAsia="Cambria" w:hAnsi="Cambria" w:cstheme="minorBidi"/>
      <w:color w:val="00000A"/>
      <w:sz w:val="24"/>
      <w:szCs w:val="24"/>
      <w:lang w:eastAsia="en-US"/>
    </w:rPr>
  </w:style>
  <w:style w:type="paragraph" w:customStyle="1" w:styleId="Footnote">
    <w:name w:val="Footnote"/>
    <w:basedOn w:val="Normal"/>
    <w:uiPriority w:val="9"/>
    <w:unhideWhenUsed/>
    <w:qFormat/>
    <w:rsid w:val="006E32A4"/>
    <w:pPr>
      <w:spacing w:before="180" w:after="180" w:line="240" w:lineRule="auto"/>
    </w:pPr>
    <w:rPr>
      <w:rFonts w:ascii="Cambria" w:eastAsia="Cambria" w:hAnsi="Cambria" w:cstheme="minorBidi"/>
      <w:color w:val="00000A"/>
      <w:sz w:val="24"/>
      <w:szCs w:val="24"/>
      <w:lang w:eastAsia="en-US"/>
    </w:rPr>
  </w:style>
  <w:style w:type="paragraph" w:customStyle="1" w:styleId="PreformattedText">
    <w:name w:val="Preformatted Text"/>
    <w:basedOn w:val="Normal"/>
    <w:qFormat/>
    <w:rsid w:val="006E32A4"/>
    <w:pPr>
      <w:spacing w:before="180" w:after="180" w:line="240" w:lineRule="auto"/>
    </w:pPr>
    <w:rPr>
      <w:rFonts w:ascii="Cambria" w:eastAsia="Cambria" w:hAnsi="Cambria" w:cstheme="minorBidi"/>
      <w:color w:val="00000A"/>
      <w:sz w:val="24"/>
      <w:szCs w:val="24"/>
      <w:lang w:eastAsia="en-US"/>
    </w:rPr>
  </w:style>
  <w:style w:type="table" w:styleId="TableSimple2">
    <w:name w:val="Table Simple 2"/>
    <w:basedOn w:val="TableNormal"/>
    <w:rsid w:val="006E32A4"/>
    <w:pPr>
      <w:suppressAutoHyphens/>
      <w:spacing w:before="180" w:after="180"/>
    </w:pPr>
    <w:rPr>
      <w:rFonts w:asciiTheme="minorHAnsi" w:eastAsiaTheme="minorHAnsi" w:hAnsiTheme="minorHAnsi" w:cstheme="minorBidi"/>
      <w:szCs w:val="24"/>
      <w:lang w:val="en-US" w:eastAsia="en-US"/>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Classic1">
    <w:name w:val="Table Classic 1"/>
    <w:basedOn w:val="TableNormal"/>
    <w:rsid w:val="006E32A4"/>
    <w:pPr>
      <w:suppressAutoHyphens/>
      <w:spacing w:before="180" w:after="180"/>
    </w:pPr>
    <w:rPr>
      <w:rFonts w:asciiTheme="minorHAnsi" w:eastAsiaTheme="minorHAnsi" w:hAnsiTheme="minorHAnsi" w:cstheme="minorBidi"/>
      <w:szCs w:val="24"/>
      <w:lang w:val="en-US" w:eastAsia="en-US"/>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PlainText">
    <w:name w:val="Plain Text"/>
    <w:basedOn w:val="Normal"/>
    <w:link w:val="PlainTextChar"/>
    <w:uiPriority w:val="99"/>
    <w:unhideWhenUsed/>
    <w:rsid w:val="00374C82"/>
    <w:pPr>
      <w:suppressAutoHyphens w:val="0"/>
      <w:spacing w:after="0" w:line="240" w:lineRule="auto"/>
    </w:pPr>
    <w:rPr>
      <w:rFonts w:ascii="Calibri" w:eastAsiaTheme="minorEastAsia" w:hAnsi="Calibri" w:cstheme="minorBidi"/>
      <w:szCs w:val="21"/>
      <w:lang w:eastAsia="zh-CN"/>
    </w:rPr>
  </w:style>
  <w:style w:type="character" w:customStyle="1" w:styleId="PlainTextChar">
    <w:name w:val="Plain Text Char"/>
    <w:basedOn w:val="DefaultParagraphFont"/>
    <w:link w:val="PlainText"/>
    <w:uiPriority w:val="99"/>
    <w:rsid w:val="00374C82"/>
    <w:rPr>
      <w:rFonts w:ascii="Calibri" w:eastAsiaTheme="minorEastAsia" w:hAnsi="Calibri" w:cstheme="minorBidi"/>
      <w:sz w:val="22"/>
      <w:szCs w:val="21"/>
      <w:lang w:val="en-US" w:eastAsia="zh-CN"/>
    </w:rPr>
  </w:style>
  <w:style w:type="paragraph" w:customStyle="1" w:styleId="zparagraphe">
    <w:name w:val="zparagraphe"/>
    <w:basedOn w:val="Normal"/>
    <w:rsid w:val="00374C82"/>
    <w:pPr>
      <w:suppressAutoHyphens w:val="0"/>
      <w:spacing w:before="100" w:beforeAutospacing="1" w:after="100" w:afterAutospacing="1" w:line="240" w:lineRule="auto"/>
    </w:pPr>
    <w:rPr>
      <w:rFonts w:ascii="Times" w:eastAsiaTheme="minorEastAsia" w:hAnsi="Times" w:cs="Times New Roman"/>
      <w:sz w:val="20"/>
      <w:szCs w:val="20"/>
      <w:lang w:val="it-IT" w:eastAsia="it-IT"/>
    </w:rPr>
  </w:style>
  <w:style w:type="character" w:customStyle="1" w:styleId="TOC1Char">
    <w:name w:val="TOC 1 Char"/>
    <w:basedOn w:val="DefaultParagraphFont"/>
    <w:link w:val="TOC1"/>
    <w:uiPriority w:val="39"/>
    <w:rsid w:val="00F857C8"/>
    <w:rPr>
      <w:rFonts w:eastAsia="SimSun" w:cs="Arial"/>
      <w:bCs/>
      <w:sz w:val="22"/>
      <w:lang w:val="en-US" w:eastAsia="ar-SA"/>
    </w:rPr>
  </w:style>
  <w:style w:type="paragraph" w:styleId="Revision">
    <w:name w:val="Revision"/>
    <w:hidden/>
    <w:uiPriority w:val="99"/>
    <w:semiHidden/>
    <w:rsid w:val="0063355B"/>
    <w:rPr>
      <w:rFonts w:ascii="Book Antiqua" w:eastAsia="Arial" w:hAnsi="Book Antiqua" w:cs="Arial"/>
      <w:sz w:val="22"/>
      <w:szCs w:val="22"/>
      <w:lang w:val="en-US" w:eastAsia="ar-SA"/>
    </w:rPr>
  </w:style>
  <w:style w:type="character" w:styleId="PlaceholderText">
    <w:name w:val="Placeholder Text"/>
    <w:basedOn w:val="DefaultParagraphFont"/>
    <w:uiPriority w:val="99"/>
    <w:semiHidden/>
    <w:rsid w:val="0059554E"/>
    <w:rPr>
      <w:color w:val="808080"/>
    </w:rPr>
  </w:style>
  <w:style w:type="table" w:customStyle="1" w:styleId="GridTable1LightAccent1">
    <w:name w:val="Grid Table 1 Light Accent 1"/>
    <w:basedOn w:val="TableNormal"/>
    <w:uiPriority w:val="46"/>
    <w:rsid w:val="00AA4884"/>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styleId="FollowedHyperlink">
    <w:name w:val="FollowedHyperlink"/>
    <w:basedOn w:val="DefaultParagraphFont"/>
    <w:uiPriority w:val="99"/>
    <w:semiHidden/>
    <w:unhideWhenUsed/>
    <w:rsid w:val="00852A27"/>
    <w:rPr>
      <w:color w:val="800080" w:themeColor="followedHyperlink"/>
      <w:u w:val="single"/>
    </w:rPr>
  </w:style>
  <w:style w:type="paragraph" w:styleId="EndnoteText">
    <w:name w:val="endnote text"/>
    <w:basedOn w:val="Normal"/>
    <w:link w:val="EndnoteTextChar"/>
    <w:uiPriority w:val="99"/>
    <w:semiHidden/>
    <w:unhideWhenUsed/>
    <w:rsid w:val="00D15A8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15A87"/>
    <w:rPr>
      <w:rFonts w:ascii="Book Antiqua" w:eastAsia="Arial" w:hAnsi="Book Antiqua" w:cs="Arial"/>
      <w:lang w:val="en-US" w:eastAsia="ar-SA"/>
    </w:rPr>
  </w:style>
  <w:style w:type="character" w:customStyle="1" w:styleId="Heading6Char">
    <w:name w:val="Heading 6 Char"/>
    <w:basedOn w:val="DefaultParagraphFont"/>
    <w:link w:val="Heading6"/>
    <w:uiPriority w:val="9"/>
    <w:semiHidden/>
    <w:rsid w:val="00AE18A5"/>
    <w:rPr>
      <w:rFonts w:asciiTheme="majorHAnsi" w:eastAsiaTheme="majorEastAsia" w:hAnsiTheme="majorHAnsi" w:cstheme="majorBidi"/>
      <w:i/>
      <w:iCs/>
      <w:color w:val="243F60" w:themeColor="accent1" w:themeShade="7F"/>
      <w:szCs w:val="22"/>
      <w:lang w:val="en-US" w:eastAsia="en-US" w:bidi="en-US"/>
    </w:rPr>
  </w:style>
  <w:style w:type="character" w:customStyle="1" w:styleId="Heading7Char">
    <w:name w:val="Heading 7 Char"/>
    <w:basedOn w:val="DefaultParagraphFont"/>
    <w:link w:val="Heading7"/>
    <w:uiPriority w:val="9"/>
    <w:semiHidden/>
    <w:rsid w:val="00AE18A5"/>
    <w:rPr>
      <w:rFonts w:asciiTheme="majorHAnsi" w:eastAsiaTheme="majorEastAsia" w:hAnsiTheme="majorHAnsi" w:cstheme="majorBidi"/>
      <w:i/>
      <w:iCs/>
      <w:color w:val="404040" w:themeColor="text1" w:themeTint="BF"/>
      <w:szCs w:val="22"/>
      <w:lang w:val="en-US" w:eastAsia="en-US" w:bidi="en-US"/>
    </w:rPr>
  </w:style>
  <w:style w:type="character" w:customStyle="1" w:styleId="Heading8Char">
    <w:name w:val="Heading 8 Char"/>
    <w:basedOn w:val="DefaultParagraphFont"/>
    <w:link w:val="Heading8"/>
    <w:uiPriority w:val="9"/>
    <w:semiHidden/>
    <w:rsid w:val="00AE18A5"/>
    <w:rPr>
      <w:rFonts w:asciiTheme="majorHAnsi" w:eastAsiaTheme="majorEastAsia" w:hAnsiTheme="majorHAnsi" w:cstheme="majorBidi"/>
      <w:color w:val="4F81BD" w:themeColor="accent1"/>
      <w:lang w:val="en-US" w:eastAsia="en-US" w:bidi="en-US"/>
    </w:rPr>
  </w:style>
  <w:style w:type="character" w:customStyle="1" w:styleId="Heading9Char">
    <w:name w:val="Heading 9 Char"/>
    <w:basedOn w:val="DefaultParagraphFont"/>
    <w:link w:val="Heading9"/>
    <w:uiPriority w:val="9"/>
    <w:semiHidden/>
    <w:rsid w:val="00AE18A5"/>
    <w:rPr>
      <w:rFonts w:asciiTheme="majorHAnsi" w:eastAsiaTheme="majorEastAsia" w:hAnsiTheme="majorHAnsi" w:cstheme="majorBidi"/>
      <w:i/>
      <w:iCs/>
      <w:color w:val="404040" w:themeColor="text1" w:themeTint="BF"/>
      <w:lang w:val="en-US" w:eastAsia="en-US" w:bidi="en-US"/>
    </w:rPr>
  </w:style>
  <w:style w:type="character" w:styleId="Emphasis">
    <w:name w:val="Emphasis"/>
    <w:basedOn w:val="DefaultParagraphFont"/>
    <w:uiPriority w:val="20"/>
    <w:qFormat/>
    <w:rsid w:val="00AE18A5"/>
    <w:rPr>
      <w:i/>
      <w:iCs/>
    </w:rPr>
  </w:style>
  <w:style w:type="paragraph" w:styleId="Quote">
    <w:name w:val="Quote"/>
    <w:basedOn w:val="Normal"/>
    <w:next w:val="Normal"/>
    <w:link w:val="QuoteChar"/>
    <w:uiPriority w:val="29"/>
    <w:qFormat/>
    <w:rsid w:val="00AE18A5"/>
    <w:pPr>
      <w:suppressAutoHyphens w:val="0"/>
    </w:pPr>
    <w:rPr>
      <w:rFonts w:ascii="Times New Roman" w:eastAsiaTheme="minorEastAsia" w:hAnsi="Times New Roman" w:cstheme="minorBidi"/>
      <w:i/>
      <w:iCs/>
      <w:color w:val="000000" w:themeColor="text1"/>
      <w:sz w:val="20"/>
      <w:lang w:eastAsia="en-US" w:bidi="en-US"/>
    </w:rPr>
  </w:style>
  <w:style w:type="character" w:customStyle="1" w:styleId="QuoteChar">
    <w:name w:val="Quote Char"/>
    <w:basedOn w:val="DefaultParagraphFont"/>
    <w:link w:val="Quote"/>
    <w:uiPriority w:val="29"/>
    <w:rsid w:val="00AE18A5"/>
    <w:rPr>
      <w:rFonts w:eastAsiaTheme="minorEastAsia" w:cstheme="minorBidi"/>
      <w:i/>
      <w:iCs/>
      <w:color w:val="000000" w:themeColor="text1"/>
      <w:szCs w:val="22"/>
      <w:lang w:val="en-US" w:eastAsia="en-US" w:bidi="en-US"/>
    </w:rPr>
  </w:style>
  <w:style w:type="paragraph" w:styleId="IntenseQuote">
    <w:name w:val="Intense Quote"/>
    <w:basedOn w:val="Normal"/>
    <w:next w:val="Normal"/>
    <w:link w:val="IntenseQuoteChar"/>
    <w:uiPriority w:val="30"/>
    <w:qFormat/>
    <w:rsid w:val="00AE18A5"/>
    <w:pPr>
      <w:pBdr>
        <w:bottom w:val="single" w:sz="4" w:space="4" w:color="4F81BD" w:themeColor="accent1"/>
      </w:pBdr>
      <w:suppressAutoHyphens w:val="0"/>
      <w:spacing w:before="200" w:after="280"/>
      <w:ind w:left="936" w:right="936"/>
    </w:pPr>
    <w:rPr>
      <w:rFonts w:ascii="Times New Roman" w:eastAsiaTheme="minorEastAsia" w:hAnsi="Times New Roman" w:cstheme="minorBidi"/>
      <w:b/>
      <w:bCs/>
      <w:i/>
      <w:iCs/>
      <w:color w:val="4F81BD" w:themeColor="accent1"/>
      <w:sz w:val="20"/>
      <w:lang w:eastAsia="en-US" w:bidi="en-US"/>
    </w:rPr>
  </w:style>
  <w:style w:type="character" w:customStyle="1" w:styleId="IntenseQuoteChar">
    <w:name w:val="Intense Quote Char"/>
    <w:basedOn w:val="DefaultParagraphFont"/>
    <w:link w:val="IntenseQuote"/>
    <w:uiPriority w:val="30"/>
    <w:rsid w:val="00AE18A5"/>
    <w:rPr>
      <w:rFonts w:eastAsiaTheme="minorEastAsia" w:cstheme="minorBidi"/>
      <w:b/>
      <w:bCs/>
      <w:i/>
      <w:iCs/>
      <w:color w:val="4F81BD" w:themeColor="accent1"/>
      <w:szCs w:val="22"/>
      <w:lang w:val="en-US" w:eastAsia="en-US" w:bidi="en-US"/>
    </w:rPr>
  </w:style>
  <w:style w:type="character" w:styleId="SubtleEmphasis">
    <w:name w:val="Subtle Emphasis"/>
    <w:basedOn w:val="DefaultParagraphFont"/>
    <w:uiPriority w:val="19"/>
    <w:qFormat/>
    <w:rsid w:val="00AE18A5"/>
    <w:rPr>
      <w:i/>
      <w:iCs/>
      <w:color w:val="808080" w:themeColor="text1" w:themeTint="7F"/>
    </w:rPr>
  </w:style>
  <w:style w:type="character" w:styleId="IntenseEmphasis">
    <w:name w:val="Intense Emphasis"/>
    <w:basedOn w:val="DefaultParagraphFont"/>
    <w:uiPriority w:val="21"/>
    <w:qFormat/>
    <w:rsid w:val="00AE18A5"/>
    <w:rPr>
      <w:b/>
      <w:bCs/>
      <w:i/>
      <w:iCs/>
      <w:color w:val="4F81BD" w:themeColor="accent1"/>
    </w:rPr>
  </w:style>
  <w:style w:type="character" w:styleId="SubtleReference">
    <w:name w:val="Subtle Reference"/>
    <w:basedOn w:val="DefaultParagraphFont"/>
    <w:uiPriority w:val="31"/>
    <w:qFormat/>
    <w:rsid w:val="00AE18A5"/>
    <w:rPr>
      <w:smallCaps/>
      <w:color w:val="C0504D" w:themeColor="accent2"/>
      <w:u w:val="single"/>
    </w:rPr>
  </w:style>
  <w:style w:type="character" w:styleId="IntenseReference">
    <w:name w:val="Intense Reference"/>
    <w:basedOn w:val="DefaultParagraphFont"/>
    <w:uiPriority w:val="32"/>
    <w:qFormat/>
    <w:rsid w:val="00AE18A5"/>
    <w:rPr>
      <w:b/>
      <w:bCs/>
      <w:smallCaps/>
      <w:color w:val="C0504D" w:themeColor="accent2"/>
      <w:spacing w:val="5"/>
      <w:u w:val="single"/>
    </w:rPr>
  </w:style>
  <w:style w:type="character" w:styleId="BookTitle">
    <w:name w:val="Book Title"/>
    <w:basedOn w:val="DefaultParagraphFont"/>
    <w:uiPriority w:val="33"/>
    <w:qFormat/>
    <w:rsid w:val="00AE18A5"/>
    <w:rPr>
      <w:b/>
      <w:bCs/>
      <w:smallCaps/>
      <w:spacing w:val="5"/>
    </w:rPr>
  </w:style>
  <w:style w:type="table" w:customStyle="1" w:styleId="LightShading-Accent11">
    <w:name w:val="Light Shading - Accent 11"/>
    <w:basedOn w:val="TableNormal"/>
    <w:uiPriority w:val="60"/>
    <w:rsid w:val="00AE18A5"/>
    <w:rPr>
      <w:rFonts w:asciiTheme="minorHAnsi" w:eastAsiaTheme="minorEastAsia" w:hAnsiTheme="minorHAnsi" w:cstheme="minorBidi"/>
      <w:color w:val="365F91" w:themeColor="accent1" w:themeShade="BF"/>
      <w:sz w:val="22"/>
      <w:szCs w:val="22"/>
      <w:lang w:val="en-US" w:eastAsia="en-US" w:bidi="en-US"/>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GridTableLight">
    <w:name w:val="Grid Table Light"/>
    <w:basedOn w:val="TableNormal"/>
    <w:uiPriority w:val="40"/>
    <w:rsid w:val="00AE18A5"/>
    <w:rPr>
      <w:rFonts w:asciiTheme="minorHAnsi" w:eastAsiaTheme="minorEastAsia" w:hAnsiTheme="minorHAnsi" w:cstheme="minorBidi"/>
      <w:sz w:val="22"/>
      <w:szCs w:val="22"/>
      <w:lang w:val="en-US" w:eastAsia="en-US" w:bidi="en-US"/>
    </w:r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GridTable2">
    <w:name w:val="Grid Table 2"/>
    <w:basedOn w:val="TableNormal"/>
    <w:uiPriority w:val="47"/>
    <w:rsid w:val="00AE18A5"/>
    <w:rPr>
      <w:rFonts w:asciiTheme="minorHAnsi" w:eastAsiaTheme="minorEastAsia" w:hAnsiTheme="minorHAnsi" w:cstheme="minorBidi"/>
      <w:sz w:val="22"/>
      <w:szCs w:val="22"/>
      <w:lang w:val="en-US" w:eastAsia="en-US" w:bidi="en-US"/>
    </w:rPr>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1">
    <w:name w:val="Grid Table 2 Accent 1"/>
    <w:basedOn w:val="TableNormal"/>
    <w:uiPriority w:val="47"/>
    <w:rsid w:val="00AE18A5"/>
    <w:rPr>
      <w:rFonts w:asciiTheme="minorHAnsi" w:eastAsiaTheme="minorEastAsia" w:hAnsiTheme="minorHAnsi" w:cstheme="minorBidi"/>
      <w:sz w:val="22"/>
      <w:szCs w:val="22"/>
      <w:lang w:val="en-US" w:eastAsia="en-US" w:bidi="en-US"/>
    </w:rPr>
    <w:tblPr>
      <w:tblStyleRowBandSize w:val="1"/>
      <w:tblStyleColBandSize w:val="1"/>
      <w:tblInd w:w="0" w:type="dxa"/>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CellMar>
        <w:top w:w="0" w:type="dxa"/>
        <w:left w:w="108" w:type="dxa"/>
        <w:bottom w:w="0" w:type="dxa"/>
        <w:right w:w="108" w:type="dxa"/>
      </w:tblCellMar>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5Dark">
    <w:name w:val="Grid Table 5 Dark"/>
    <w:basedOn w:val="TableNormal"/>
    <w:uiPriority w:val="50"/>
    <w:rsid w:val="00AE18A5"/>
    <w:rPr>
      <w:rFonts w:asciiTheme="minorHAnsi" w:eastAsiaTheme="minorEastAsia" w:hAnsiTheme="minorHAnsi" w:cstheme="minorBidi"/>
      <w:sz w:val="22"/>
      <w:szCs w:val="22"/>
      <w:lang w:val="en-US" w:eastAsia="en-US" w:bidi="en-US"/>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Accent1">
    <w:name w:val="Grid Table 5 Dark Accent 1"/>
    <w:basedOn w:val="TableNormal"/>
    <w:uiPriority w:val="50"/>
    <w:rsid w:val="00AE18A5"/>
    <w:rPr>
      <w:rFonts w:asciiTheme="minorHAnsi" w:eastAsiaTheme="minorEastAsia" w:hAnsiTheme="minorHAnsi" w:cstheme="minorBidi"/>
      <w:sz w:val="22"/>
      <w:szCs w:val="22"/>
      <w:lang w:val="en-US" w:eastAsia="en-US" w:bidi="en-US"/>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0"/>
    <w:lsdException w:name="toc 6" w:uiPriority="0"/>
    <w:lsdException w:name="toc 7" w:uiPriority="0"/>
    <w:lsdException w:name="toc 8" w:uiPriority="0"/>
    <w:lsdException w:name="toc 9" w:uiPriority="0"/>
    <w:lsdException w:name="footnote text" w:qFormat="1"/>
    <w:lsdException w:name="caption" w:semiHidden="0" w:uiPriority="35" w:unhideWhenUsed="0" w:qFormat="1"/>
    <w:lsdException w:name="table of figures" w:qFormat="1"/>
    <w:lsdException w:name="footnote reference" w:qFormat="1"/>
    <w:lsdException w:name="page number" w:uiPriority="0"/>
    <w:lsdException w:name="endnote reference" w:uiPriority="0"/>
    <w:lsdException w:name="Lis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Date" w:qFormat="1"/>
    <w:lsdException w:name="Strong" w:semiHidden="0" w:uiPriority="22" w:unhideWhenUsed="0" w:qFormat="1"/>
    <w:lsdException w:name="Emphasis" w:semiHidden="0" w:uiPriority="20" w:unhideWhenUsed="0" w:qFormat="1"/>
    <w:lsdException w:name="Table Simple 2" w:uiPriority="0"/>
    <w:lsdException w:name="Table Classic 1"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0" w:qFormat="1"/>
    <w:lsdException w:name="TOC Heading" w:uiPriority="39" w:qFormat="1"/>
  </w:latentStyles>
  <w:style w:type="paragraph" w:default="1" w:styleId="Normal">
    <w:name w:val="Normal"/>
    <w:aliases w:val="figure note"/>
    <w:qFormat/>
    <w:rsid w:val="00AE18A5"/>
    <w:pPr>
      <w:suppressAutoHyphens/>
      <w:spacing w:after="200" w:line="276" w:lineRule="auto"/>
    </w:pPr>
    <w:rPr>
      <w:rFonts w:ascii="Book Antiqua" w:eastAsia="Arial" w:hAnsi="Book Antiqua" w:cs="Arial"/>
      <w:sz w:val="22"/>
      <w:szCs w:val="22"/>
      <w:lang w:val="en-US" w:eastAsia="ar-SA"/>
    </w:rPr>
  </w:style>
  <w:style w:type="paragraph" w:styleId="Heading1">
    <w:name w:val="heading 1"/>
    <w:basedOn w:val="Normal"/>
    <w:next w:val="Normal"/>
    <w:link w:val="Heading1Char"/>
    <w:autoRedefine/>
    <w:uiPriority w:val="9"/>
    <w:qFormat/>
    <w:rsid w:val="00AE18A5"/>
    <w:pPr>
      <w:keepNext/>
      <w:pageBreakBefore/>
      <w:spacing w:before="240" w:after="60"/>
      <w:jc w:val="both"/>
      <w:outlineLvl w:val="0"/>
    </w:pPr>
    <w:rPr>
      <w:rFonts w:ascii="Times New Roman" w:eastAsia="Times New Roman" w:hAnsi="Times New Roman" w:cs="Times New Roman"/>
      <w:b/>
      <w:bCs/>
      <w:color w:val="1F497D" w:themeColor="text2"/>
      <w:kern w:val="28"/>
      <w:sz w:val="28"/>
      <w:szCs w:val="32"/>
      <w:lang w:val="en-GB"/>
    </w:rPr>
  </w:style>
  <w:style w:type="paragraph" w:styleId="Heading2">
    <w:name w:val="heading 2"/>
    <w:basedOn w:val="Normal"/>
    <w:next w:val="Normal"/>
    <w:link w:val="Heading2Char"/>
    <w:autoRedefine/>
    <w:uiPriority w:val="9"/>
    <w:qFormat/>
    <w:rsid w:val="00AE18A5"/>
    <w:pPr>
      <w:keepNext/>
      <w:numPr>
        <w:ilvl w:val="1"/>
        <w:numId w:val="1"/>
      </w:numPr>
      <w:ind w:left="0" w:firstLine="0"/>
      <w:jc w:val="both"/>
      <w:outlineLvl w:val="1"/>
    </w:pPr>
    <w:rPr>
      <w:rFonts w:ascii="Times New Roman" w:eastAsia="Times New Roman" w:hAnsi="Times New Roman" w:cs="Times New Roman"/>
      <w:bCs/>
      <w:i/>
      <w:iCs/>
      <w:lang w:val="en-GB"/>
    </w:rPr>
  </w:style>
  <w:style w:type="paragraph" w:styleId="Heading3">
    <w:name w:val="heading 3"/>
    <w:basedOn w:val="Normal"/>
    <w:next w:val="Normal"/>
    <w:link w:val="Heading3Char"/>
    <w:uiPriority w:val="9"/>
    <w:qFormat/>
    <w:rsid w:val="00AE18A5"/>
    <w:pPr>
      <w:keepNext/>
      <w:numPr>
        <w:ilvl w:val="2"/>
        <w:numId w:val="1"/>
      </w:numPr>
      <w:spacing w:before="240" w:after="60"/>
      <w:outlineLvl w:val="2"/>
    </w:pPr>
    <w:rPr>
      <w:rFonts w:ascii="Cambria" w:eastAsia="Times New Roman" w:hAnsi="Cambria" w:cs="Times New Roman"/>
      <w:b/>
      <w:bCs/>
      <w:color w:val="1F497D" w:themeColor="text2"/>
      <w:sz w:val="24"/>
      <w:szCs w:val="26"/>
    </w:rPr>
  </w:style>
  <w:style w:type="paragraph" w:styleId="Heading4">
    <w:name w:val="heading 4"/>
    <w:basedOn w:val="Normal"/>
    <w:next w:val="Normal"/>
    <w:link w:val="Heading4Char"/>
    <w:uiPriority w:val="9"/>
    <w:qFormat/>
    <w:rsid w:val="00AE18A5"/>
    <w:pPr>
      <w:keepNext/>
      <w:numPr>
        <w:ilvl w:val="3"/>
        <w:numId w:val="1"/>
      </w:numPr>
      <w:spacing w:before="240" w:after="60"/>
      <w:outlineLvl w:val="3"/>
    </w:pPr>
    <w:rPr>
      <w:rFonts w:ascii="Calibri" w:eastAsia="Times New Roman" w:hAnsi="Calibri" w:cs="Times New Roman"/>
      <w:bCs/>
      <w:color w:val="1F497D" w:themeColor="text2"/>
      <w:sz w:val="24"/>
      <w:szCs w:val="28"/>
    </w:rPr>
  </w:style>
  <w:style w:type="paragraph" w:styleId="Heading5">
    <w:name w:val="heading 5"/>
    <w:basedOn w:val="Normal"/>
    <w:next w:val="Normal"/>
    <w:link w:val="Heading5Char"/>
    <w:uiPriority w:val="9"/>
    <w:unhideWhenUsed/>
    <w:qFormat/>
    <w:rsid w:val="00AE18A5"/>
    <w:pPr>
      <w:keepNext/>
      <w:keepLines/>
      <w:suppressAutoHyphens w:val="0"/>
      <w:spacing w:before="200" w:after="0" w:line="240" w:lineRule="auto"/>
      <w:outlineLvl w:val="4"/>
    </w:pPr>
    <w:rPr>
      <w:rFonts w:asciiTheme="majorHAnsi" w:eastAsiaTheme="majorEastAsia" w:hAnsiTheme="majorHAnsi" w:cstheme="majorBidi"/>
      <w:i/>
      <w:iCs/>
      <w:color w:val="4F81BD" w:themeColor="accent1"/>
      <w:sz w:val="24"/>
      <w:szCs w:val="24"/>
      <w:lang w:eastAsia="en-US"/>
    </w:rPr>
  </w:style>
  <w:style w:type="paragraph" w:styleId="Heading6">
    <w:name w:val="heading 6"/>
    <w:basedOn w:val="Normal"/>
    <w:next w:val="Normal"/>
    <w:link w:val="Heading6Char"/>
    <w:uiPriority w:val="9"/>
    <w:semiHidden/>
    <w:unhideWhenUsed/>
    <w:qFormat/>
    <w:rsid w:val="00AE18A5"/>
    <w:pPr>
      <w:keepNext/>
      <w:keepLines/>
      <w:suppressAutoHyphens w:val="0"/>
      <w:spacing w:before="200" w:after="0"/>
      <w:outlineLvl w:val="5"/>
    </w:pPr>
    <w:rPr>
      <w:rFonts w:asciiTheme="majorHAnsi" w:eastAsiaTheme="majorEastAsia" w:hAnsiTheme="majorHAnsi" w:cstheme="majorBidi"/>
      <w:i/>
      <w:iCs/>
      <w:color w:val="243F60" w:themeColor="accent1" w:themeShade="7F"/>
      <w:sz w:val="20"/>
      <w:lang w:eastAsia="en-US" w:bidi="en-US"/>
    </w:rPr>
  </w:style>
  <w:style w:type="paragraph" w:styleId="Heading7">
    <w:name w:val="heading 7"/>
    <w:basedOn w:val="Normal"/>
    <w:next w:val="Normal"/>
    <w:link w:val="Heading7Char"/>
    <w:uiPriority w:val="9"/>
    <w:semiHidden/>
    <w:unhideWhenUsed/>
    <w:qFormat/>
    <w:rsid w:val="00AE18A5"/>
    <w:pPr>
      <w:keepNext/>
      <w:keepLines/>
      <w:suppressAutoHyphens w:val="0"/>
      <w:spacing w:before="200" w:after="0"/>
      <w:outlineLvl w:val="6"/>
    </w:pPr>
    <w:rPr>
      <w:rFonts w:asciiTheme="majorHAnsi" w:eastAsiaTheme="majorEastAsia" w:hAnsiTheme="majorHAnsi" w:cstheme="majorBidi"/>
      <w:i/>
      <w:iCs/>
      <w:color w:val="404040" w:themeColor="text1" w:themeTint="BF"/>
      <w:sz w:val="20"/>
      <w:lang w:eastAsia="en-US" w:bidi="en-US"/>
    </w:rPr>
  </w:style>
  <w:style w:type="paragraph" w:styleId="Heading8">
    <w:name w:val="heading 8"/>
    <w:basedOn w:val="Normal"/>
    <w:next w:val="Normal"/>
    <w:link w:val="Heading8Char"/>
    <w:uiPriority w:val="9"/>
    <w:semiHidden/>
    <w:unhideWhenUsed/>
    <w:qFormat/>
    <w:rsid w:val="00AE18A5"/>
    <w:pPr>
      <w:keepNext/>
      <w:keepLines/>
      <w:suppressAutoHyphens w:val="0"/>
      <w:spacing w:before="200" w:after="0"/>
      <w:outlineLvl w:val="7"/>
    </w:pPr>
    <w:rPr>
      <w:rFonts w:asciiTheme="majorHAnsi" w:eastAsiaTheme="majorEastAsia" w:hAnsiTheme="majorHAnsi" w:cstheme="majorBidi"/>
      <w:color w:val="4F81BD" w:themeColor="accent1"/>
      <w:sz w:val="20"/>
      <w:szCs w:val="20"/>
      <w:lang w:eastAsia="en-US" w:bidi="en-US"/>
    </w:rPr>
  </w:style>
  <w:style w:type="paragraph" w:styleId="Heading9">
    <w:name w:val="heading 9"/>
    <w:basedOn w:val="Normal"/>
    <w:next w:val="Normal"/>
    <w:link w:val="Heading9Char"/>
    <w:uiPriority w:val="9"/>
    <w:semiHidden/>
    <w:unhideWhenUsed/>
    <w:qFormat/>
    <w:rsid w:val="00AE18A5"/>
    <w:pPr>
      <w:keepNext/>
      <w:keepLines/>
      <w:suppressAutoHyphens w:val="0"/>
      <w:spacing w:before="200" w:after="0"/>
      <w:outlineLvl w:val="8"/>
    </w:pPr>
    <w:rPr>
      <w:rFonts w:asciiTheme="majorHAnsi" w:eastAsiaTheme="majorEastAsia" w:hAnsiTheme="majorHAnsi" w:cstheme="majorBidi"/>
      <w:i/>
      <w:iCs/>
      <w:color w:val="404040" w:themeColor="text1" w:themeTint="BF"/>
      <w:sz w:val="20"/>
      <w:szCs w:val="20"/>
      <w:lang w:eastAsia="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4F65E4"/>
    <w:rPr>
      <w:rFonts w:asciiTheme="majorHAnsi" w:eastAsiaTheme="majorEastAsia" w:hAnsiTheme="majorHAnsi" w:cstheme="majorBidi"/>
      <w:i/>
      <w:iCs/>
      <w:color w:val="4F81BD" w:themeColor="accent1"/>
      <w:sz w:val="24"/>
      <w:szCs w:val="24"/>
      <w:lang w:val="en-US" w:eastAsia="en-US"/>
    </w:rPr>
  </w:style>
  <w:style w:type="character" w:customStyle="1" w:styleId="WW8Num2z0">
    <w:name w:val="WW8Num2z0"/>
    <w:rsid w:val="0093464A"/>
    <w:rPr>
      <w:rFonts w:ascii="Symbol" w:hAnsi="Symbol"/>
    </w:rPr>
  </w:style>
  <w:style w:type="character" w:customStyle="1" w:styleId="WW8Num3z0">
    <w:name w:val="WW8Num3z0"/>
    <w:rsid w:val="0093464A"/>
    <w:rPr>
      <w:rFonts w:ascii="Symbol" w:hAnsi="Symbol"/>
    </w:rPr>
  </w:style>
  <w:style w:type="character" w:customStyle="1" w:styleId="WW8Num4z0">
    <w:name w:val="WW8Num4z0"/>
    <w:rsid w:val="0093464A"/>
    <w:rPr>
      <w:rFonts w:ascii="Symbol" w:hAnsi="Symbol"/>
    </w:rPr>
  </w:style>
  <w:style w:type="character" w:customStyle="1" w:styleId="WW8Num5z0">
    <w:name w:val="WW8Num5z0"/>
    <w:rsid w:val="0093464A"/>
    <w:rPr>
      <w:rFonts w:ascii="Symbol" w:hAnsi="Symbol"/>
    </w:rPr>
  </w:style>
  <w:style w:type="character" w:customStyle="1" w:styleId="WW8Num6z0">
    <w:name w:val="WW8Num6z0"/>
    <w:rsid w:val="0093464A"/>
    <w:rPr>
      <w:rFonts w:ascii="Symbol" w:hAnsi="Symbol"/>
    </w:rPr>
  </w:style>
  <w:style w:type="character" w:customStyle="1" w:styleId="DefaultParagraphFont1">
    <w:name w:val="Default Paragraph Font1"/>
    <w:rsid w:val="0093464A"/>
  </w:style>
  <w:style w:type="character" w:customStyle="1" w:styleId="WW8Num7z0">
    <w:name w:val="WW8Num7z0"/>
    <w:rsid w:val="0093464A"/>
    <w:rPr>
      <w:rFonts w:ascii="Symbol" w:hAnsi="Symbol"/>
    </w:rPr>
  </w:style>
  <w:style w:type="character" w:customStyle="1" w:styleId="WW8Num8z0">
    <w:name w:val="WW8Num8z0"/>
    <w:rsid w:val="0093464A"/>
    <w:rPr>
      <w:rFonts w:ascii="Symbol" w:hAnsi="Symbol"/>
    </w:rPr>
  </w:style>
  <w:style w:type="character" w:customStyle="1" w:styleId="WW8Num10z0">
    <w:name w:val="WW8Num10z0"/>
    <w:rsid w:val="0093464A"/>
    <w:rPr>
      <w:rFonts w:ascii="Symbol" w:hAnsi="Symbol"/>
    </w:rPr>
  </w:style>
  <w:style w:type="character" w:customStyle="1" w:styleId="WW8Num13z0">
    <w:name w:val="WW8Num13z0"/>
    <w:rsid w:val="0093464A"/>
    <w:rPr>
      <w:rFonts w:ascii="Symbol" w:hAnsi="Symbol"/>
    </w:rPr>
  </w:style>
  <w:style w:type="character" w:customStyle="1" w:styleId="WW8Num13z1">
    <w:name w:val="WW8Num13z1"/>
    <w:rsid w:val="0093464A"/>
    <w:rPr>
      <w:rFonts w:ascii="Courier New" w:hAnsi="Courier New" w:cs="Courier New"/>
    </w:rPr>
  </w:style>
  <w:style w:type="character" w:customStyle="1" w:styleId="WW8Num13z2">
    <w:name w:val="WW8Num13z2"/>
    <w:rsid w:val="0093464A"/>
    <w:rPr>
      <w:rFonts w:ascii="Wingdings" w:hAnsi="Wingdings"/>
    </w:rPr>
  </w:style>
  <w:style w:type="character" w:customStyle="1" w:styleId="WW8Num14z0">
    <w:name w:val="WW8Num14z0"/>
    <w:rsid w:val="0093464A"/>
    <w:rPr>
      <w:rFonts w:ascii="Symbol" w:hAnsi="Symbol"/>
    </w:rPr>
  </w:style>
  <w:style w:type="character" w:customStyle="1" w:styleId="WW8Num14z1">
    <w:name w:val="WW8Num14z1"/>
    <w:rsid w:val="0093464A"/>
    <w:rPr>
      <w:rFonts w:ascii="Courier New" w:hAnsi="Courier New" w:cs="Courier New"/>
    </w:rPr>
  </w:style>
  <w:style w:type="character" w:customStyle="1" w:styleId="WW8Num14z2">
    <w:name w:val="WW8Num14z2"/>
    <w:rsid w:val="0093464A"/>
    <w:rPr>
      <w:rFonts w:ascii="Wingdings" w:hAnsi="Wingdings"/>
    </w:rPr>
  </w:style>
  <w:style w:type="character" w:customStyle="1" w:styleId="WW8Num15z0">
    <w:name w:val="WW8Num15z0"/>
    <w:rsid w:val="0093464A"/>
    <w:rPr>
      <w:rFonts w:ascii="Symbol" w:hAnsi="Symbol"/>
    </w:rPr>
  </w:style>
  <w:style w:type="character" w:customStyle="1" w:styleId="WW8Num15z1">
    <w:name w:val="WW8Num15z1"/>
    <w:rsid w:val="0093464A"/>
    <w:rPr>
      <w:rFonts w:ascii="Courier New" w:hAnsi="Courier New" w:cs="Courier New"/>
    </w:rPr>
  </w:style>
  <w:style w:type="character" w:customStyle="1" w:styleId="WW8Num15z2">
    <w:name w:val="WW8Num15z2"/>
    <w:rsid w:val="0093464A"/>
    <w:rPr>
      <w:rFonts w:ascii="Wingdings" w:hAnsi="Wingdings"/>
    </w:rPr>
  </w:style>
  <w:style w:type="character" w:customStyle="1" w:styleId="WW8Num16z0">
    <w:name w:val="WW8Num16z0"/>
    <w:rsid w:val="0093464A"/>
    <w:rPr>
      <w:rFonts w:ascii="Symbol" w:hAnsi="Symbol"/>
    </w:rPr>
  </w:style>
  <w:style w:type="character" w:customStyle="1" w:styleId="WW8Num16z1">
    <w:name w:val="WW8Num16z1"/>
    <w:rsid w:val="0093464A"/>
    <w:rPr>
      <w:rFonts w:ascii="Courier New" w:hAnsi="Courier New" w:cs="Courier New"/>
    </w:rPr>
  </w:style>
  <w:style w:type="character" w:customStyle="1" w:styleId="WW8Num16z2">
    <w:name w:val="WW8Num16z2"/>
    <w:rsid w:val="0093464A"/>
    <w:rPr>
      <w:rFonts w:ascii="Wingdings" w:hAnsi="Wingdings"/>
    </w:rPr>
  </w:style>
  <w:style w:type="character" w:customStyle="1" w:styleId="WW8Num18z0">
    <w:name w:val="WW8Num18z0"/>
    <w:rsid w:val="0093464A"/>
    <w:rPr>
      <w:sz w:val="28"/>
      <w:szCs w:val="28"/>
    </w:rPr>
  </w:style>
  <w:style w:type="character" w:customStyle="1" w:styleId="WW8Num20z0">
    <w:name w:val="WW8Num20z0"/>
    <w:rsid w:val="0093464A"/>
    <w:rPr>
      <w:rFonts w:ascii="Symbol" w:hAnsi="Symbol"/>
    </w:rPr>
  </w:style>
  <w:style w:type="character" w:customStyle="1" w:styleId="WW8Num21z0">
    <w:name w:val="WW8Num21z0"/>
    <w:rsid w:val="0093464A"/>
    <w:rPr>
      <w:rFonts w:ascii="Symbol" w:hAnsi="Symbol"/>
    </w:rPr>
  </w:style>
  <w:style w:type="character" w:customStyle="1" w:styleId="WW8Num21z1">
    <w:name w:val="WW8Num21z1"/>
    <w:rsid w:val="0093464A"/>
    <w:rPr>
      <w:rFonts w:ascii="Courier New" w:hAnsi="Courier New" w:cs="Courier New"/>
    </w:rPr>
  </w:style>
  <w:style w:type="character" w:customStyle="1" w:styleId="WW8Num21z2">
    <w:name w:val="WW8Num21z2"/>
    <w:rsid w:val="0093464A"/>
    <w:rPr>
      <w:rFonts w:ascii="Wingdings" w:hAnsi="Wingdings"/>
    </w:rPr>
  </w:style>
  <w:style w:type="character" w:customStyle="1" w:styleId="HeaderChar">
    <w:name w:val="Header Char"/>
    <w:basedOn w:val="DefaultParagraphFont1"/>
    <w:link w:val="Header"/>
    <w:uiPriority w:val="99"/>
    <w:rsid w:val="0093464A"/>
    <w:rPr>
      <w:rFonts w:ascii="Book Antiqua" w:eastAsia="Arial" w:hAnsi="Book Antiqua" w:cs="Arial"/>
      <w:sz w:val="22"/>
      <w:szCs w:val="22"/>
      <w:lang w:val="en-US" w:eastAsia="ar-SA"/>
    </w:rPr>
  </w:style>
  <w:style w:type="character" w:customStyle="1" w:styleId="FooterChar">
    <w:name w:val="Footer Char"/>
    <w:basedOn w:val="DefaultParagraphFont1"/>
    <w:link w:val="Footer"/>
    <w:uiPriority w:val="99"/>
    <w:rsid w:val="0093464A"/>
    <w:rPr>
      <w:rFonts w:ascii="Book Antiqua" w:eastAsia="Arial" w:hAnsi="Book Antiqua" w:cs="Arial"/>
      <w:sz w:val="22"/>
      <w:szCs w:val="22"/>
      <w:lang w:val="en-US" w:eastAsia="ar-SA"/>
    </w:rPr>
  </w:style>
  <w:style w:type="character" w:customStyle="1" w:styleId="BalloonTextChar">
    <w:name w:val="Balloon Text Char"/>
    <w:link w:val="BalloonText"/>
    <w:uiPriority w:val="99"/>
    <w:rsid w:val="0093464A"/>
    <w:rPr>
      <w:rFonts w:ascii="Tahoma" w:eastAsia="Arial" w:hAnsi="Tahoma" w:cs="Tahoma"/>
      <w:sz w:val="16"/>
      <w:szCs w:val="16"/>
      <w:lang w:val="en-US" w:eastAsia="ar-SA"/>
    </w:rPr>
  </w:style>
  <w:style w:type="character" w:customStyle="1" w:styleId="FootnoteTextChar">
    <w:name w:val="Footnote Text Char"/>
    <w:aliases w:val="Paragraph Footnote Char"/>
    <w:basedOn w:val="DefaultParagraphFont1"/>
    <w:link w:val="FootnoteText"/>
    <w:uiPriority w:val="99"/>
    <w:qFormat/>
    <w:rsid w:val="0093464A"/>
    <w:rPr>
      <w:rFonts w:ascii="Book Antiqua" w:eastAsia="Arial" w:hAnsi="Book Antiqua" w:cs="Arial"/>
      <w:lang w:val="en-US" w:eastAsia="ar-SA"/>
    </w:rPr>
  </w:style>
  <w:style w:type="character" w:customStyle="1" w:styleId="FootnoteCharacters">
    <w:name w:val="Footnote Characters"/>
    <w:rsid w:val="0093464A"/>
    <w:rPr>
      <w:vertAlign w:val="superscript"/>
    </w:rPr>
  </w:style>
  <w:style w:type="character" w:customStyle="1" w:styleId="Heading1Char">
    <w:name w:val="Heading 1 Char"/>
    <w:link w:val="Heading1"/>
    <w:uiPriority w:val="9"/>
    <w:rsid w:val="0093464A"/>
    <w:rPr>
      <w:b/>
      <w:bCs/>
      <w:color w:val="1F497D" w:themeColor="text2"/>
      <w:kern w:val="28"/>
      <w:sz w:val="28"/>
      <w:szCs w:val="32"/>
      <w:lang w:eastAsia="ar-SA"/>
    </w:rPr>
  </w:style>
  <w:style w:type="character" w:customStyle="1" w:styleId="Heading2Char">
    <w:name w:val="Heading 2 Char"/>
    <w:link w:val="Heading2"/>
    <w:uiPriority w:val="9"/>
    <w:rsid w:val="0093464A"/>
    <w:rPr>
      <w:bCs/>
      <w:i/>
      <w:iCs/>
      <w:sz w:val="22"/>
      <w:szCs w:val="22"/>
      <w:lang w:eastAsia="ar-SA"/>
    </w:rPr>
  </w:style>
  <w:style w:type="character" w:customStyle="1" w:styleId="Heading3Char">
    <w:name w:val="Heading 3 Char"/>
    <w:link w:val="Heading3"/>
    <w:uiPriority w:val="9"/>
    <w:rsid w:val="0093464A"/>
    <w:rPr>
      <w:rFonts w:ascii="Cambria" w:hAnsi="Cambria"/>
      <w:b/>
      <w:bCs/>
      <w:color w:val="1F497D" w:themeColor="text2"/>
      <w:sz w:val="24"/>
      <w:szCs w:val="26"/>
      <w:lang w:val="en-US" w:eastAsia="ar-SA"/>
    </w:rPr>
  </w:style>
  <w:style w:type="character" w:styleId="PageNumber">
    <w:name w:val="page number"/>
    <w:rsid w:val="0093464A"/>
    <w:rPr>
      <w:rFonts w:ascii="Arial" w:hAnsi="Arial"/>
      <w:sz w:val="18"/>
      <w:szCs w:val="18"/>
    </w:rPr>
  </w:style>
  <w:style w:type="character" w:customStyle="1" w:styleId="BodyTextChar">
    <w:name w:val="Body Text Char"/>
    <w:link w:val="ImageCaption"/>
    <w:qFormat/>
    <w:rsid w:val="0093464A"/>
    <w:rPr>
      <w:rFonts w:ascii="Times New Roman" w:eastAsia="SimSun" w:hAnsi="Times New Roman" w:cs="Arial"/>
      <w:sz w:val="22"/>
      <w:szCs w:val="24"/>
    </w:rPr>
  </w:style>
  <w:style w:type="paragraph" w:customStyle="1" w:styleId="ImageCaption">
    <w:name w:val="Image Caption"/>
    <w:basedOn w:val="Normal"/>
    <w:link w:val="BodyTextChar"/>
    <w:rsid w:val="004F65E4"/>
    <w:pPr>
      <w:suppressAutoHyphens w:val="0"/>
      <w:spacing w:after="120" w:line="240" w:lineRule="auto"/>
    </w:pPr>
    <w:rPr>
      <w:rFonts w:ascii="Times New Roman" w:eastAsia="SimSun" w:hAnsi="Times New Roman"/>
      <w:szCs w:val="24"/>
      <w:lang w:val="en-GB" w:eastAsia="en-GB"/>
    </w:rPr>
  </w:style>
  <w:style w:type="character" w:styleId="Hyperlink">
    <w:name w:val="Hyperlink"/>
    <w:uiPriority w:val="99"/>
    <w:rsid w:val="0093464A"/>
    <w:rPr>
      <w:rFonts w:ascii="Book Antiqua" w:hAnsi="Book Antiqua"/>
      <w:smallCaps/>
      <w:color w:val="0000FF"/>
      <w:sz w:val="22"/>
      <w:u w:val="single"/>
      <w:lang w:val="en-US" w:eastAsia="ar-SA" w:bidi="ar-SA"/>
    </w:rPr>
  </w:style>
  <w:style w:type="character" w:customStyle="1" w:styleId="Heading4Char">
    <w:name w:val="Heading 4 Char"/>
    <w:link w:val="Heading4"/>
    <w:uiPriority w:val="9"/>
    <w:rsid w:val="0093464A"/>
    <w:rPr>
      <w:rFonts w:ascii="Calibri" w:hAnsi="Calibri"/>
      <w:bCs/>
      <w:color w:val="1F497D" w:themeColor="text2"/>
      <w:sz w:val="24"/>
      <w:szCs w:val="28"/>
      <w:lang w:val="en-US" w:eastAsia="ar-SA"/>
    </w:rPr>
  </w:style>
  <w:style w:type="character" w:styleId="CommentReference">
    <w:name w:val="annotation reference"/>
    <w:uiPriority w:val="99"/>
    <w:rsid w:val="00AE18A5"/>
    <w:rPr>
      <w:sz w:val="16"/>
      <w:szCs w:val="16"/>
    </w:rPr>
  </w:style>
  <w:style w:type="character" w:customStyle="1" w:styleId="CommentTextChar">
    <w:name w:val="Comment Text Char"/>
    <w:basedOn w:val="DefaultParagraphFont1"/>
    <w:link w:val="CommentText"/>
    <w:uiPriority w:val="99"/>
    <w:rsid w:val="0093464A"/>
    <w:rPr>
      <w:rFonts w:ascii="Book Antiqua" w:eastAsia="Arial" w:hAnsi="Book Antiqua" w:cs="Arial"/>
      <w:lang w:val="en-US" w:eastAsia="ar-SA"/>
    </w:rPr>
  </w:style>
  <w:style w:type="character" w:customStyle="1" w:styleId="CommentSubjectChar">
    <w:name w:val="Comment Subject Char"/>
    <w:link w:val="CommentSubject"/>
    <w:uiPriority w:val="99"/>
    <w:rsid w:val="0093464A"/>
    <w:rPr>
      <w:rFonts w:ascii="Book Antiqua" w:eastAsia="Arial" w:hAnsi="Book Antiqua" w:cs="Arial"/>
      <w:b/>
      <w:bCs/>
      <w:lang w:val="en-US" w:eastAsia="ar-SA"/>
    </w:rPr>
  </w:style>
  <w:style w:type="character" w:customStyle="1" w:styleId="FootnoteReference1">
    <w:name w:val="Footnote Reference1"/>
    <w:rsid w:val="0093464A"/>
    <w:rPr>
      <w:vertAlign w:val="superscript"/>
    </w:rPr>
  </w:style>
  <w:style w:type="character" w:customStyle="1" w:styleId="EndnoteCharacters">
    <w:name w:val="Endnote Characters"/>
    <w:rsid w:val="0093464A"/>
    <w:rPr>
      <w:vertAlign w:val="superscript"/>
    </w:rPr>
  </w:style>
  <w:style w:type="character" w:customStyle="1" w:styleId="WW-EndnoteCharacters">
    <w:name w:val="WW-Endnote Characters"/>
    <w:rsid w:val="0093464A"/>
  </w:style>
  <w:style w:type="character" w:styleId="FootnoteReference">
    <w:name w:val="footnote reference"/>
    <w:uiPriority w:val="99"/>
    <w:qFormat/>
    <w:rsid w:val="00AE18A5"/>
    <w:rPr>
      <w:vertAlign w:val="superscript"/>
    </w:rPr>
  </w:style>
  <w:style w:type="character" w:styleId="EndnoteReference">
    <w:name w:val="endnote reference"/>
    <w:rsid w:val="0093464A"/>
    <w:rPr>
      <w:vertAlign w:val="superscript"/>
    </w:rPr>
  </w:style>
  <w:style w:type="paragraph" w:customStyle="1" w:styleId="Heading">
    <w:name w:val="Heading"/>
    <w:basedOn w:val="Normal"/>
    <w:next w:val="BodyText"/>
    <w:rsid w:val="0093464A"/>
    <w:pPr>
      <w:keepNext/>
      <w:spacing w:before="240" w:after="120"/>
    </w:pPr>
    <w:rPr>
      <w:rFonts w:ascii="Liberation Sans" w:eastAsia="DejaVu Sans" w:hAnsi="Liberation Sans" w:cs="Lohit Hindi"/>
      <w:sz w:val="28"/>
      <w:szCs w:val="28"/>
    </w:rPr>
  </w:style>
  <w:style w:type="paragraph" w:styleId="BodyText">
    <w:name w:val="Body Text"/>
    <w:basedOn w:val="Normal"/>
    <w:rsid w:val="0093464A"/>
    <w:pPr>
      <w:spacing w:after="120" w:line="240" w:lineRule="auto"/>
      <w:ind w:left="567"/>
    </w:pPr>
    <w:rPr>
      <w:rFonts w:ascii="Times New Roman" w:eastAsia="SimSun" w:hAnsi="Times New Roman"/>
      <w:szCs w:val="24"/>
    </w:rPr>
  </w:style>
  <w:style w:type="paragraph" w:styleId="List">
    <w:name w:val="List"/>
    <w:basedOn w:val="BodyText"/>
    <w:rsid w:val="0093464A"/>
    <w:rPr>
      <w:rFonts w:cs="Lohit Hindi"/>
    </w:rPr>
  </w:style>
  <w:style w:type="paragraph" w:styleId="Caption">
    <w:name w:val="caption"/>
    <w:basedOn w:val="Normal"/>
    <w:uiPriority w:val="35"/>
    <w:qFormat/>
    <w:rsid w:val="00AE18A5"/>
    <w:pPr>
      <w:suppressLineNumbers/>
      <w:spacing w:before="120" w:after="120"/>
    </w:pPr>
    <w:rPr>
      <w:rFonts w:cs="Lohit Hindi"/>
      <w:i/>
      <w:iCs/>
      <w:sz w:val="24"/>
      <w:szCs w:val="24"/>
    </w:rPr>
  </w:style>
  <w:style w:type="paragraph" w:customStyle="1" w:styleId="Index">
    <w:name w:val="Index"/>
    <w:basedOn w:val="Normal"/>
    <w:rsid w:val="0093464A"/>
    <w:pPr>
      <w:suppressLineNumbers/>
    </w:pPr>
    <w:rPr>
      <w:rFonts w:cs="Lohit Hindi"/>
    </w:rPr>
  </w:style>
  <w:style w:type="paragraph" w:styleId="Header">
    <w:name w:val="header"/>
    <w:basedOn w:val="Normal"/>
    <w:link w:val="HeaderChar"/>
    <w:uiPriority w:val="99"/>
    <w:rsid w:val="00AE18A5"/>
    <w:pPr>
      <w:spacing w:after="0" w:line="240" w:lineRule="auto"/>
    </w:pPr>
  </w:style>
  <w:style w:type="paragraph" w:styleId="Footer">
    <w:name w:val="footer"/>
    <w:basedOn w:val="Normal"/>
    <w:link w:val="FooterChar"/>
    <w:uiPriority w:val="99"/>
    <w:rsid w:val="00AE18A5"/>
    <w:pPr>
      <w:spacing w:after="0" w:line="240" w:lineRule="auto"/>
    </w:pPr>
  </w:style>
  <w:style w:type="paragraph" w:styleId="BalloonText">
    <w:name w:val="Balloon Text"/>
    <w:basedOn w:val="Normal"/>
    <w:link w:val="BalloonTextChar"/>
    <w:uiPriority w:val="99"/>
    <w:rsid w:val="00AE18A5"/>
    <w:pPr>
      <w:spacing w:after="0" w:line="240" w:lineRule="auto"/>
    </w:pPr>
    <w:rPr>
      <w:rFonts w:ascii="Tahoma" w:hAnsi="Tahoma" w:cs="Tahoma"/>
      <w:sz w:val="16"/>
      <w:szCs w:val="16"/>
    </w:rPr>
  </w:style>
  <w:style w:type="paragraph" w:styleId="FootnoteText">
    <w:name w:val="footnote text"/>
    <w:aliases w:val="Paragraph Footnote"/>
    <w:basedOn w:val="Normal"/>
    <w:link w:val="FootnoteTextChar"/>
    <w:uiPriority w:val="99"/>
    <w:qFormat/>
    <w:rsid w:val="00AE18A5"/>
    <w:rPr>
      <w:sz w:val="20"/>
      <w:szCs w:val="20"/>
    </w:rPr>
  </w:style>
  <w:style w:type="paragraph" w:customStyle="1" w:styleId="CharCharCharCharCharCharCharCharCharCarattereCarattereCharCharCarattereCarattere">
    <w:name w:val="Char Char Char Char Char Char Char Char Char Carattere Carattere Char Char Carattere Carattere"/>
    <w:basedOn w:val="Normal"/>
    <w:rsid w:val="0093464A"/>
    <w:pPr>
      <w:spacing w:before="120" w:after="160" w:line="240" w:lineRule="exact"/>
      <w:jc w:val="both"/>
    </w:pPr>
    <w:rPr>
      <w:rFonts w:eastAsia="SimSun"/>
      <w:b/>
      <w:smallCaps/>
      <w:szCs w:val="20"/>
    </w:rPr>
  </w:style>
  <w:style w:type="paragraph" w:styleId="TOC1">
    <w:name w:val="toc 1"/>
    <w:basedOn w:val="Normal"/>
    <w:next w:val="Normal"/>
    <w:link w:val="TOC1Char"/>
    <w:uiPriority w:val="39"/>
    <w:qFormat/>
    <w:rsid w:val="00F857C8"/>
    <w:pPr>
      <w:spacing w:before="240" w:after="120" w:line="240" w:lineRule="auto"/>
    </w:pPr>
    <w:rPr>
      <w:rFonts w:ascii="Times New Roman" w:eastAsia="SimSun" w:hAnsi="Times New Roman"/>
      <w:bCs/>
      <w:szCs w:val="20"/>
    </w:rPr>
  </w:style>
  <w:style w:type="paragraph" w:styleId="TOC2">
    <w:name w:val="toc 2"/>
    <w:basedOn w:val="Normal"/>
    <w:next w:val="Normal"/>
    <w:uiPriority w:val="39"/>
    <w:qFormat/>
    <w:rsid w:val="0093464A"/>
    <w:pPr>
      <w:ind w:left="220"/>
    </w:pPr>
  </w:style>
  <w:style w:type="paragraph" w:styleId="CommentText">
    <w:name w:val="annotation text"/>
    <w:basedOn w:val="Normal"/>
    <w:link w:val="CommentTextChar"/>
    <w:uiPriority w:val="99"/>
    <w:rsid w:val="00AE18A5"/>
    <w:rPr>
      <w:sz w:val="20"/>
      <w:szCs w:val="20"/>
    </w:rPr>
  </w:style>
  <w:style w:type="paragraph" w:styleId="CommentSubject">
    <w:name w:val="annotation subject"/>
    <w:basedOn w:val="CommentText"/>
    <w:next w:val="CommentText"/>
    <w:link w:val="CommentSubjectChar"/>
    <w:uiPriority w:val="99"/>
    <w:rsid w:val="00AE18A5"/>
    <w:rPr>
      <w:b/>
      <w:bCs/>
    </w:rPr>
  </w:style>
  <w:style w:type="paragraph" w:customStyle="1" w:styleId="TableContents">
    <w:name w:val="Table Contents"/>
    <w:basedOn w:val="Normal"/>
    <w:rsid w:val="0093464A"/>
    <w:pPr>
      <w:suppressLineNumbers/>
    </w:pPr>
  </w:style>
  <w:style w:type="paragraph" w:customStyle="1" w:styleId="TableHeading">
    <w:name w:val="Table Heading"/>
    <w:basedOn w:val="TableContents"/>
    <w:rsid w:val="0093464A"/>
    <w:pPr>
      <w:jc w:val="center"/>
    </w:pPr>
    <w:rPr>
      <w:b/>
      <w:bCs/>
    </w:rPr>
  </w:style>
  <w:style w:type="paragraph" w:styleId="TOC3">
    <w:name w:val="toc 3"/>
    <w:basedOn w:val="Index"/>
    <w:uiPriority w:val="39"/>
    <w:qFormat/>
    <w:rsid w:val="0093464A"/>
    <w:pPr>
      <w:ind w:left="566"/>
    </w:pPr>
  </w:style>
  <w:style w:type="paragraph" w:styleId="TOC4">
    <w:name w:val="toc 4"/>
    <w:basedOn w:val="Index"/>
    <w:uiPriority w:val="39"/>
    <w:rsid w:val="0093464A"/>
    <w:pPr>
      <w:ind w:left="849"/>
    </w:pPr>
  </w:style>
  <w:style w:type="paragraph" w:styleId="TOC5">
    <w:name w:val="toc 5"/>
    <w:basedOn w:val="Index"/>
    <w:rsid w:val="0093464A"/>
    <w:pPr>
      <w:ind w:left="1132"/>
    </w:pPr>
  </w:style>
  <w:style w:type="paragraph" w:styleId="TOC6">
    <w:name w:val="toc 6"/>
    <w:basedOn w:val="Index"/>
    <w:rsid w:val="0093464A"/>
    <w:pPr>
      <w:ind w:left="1415"/>
    </w:pPr>
  </w:style>
  <w:style w:type="paragraph" w:styleId="TOC7">
    <w:name w:val="toc 7"/>
    <w:basedOn w:val="Index"/>
    <w:rsid w:val="0093464A"/>
    <w:pPr>
      <w:ind w:left="1698"/>
    </w:pPr>
  </w:style>
  <w:style w:type="paragraph" w:styleId="TOC8">
    <w:name w:val="toc 8"/>
    <w:basedOn w:val="Index"/>
    <w:rsid w:val="0093464A"/>
    <w:pPr>
      <w:ind w:left="1981"/>
    </w:pPr>
  </w:style>
  <w:style w:type="paragraph" w:styleId="TOC9">
    <w:name w:val="toc 9"/>
    <w:basedOn w:val="Index"/>
    <w:rsid w:val="0093464A"/>
    <w:pPr>
      <w:ind w:left="2264"/>
    </w:pPr>
  </w:style>
  <w:style w:type="paragraph" w:customStyle="1" w:styleId="Contents10">
    <w:name w:val="Contents 10"/>
    <w:basedOn w:val="Index"/>
    <w:rsid w:val="0093464A"/>
    <w:pPr>
      <w:ind w:left="2547"/>
    </w:pPr>
  </w:style>
  <w:style w:type="paragraph" w:styleId="ListParagraph">
    <w:name w:val="List Paragraph"/>
    <w:basedOn w:val="Normal"/>
    <w:uiPriority w:val="34"/>
    <w:qFormat/>
    <w:rsid w:val="00AE18A5"/>
    <w:pPr>
      <w:suppressAutoHyphens w:val="0"/>
      <w:ind w:left="720"/>
      <w:contextualSpacing/>
    </w:pPr>
    <w:rPr>
      <w:rFonts w:eastAsia="Book Antiqua" w:cs="Times New Roman"/>
      <w:lang w:val="en-GB" w:eastAsia="en-US"/>
    </w:rPr>
  </w:style>
  <w:style w:type="paragraph" w:customStyle="1" w:styleId="NumberedPara">
    <w:name w:val="Numbered Para"/>
    <w:basedOn w:val="Normal"/>
    <w:rsid w:val="00DB6CDA"/>
    <w:pPr>
      <w:suppressAutoHyphens w:val="0"/>
      <w:spacing w:before="160" w:after="20" w:line="240" w:lineRule="auto"/>
    </w:pPr>
    <w:rPr>
      <w:rFonts w:ascii="Times New Roman" w:eastAsia="SimSun" w:hAnsi="Times New Roman" w:cs="Times New Roman"/>
      <w:sz w:val="24"/>
      <w:szCs w:val="24"/>
      <w:lang w:val="en-GB" w:eastAsia="zh-TW"/>
    </w:rPr>
  </w:style>
  <w:style w:type="character" w:customStyle="1" w:styleId="hps">
    <w:name w:val="hps"/>
    <w:basedOn w:val="DefaultParagraphFont"/>
    <w:rsid w:val="00573CF6"/>
  </w:style>
  <w:style w:type="paragraph" w:styleId="NormalWeb">
    <w:name w:val="Normal (Web)"/>
    <w:basedOn w:val="Normal"/>
    <w:uiPriority w:val="99"/>
    <w:rsid w:val="00DC462B"/>
    <w:pPr>
      <w:suppressAutoHyphens w:val="0"/>
      <w:spacing w:before="100" w:beforeAutospacing="1" w:after="100" w:afterAutospacing="1" w:line="240" w:lineRule="auto"/>
    </w:pPr>
    <w:rPr>
      <w:rFonts w:ascii="Times New Roman" w:eastAsia="Times New Roman" w:hAnsi="Times New Roman" w:cs="Times New Roman"/>
      <w:sz w:val="24"/>
      <w:szCs w:val="24"/>
      <w:lang w:val="en-GB" w:eastAsia="en-US"/>
    </w:rPr>
  </w:style>
  <w:style w:type="character" w:styleId="Strong">
    <w:name w:val="Strong"/>
    <w:aliases w:val="table"/>
    <w:basedOn w:val="DefaultParagraphFont"/>
    <w:uiPriority w:val="22"/>
    <w:qFormat/>
    <w:rsid w:val="004F65E4"/>
    <w:rPr>
      <w:rFonts w:ascii="Times New Roman" w:hAnsi="Times New Roman"/>
      <w:b/>
      <w:bCs/>
      <w:color w:val="auto"/>
      <w:sz w:val="22"/>
    </w:rPr>
  </w:style>
  <w:style w:type="paragraph" w:customStyle="1" w:styleId="Compact">
    <w:name w:val="Compact"/>
    <w:basedOn w:val="Normal"/>
    <w:qFormat/>
    <w:rsid w:val="00AE18A5"/>
    <w:pPr>
      <w:suppressAutoHyphens w:val="0"/>
      <w:spacing w:before="36" w:after="36" w:line="240" w:lineRule="auto"/>
    </w:pPr>
    <w:rPr>
      <w:rFonts w:ascii="Times New Roman" w:eastAsiaTheme="minorHAnsi" w:hAnsi="Times New Roman" w:cstheme="minorBidi"/>
      <w:sz w:val="24"/>
      <w:szCs w:val="24"/>
      <w:lang w:eastAsia="en-US"/>
    </w:rPr>
  </w:style>
  <w:style w:type="table" w:customStyle="1" w:styleId="GridTable5Dark-Accent11">
    <w:name w:val="Grid Table 5 Dark - Accent 11"/>
    <w:basedOn w:val="TableNormal"/>
    <w:uiPriority w:val="50"/>
    <w:rsid w:val="004F65E4"/>
    <w:rPr>
      <w:rFonts w:asciiTheme="minorHAnsi" w:eastAsiaTheme="minorEastAsia" w:hAnsiTheme="minorHAnsi" w:cstheme="minorBidi"/>
      <w:sz w:val="22"/>
      <w:szCs w:val="22"/>
      <w:lang w:val="en-US" w:eastAsia="en-US" w:bidi="en-US"/>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paragraph" w:styleId="NoSpacing">
    <w:name w:val="No Spacing"/>
    <w:uiPriority w:val="1"/>
    <w:qFormat/>
    <w:rsid w:val="00AE18A5"/>
    <w:rPr>
      <w:rFonts w:eastAsia="SimSun" w:cs="Arial"/>
      <w:sz w:val="24"/>
      <w:szCs w:val="22"/>
      <w:lang w:eastAsia="zh-CN"/>
    </w:rPr>
  </w:style>
  <w:style w:type="table" w:customStyle="1" w:styleId="GridTable1Light-Accent11">
    <w:name w:val="Grid Table 1 Light - Accent 11"/>
    <w:basedOn w:val="TableNormal"/>
    <w:uiPriority w:val="46"/>
    <w:rsid w:val="004F65E4"/>
    <w:rPr>
      <w:rFonts w:asciiTheme="minorHAnsi" w:eastAsiaTheme="minorEastAsia" w:hAnsiTheme="minorHAnsi" w:cstheme="minorBidi"/>
      <w:sz w:val="22"/>
      <w:szCs w:val="22"/>
      <w:lang w:val="en-US" w:eastAsia="zh-CN"/>
    </w:rPr>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TableofFigures">
    <w:name w:val="table of figures"/>
    <w:basedOn w:val="Normal"/>
    <w:next w:val="Normal"/>
    <w:uiPriority w:val="99"/>
    <w:unhideWhenUsed/>
    <w:qFormat/>
    <w:rsid w:val="002744C3"/>
    <w:pPr>
      <w:suppressAutoHyphens w:val="0"/>
      <w:spacing w:after="0"/>
    </w:pPr>
    <w:rPr>
      <w:rFonts w:ascii="Times New Roman" w:eastAsiaTheme="minorEastAsia" w:hAnsi="Times New Roman" w:cstheme="minorBidi"/>
      <w:lang w:eastAsia="zh-CN"/>
    </w:rPr>
  </w:style>
  <w:style w:type="paragraph" w:styleId="TOCHeading">
    <w:name w:val="TOC Heading"/>
    <w:basedOn w:val="Heading1"/>
    <w:next w:val="Normal"/>
    <w:uiPriority w:val="39"/>
    <w:unhideWhenUsed/>
    <w:qFormat/>
    <w:rsid w:val="00AE18A5"/>
    <w:pPr>
      <w:keepLines/>
      <w:pageBreakBefore w:val="0"/>
      <w:suppressAutoHyphens w:val="0"/>
      <w:spacing w:after="0" w:line="259" w:lineRule="auto"/>
      <w:outlineLvl w:val="9"/>
    </w:pPr>
    <w:rPr>
      <w:rFonts w:asciiTheme="majorHAnsi" w:eastAsiaTheme="majorEastAsia" w:hAnsiTheme="majorHAnsi" w:cstheme="majorBidi"/>
      <w:b w:val="0"/>
      <w:bCs w:val="0"/>
      <w:kern w:val="0"/>
      <w:sz w:val="32"/>
      <w:lang w:eastAsia="en-US"/>
    </w:rPr>
  </w:style>
  <w:style w:type="table" w:styleId="TableGrid">
    <w:name w:val="Table Grid"/>
    <w:basedOn w:val="TableNormal"/>
    <w:uiPriority w:val="59"/>
    <w:rsid w:val="004F65E4"/>
    <w:rPr>
      <w:rFonts w:asciiTheme="minorHAnsi" w:eastAsiaTheme="minorEastAsia" w:hAnsiTheme="minorHAnsi" w:cstheme="minorBidi"/>
      <w:sz w:val="22"/>
      <w:szCs w:val="22"/>
      <w:lang w:val="en-US"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MediumShading1-Accent11">
    <w:name w:val="Medium Shading 1 - Accent 11"/>
    <w:basedOn w:val="TableNormal"/>
    <w:uiPriority w:val="63"/>
    <w:rsid w:val="004F65E4"/>
    <w:rPr>
      <w:rFonts w:asciiTheme="minorHAnsi" w:eastAsiaTheme="minorEastAsia" w:hAnsiTheme="minorHAnsi" w:cstheme="minorBidi"/>
      <w:sz w:val="22"/>
      <w:szCs w:val="22"/>
      <w:lang w:val="en-US" w:eastAsia="zh-CN"/>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References">
    <w:name w:val="References"/>
    <w:basedOn w:val="Normal"/>
    <w:qFormat/>
    <w:rsid w:val="004F65E4"/>
    <w:pPr>
      <w:suppressAutoHyphens w:val="0"/>
      <w:spacing w:after="0" w:line="480" w:lineRule="auto"/>
      <w:ind w:left="720" w:hanging="720"/>
      <w:jc w:val="both"/>
    </w:pPr>
    <w:rPr>
      <w:rFonts w:ascii="Times New Roman" w:eastAsia="Calibri" w:hAnsi="Times New Roman" w:cs="Times New Roman"/>
      <w:sz w:val="24"/>
      <w:lang w:val="en-GB" w:eastAsia="en-US"/>
    </w:rPr>
  </w:style>
  <w:style w:type="paragraph" w:styleId="Title">
    <w:name w:val="Title"/>
    <w:basedOn w:val="Normal"/>
    <w:next w:val="Normal"/>
    <w:link w:val="TitleChar"/>
    <w:uiPriority w:val="10"/>
    <w:qFormat/>
    <w:rsid w:val="00AE18A5"/>
    <w:pPr>
      <w:keepNext/>
      <w:keepLines/>
      <w:suppressAutoHyphens w:val="0"/>
      <w:spacing w:before="480" w:after="240" w:line="240" w:lineRule="auto"/>
      <w:jc w:val="center"/>
    </w:pPr>
    <w:rPr>
      <w:rFonts w:asciiTheme="majorHAnsi" w:eastAsiaTheme="majorEastAsia" w:hAnsiTheme="majorHAnsi" w:cstheme="majorBidi"/>
      <w:b/>
      <w:bCs/>
      <w:color w:val="345A8A" w:themeColor="accent1" w:themeShade="B5"/>
      <w:sz w:val="36"/>
      <w:szCs w:val="36"/>
      <w:lang w:eastAsia="en-US"/>
    </w:rPr>
  </w:style>
  <w:style w:type="character" w:customStyle="1" w:styleId="TitleChar">
    <w:name w:val="Title Char"/>
    <w:basedOn w:val="DefaultParagraphFont"/>
    <w:link w:val="Title"/>
    <w:uiPriority w:val="10"/>
    <w:rsid w:val="004F65E4"/>
    <w:rPr>
      <w:rFonts w:asciiTheme="majorHAnsi" w:eastAsiaTheme="majorEastAsia" w:hAnsiTheme="majorHAnsi" w:cstheme="majorBidi"/>
      <w:b/>
      <w:bCs/>
      <w:color w:val="345A8A" w:themeColor="accent1" w:themeShade="B5"/>
      <w:sz w:val="36"/>
      <w:szCs w:val="36"/>
      <w:lang w:val="en-US" w:eastAsia="en-US"/>
    </w:rPr>
  </w:style>
  <w:style w:type="paragraph" w:styleId="Subtitle">
    <w:name w:val="Subtitle"/>
    <w:basedOn w:val="Title"/>
    <w:next w:val="Normal"/>
    <w:link w:val="SubtitleChar"/>
    <w:uiPriority w:val="11"/>
    <w:qFormat/>
    <w:rsid w:val="00AE18A5"/>
    <w:pPr>
      <w:spacing w:before="240"/>
    </w:pPr>
    <w:rPr>
      <w:sz w:val="30"/>
      <w:szCs w:val="30"/>
    </w:rPr>
  </w:style>
  <w:style w:type="character" w:customStyle="1" w:styleId="SubtitleChar">
    <w:name w:val="Subtitle Char"/>
    <w:basedOn w:val="DefaultParagraphFont"/>
    <w:link w:val="Subtitle"/>
    <w:uiPriority w:val="11"/>
    <w:rsid w:val="004F65E4"/>
    <w:rPr>
      <w:rFonts w:asciiTheme="majorHAnsi" w:eastAsiaTheme="majorEastAsia" w:hAnsiTheme="majorHAnsi" w:cstheme="majorBidi"/>
      <w:b/>
      <w:bCs/>
      <w:color w:val="345A8A" w:themeColor="accent1" w:themeShade="B5"/>
      <w:sz w:val="30"/>
      <w:szCs w:val="30"/>
      <w:lang w:val="en-US" w:eastAsia="en-US"/>
    </w:rPr>
  </w:style>
  <w:style w:type="paragraph" w:customStyle="1" w:styleId="Author">
    <w:name w:val="Author"/>
    <w:next w:val="Normal"/>
    <w:qFormat/>
    <w:rsid w:val="004F65E4"/>
    <w:pPr>
      <w:keepNext/>
      <w:keepLines/>
      <w:spacing w:after="200"/>
      <w:jc w:val="center"/>
    </w:pPr>
    <w:rPr>
      <w:rFonts w:asciiTheme="minorHAnsi" w:eastAsiaTheme="minorHAnsi" w:hAnsiTheme="minorHAnsi" w:cstheme="minorBidi"/>
      <w:sz w:val="24"/>
      <w:szCs w:val="24"/>
      <w:lang w:val="en-US" w:eastAsia="en-US"/>
    </w:rPr>
  </w:style>
  <w:style w:type="paragraph" w:styleId="Date">
    <w:name w:val="Date"/>
    <w:next w:val="Normal"/>
    <w:link w:val="DateChar"/>
    <w:uiPriority w:val="99"/>
    <w:qFormat/>
    <w:rsid w:val="004F65E4"/>
    <w:pPr>
      <w:keepNext/>
      <w:keepLines/>
      <w:spacing w:after="200"/>
      <w:jc w:val="center"/>
    </w:pPr>
    <w:rPr>
      <w:rFonts w:asciiTheme="minorHAnsi" w:eastAsiaTheme="minorHAnsi" w:hAnsiTheme="minorHAnsi" w:cstheme="minorBidi"/>
      <w:sz w:val="24"/>
      <w:szCs w:val="24"/>
      <w:lang w:val="en-US" w:eastAsia="en-US"/>
    </w:rPr>
  </w:style>
  <w:style w:type="character" w:customStyle="1" w:styleId="DateChar">
    <w:name w:val="Date Char"/>
    <w:basedOn w:val="DefaultParagraphFont"/>
    <w:link w:val="Date"/>
    <w:uiPriority w:val="99"/>
    <w:rsid w:val="004F65E4"/>
    <w:rPr>
      <w:rFonts w:asciiTheme="minorHAnsi" w:eastAsiaTheme="minorHAnsi" w:hAnsiTheme="minorHAnsi" w:cstheme="minorBidi"/>
      <w:sz w:val="24"/>
      <w:szCs w:val="24"/>
      <w:lang w:val="en-US" w:eastAsia="en-US"/>
    </w:rPr>
  </w:style>
  <w:style w:type="paragraph" w:customStyle="1" w:styleId="Abstract">
    <w:name w:val="Abstract"/>
    <w:basedOn w:val="Normal"/>
    <w:next w:val="Normal"/>
    <w:qFormat/>
    <w:rsid w:val="004F65E4"/>
    <w:pPr>
      <w:keepNext/>
      <w:keepLines/>
      <w:suppressAutoHyphens w:val="0"/>
      <w:spacing w:before="300" w:after="300" w:line="240" w:lineRule="auto"/>
    </w:pPr>
    <w:rPr>
      <w:rFonts w:asciiTheme="minorHAnsi" w:eastAsiaTheme="minorHAnsi" w:hAnsiTheme="minorHAnsi" w:cstheme="minorBidi"/>
      <w:sz w:val="20"/>
      <w:szCs w:val="20"/>
      <w:lang w:eastAsia="en-US"/>
    </w:rPr>
  </w:style>
  <w:style w:type="paragraph" w:styleId="Bibliography">
    <w:name w:val="Bibliography"/>
    <w:basedOn w:val="Normal"/>
    <w:qFormat/>
    <w:rsid w:val="004F65E4"/>
    <w:pPr>
      <w:suppressAutoHyphens w:val="0"/>
      <w:spacing w:before="180" w:after="180" w:line="240" w:lineRule="auto"/>
    </w:pPr>
    <w:rPr>
      <w:rFonts w:asciiTheme="minorHAnsi" w:eastAsiaTheme="minorHAnsi" w:hAnsiTheme="minorHAnsi" w:cstheme="minorBidi"/>
      <w:sz w:val="24"/>
      <w:szCs w:val="24"/>
      <w:lang w:eastAsia="en-US"/>
    </w:rPr>
  </w:style>
  <w:style w:type="paragraph" w:customStyle="1" w:styleId="BlockQuote">
    <w:name w:val="Block Quote"/>
    <w:basedOn w:val="Normal"/>
    <w:next w:val="Normal"/>
    <w:uiPriority w:val="9"/>
    <w:unhideWhenUsed/>
    <w:qFormat/>
    <w:rsid w:val="004F65E4"/>
    <w:pPr>
      <w:suppressAutoHyphens w:val="0"/>
      <w:spacing w:before="100" w:after="100" w:line="240" w:lineRule="auto"/>
    </w:pPr>
    <w:rPr>
      <w:rFonts w:asciiTheme="majorHAnsi" w:eastAsiaTheme="majorEastAsia" w:hAnsiTheme="majorHAnsi" w:cstheme="majorBidi"/>
      <w:bCs/>
      <w:sz w:val="20"/>
      <w:szCs w:val="20"/>
      <w:lang w:eastAsia="en-US"/>
    </w:rPr>
  </w:style>
  <w:style w:type="paragraph" w:customStyle="1" w:styleId="DefinitionTerm">
    <w:name w:val="Definition Term"/>
    <w:basedOn w:val="Normal"/>
    <w:next w:val="Definition"/>
    <w:rsid w:val="004F65E4"/>
    <w:pPr>
      <w:keepNext/>
      <w:keepLines/>
      <w:suppressAutoHyphens w:val="0"/>
      <w:spacing w:before="180" w:after="0" w:line="240" w:lineRule="auto"/>
    </w:pPr>
    <w:rPr>
      <w:rFonts w:asciiTheme="minorHAnsi" w:eastAsiaTheme="minorHAnsi" w:hAnsiTheme="minorHAnsi" w:cstheme="minorBidi"/>
      <w:b/>
      <w:sz w:val="24"/>
      <w:szCs w:val="24"/>
      <w:lang w:eastAsia="en-US"/>
    </w:rPr>
  </w:style>
  <w:style w:type="paragraph" w:customStyle="1" w:styleId="Definition">
    <w:name w:val="Definition"/>
    <w:basedOn w:val="Normal"/>
    <w:rsid w:val="004F65E4"/>
    <w:pPr>
      <w:suppressAutoHyphens w:val="0"/>
      <w:spacing w:before="180" w:after="180" w:line="240" w:lineRule="auto"/>
    </w:pPr>
    <w:rPr>
      <w:rFonts w:asciiTheme="minorHAnsi" w:eastAsiaTheme="minorHAnsi" w:hAnsiTheme="minorHAnsi" w:cstheme="minorBidi"/>
      <w:sz w:val="24"/>
      <w:szCs w:val="24"/>
      <w:lang w:eastAsia="en-US"/>
    </w:rPr>
  </w:style>
  <w:style w:type="paragraph" w:customStyle="1" w:styleId="TableCaption">
    <w:name w:val="Table Caption"/>
    <w:basedOn w:val="Normal"/>
    <w:qFormat/>
    <w:rsid w:val="004F65E4"/>
    <w:pPr>
      <w:suppressAutoHyphens w:val="0"/>
      <w:spacing w:after="120" w:line="240" w:lineRule="auto"/>
    </w:pPr>
    <w:rPr>
      <w:rFonts w:asciiTheme="minorHAnsi" w:eastAsiaTheme="minorHAnsi" w:hAnsiTheme="minorHAnsi" w:cstheme="minorBidi"/>
      <w:i/>
      <w:sz w:val="24"/>
      <w:szCs w:val="24"/>
      <w:lang w:eastAsia="en-US"/>
    </w:rPr>
  </w:style>
  <w:style w:type="character" w:customStyle="1" w:styleId="VerbatimChar">
    <w:name w:val="Verbatim Char"/>
    <w:basedOn w:val="BodyTextChar"/>
    <w:link w:val="SourceCode"/>
    <w:qFormat/>
    <w:rsid w:val="004F65E4"/>
    <w:rPr>
      <w:rFonts w:asciiTheme="minorHAnsi" w:eastAsiaTheme="minorHAnsi" w:hAnsiTheme="minorHAnsi" w:cstheme="minorBidi"/>
      <w:sz w:val="24"/>
      <w:szCs w:val="24"/>
      <w:lang w:val="en-US" w:eastAsia="en-US"/>
    </w:rPr>
  </w:style>
  <w:style w:type="paragraph" w:customStyle="1" w:styleId="SourceCode">
    <w:name w:val="Source Code"/>
    <w:basedOn w:val="Normal"/>
    <w:link w:val="VerbatimChar"/>
    <w:qFormat/>
    <w:rsid w:val="004F65E4"/>
    <w:pPr>
      <w:suppressAutoHyphens w:val="0"/>
      <w:wordWrap w:val="0"/>
      <w:spacing w:before="180" w:after="180" w:line="240" w:lineRule="auto"/>
    </w:pPr>
    <w:rPr>
      <w:rFonts w:asciiTheme="minorHAnsi" w:eastAsiaTheme="minorHAnsi" w:hAnsiTheme="minorHAnsi" w:cstheme="minorBidi"/>
      <w:sz w:val="24"/>
      <w:szCs w:val="24"/>
      <w:lang w:eastAsia="en-US"/>
    </w:rPr>
  </w:style>
  <w:style w:type="character" w:customStyle="1" w:styleId="FootnoteRef">
    <w:name w:val="Footnote Ref"/>
    <w:basedOn w:val="BodyTextChar"/>
    <w:qFormat/>
    <w:rsid w:val="004F65E4"/>
    <w:rPr>
      <w:rFonts w:ascii="Times New Roman" w:eastAsia="SimSun" w:hAnsi="Times New Roman" w:cs="Arial"/>
      <w:sz w:val="22"/>
      <w:szCs w:val="24"/>
      <w:vertAlign w:val="superscript"/>
    </w:rPr>
  </w:style>
  <w:style w:type="character" w:customStyle="1" w:styleId="Link">
    <w:name w:val="Link"/>
    <w:basedOn w:val="BodyTextChar"/>
    <w:qFormat/>
    <w:rsid w:val="004F65E4"/>
    <w:rPr>
      <w:rFonts w:ascii="Times New Roman" w:eastAsia="SimSun" w:hAnsi="Times New Roman" w:cs="Arial"/>
      <w:color w:val="4F81BD" w:themeColor="accent1"/>
      <w:sz w:val="22"/>
      <w:szCs w:val="24"/>
    </w:rPr>
  </w:style>
  <w:style w:type="character" w:customStyle="1" w:styleId="KeywordTok">
    <w:name w:val="KeywordTok"/>
    <w:basedOn w:val="VerbatimChar"/>
    <w:rsid w:val="004F65E4"/>
    <w:rPr>
      <w:rFonts w:asciiTheme="minorHAnsi" w:eastAsiaTheme="minorHAnsi" w:hAnsiTheme="minorHAnsi" w:cstheme="minorBidi"/>
      <w:b/>
      <w:color w:val="007020"/>
      <w:sz w:val="24"/>
      <w:szCs w:val="24"/>
      <w:lang w:val="en-US" w:eastAsia="en-US"/>
    </w:rPr>
  </w:style>
  <w:style w:type="character" w:customStyle="1" w:styleId="DataTypeTok">
    <w:name w:val="DataTypeTok"/>
    <w:basedOn w:val="VerbatimChar"/>
    <w:rsid w:val="004F65E4"/>
    <w:rPr>
      <w:rFonts w:asciiTheme="minorHAnsi" w:eastAsiaTheme="minorHAnsi" w:hAnsiTheme="minorHAnsi" w:cstheme="minorBidi"/>
      <w:color w:val="902000"/>
      <w:sz w:val="24"/>
      <w:szCs w:val="24"/>
      <w:lang w:val="en-US" w:eastAsia="en-US"/>
    </w:rPr>
  </w:style>
  <w:style w:type="character" w:customStyle="1" w:styleId="DecValTok">
    <w:name w:val="DecValTok"/>
    <w:basedOn w:val="VerbatimChar"/>
    <w:rsid w:val="004F65E4"/>
    <w:rPr>
      <w:rFonts w:asciiTheme="minorHAnsi" w:eastAsiaTheme="minorHAnsi" w:hAnsiTheme="minorHAnsi" w:cstheme="minorBidi"/>
      <w:color w:val="40A070"/>
      <w:sz w:val="24"/>
      <w:szCs w:val="24"/>
      <w:lang w:val="en-US" w:eastAsia="en-US"/>
    </w:rPr>
  </w:style>
  <w:style w:type="character" w:customStyle="1" w:styleId="BaseNTok">
    <w:name w:val="BaseNTok"/>
    <w:basedOn w:val="VerbatimChar"/>
    <w:rsid w:val="004F65E4"/>
    <w:rPr>
      <w:rFonts w:asciiTheme="minorHAnsi" w:eastAsiaTheme="minorHAnsi" w:hAnsiTheme="minorHAnsi" w:cstheme="minorBidi"/>
      <w:color w:val="40A070"/>
      <w:sz w:val="24"/>
      <w:szCs w:val="24"/>
      <w:lang w:val="en-US" w:eastAsia="en-US"/>
    </w:rPr>
  </w:style>
  <w:style w:type="character" w:customStyle="1" w:styleId="FloatTok">
    <w:name w:val="FloatTok"/>
    <w:basedOn w:val="VerbatimChar"/>
    <w:rsid w:val="004F65E4"/>
    <w:rPr>
      <w:rFonts w:asciiTheme="minorHAnsi" w:eastAsiaTheme="minorHAnsi" w:hAnsiTheme="minorHAnsi" w:cstheme="minorBidi"/>
      <w:color w:val="40A070"/>
      <w:sz w:val="24"/>
      <w:szCs w:val="24"/>
      <w:lang w:val="en-US" w:eastAsia="en-US"/>
    </w:rPr>
  </w:style>
  <w:style w:type="character" w:customStyle="1" w:styleId="CharTok">
    <w:name w:val="CharTok"/>
    <w:basedOn w:val="VerbatimChar"/>
    <w:rsid w:val="004F65E4"/>
    <w:rPr>
      <w:rFonts w:asciiTheme="minorHAnsi" w:eastAsiaTheme="minorHAnsi" w:hAnsiTheme="minorHAnsi" w:cstheme="minorBidi"/>
      <w:color w:val="4070A0"/>
      <w:sz w:val="24"/>
      <w:szCs w:val="24"/>
      <w:lang w:val="en-US" w:eastAsia="en-US"/>
    </w:rPr>
  </w:style>
  <w:style w:type="character" w:customStyle="1" w:styleId="StringTok">
    <w:name w:val="StringTok"/>
    <w:basedOn w:val="VerbatimChar"/>
    <w:rsid w:val="004F65E4"/>
    <w:rPr>
      <w:rFonts w:asciiTheme="minorHAnsi" w:eastAsiaTheme="minorHAnsi" w:hAnsiTheme="minorHAnsi" w:cstheme="minorBidi"/>
      <w:color w:val="4070A0"/>
      <w:sz w:val="24"/>
      <w:szCs w:val="24"/>
      <w:lang w:val="en-US" w:eastAsia="en-US"/>
    </w:rPr>
  </w:style>
  <w:style w:type="character" w:customStyle="1" w:styleId="CommentTok">
    <w:name w:val="CommentTok"/>
    <w:basedOn w:val="VerbatimChar"/>
    <w:rsid w:val="004F65E4"/>
    <w:rPr>
      <w:rFonts w:asciiTheme="minorHAnsi" w:eastAsiaTheme="minorHAnsi" w:hAnsiTheme="minorHAnsi" w:cstheme="minorBidi"/>
      <w:i/>
      <w:color w:val="60A0B0"/>
      <w:sz w:val="24"/>
      <w:szCs w:val="24"/>
      <w:lang w:val="en-US" w:eastAsia="en-US"/>
    </w:rPr>
  </w:style>
  <w:style w:type="character" w:customStyle="1" w:styleId="OtherTok">
    <w:name w:val="OtherTok"/>
    <w:basedOn w:val="VerbatimChar"/>
    <w:rsid w:val="004F65E4"/>
    <w:rPr>
      <w:rFonts w:asciiTheme="minorHAnsi" w:eastAsiaTheme="minorHAnsi" w:hAnsiTheme="minorHAnsi" w:cstheme="minorBidi"/>
      <w:color w:val="007020"/>
      <w:sz w:val="24"/>
      <w:szCs w:val="24"/>
      <w:lang w:val="en-US" w:eastAsia="en-US"/>
    </w:rPr>
  </w:style>
  <w:style w:type="character" w:customStyle="1" w:styleId="AlertTok">
    <w:name w:val="AlertTok"/>
    <w:basedOn w:val="VerbatimChar"/>
    <w:rsid w:val="004F65E4"/>
    <w:rPr>
      <w:rFonts w:asciiTheme="minorHAnsi" w:eastAsiaTheme="minorHAnsi" w:hAnsiTheme="minorHAnsi" w:cstheme="minorBidi"/>
      <w:b/>
      <w:color w:val="FF0000"/>
      <w:sz w:val="24"/>
      <w:szCs w:val="24"/>
      <w:lang w:val="en-US" w:eastAsia="en-US"/>
    </w:rPr>
  </w:style>
  <w:style w:type="character" w:customStyle="1" w:styleId="FunctionTok">
    <w:name w:val="FunctionTok"/>
    <w:basedOn w:val="VerbatimChar"/>
    <w:rsid w:val="004F65E4"/>
    <w:rPr>
      <w:rFonts w:asciiTheme="minorHAnsi" w:eastAsiaTheme="minorHAnsi" w:hAnsiTheme="minorHAnsi" w:cstheme="minorBidi"/>
      <w:color w:val="06287E"/>
      <w:sz w:val="24"/>
      <w:szCs w:val="24"/>
      <w:lang w:val="en-US" w:eastAsia="en-US"/>
    </w:rPr>
  </w:style>
  <w:style w:type="character" w:customStyle="1" w:styleId="RegionMarkerTok">
    <w:name w:val="RegionMarkerTok"/>
    <w:basedOn w:val="VerbatimChar"/>
    <w:rsid w:val="004F65E4"/>
    <w:rPr>
      <w:rFonts w:asciiTheme="minorHAnsi" w:eastAsiaTheme="minorHAnsi" w:hAnsiTheme="minorHAnsi" w:cstheme="minorBidi"/>
      <w:sz w:val="24"/>
      <w:szCs w:val="24"/>
      <w:lang w:val="en-US" w:eastAsia="en-US"/>
    </w:rPr>
  </w:style>
  <w:style w:type="character" w:customStyle="1" w:styleId="ErrorTok">
    <w:name w:val="ErrorTok"/>
    <w:basedOn w:val="VerbatimChar"/>
    <w:rsid w:val="004F65E4"/>
    <w:rPr>
      <w:rFonts w:asciiTheme="minorHAnsi" w:eastAsiaTheme="minorHAnsi" w:hAnsiTheme="minorHAnsi" w:cstheme="minorBidi"/>
      <w:b/>
      <w:color w:val="FF0000"/>
      <w:sz w:val="24"/>
      <w:szCs w:val="24"/>
      <w:lang w:val="en-US" w:eastAsia="en-US"/>
    </w:rPr>
  </w:style>
  <w:style w:type="character" w:customStyle="1" w:styleId="NormalTok">
    <w:name w:val="NormalTok"/>
    <w:basedOn w:val="VerbatimChar"/>
    <w:rsid w:val="004F65E4"/>
    <w:rPr>
      <w:rFonts w:asciiTheme="minorHAnsi" w:eastAsiaTheme="minorHAnsi" w:hAnsiTheme="minorHAnsi" w:cstheme="minorBidi"/>
      <w:sz w:val="24"/>
      <w:szCs w:val="24"/>
      <w:lang w:val="en-US" w:eastAsia="en-US"/>
    </w:rPr>
  </w:style>
  <w:style w:type="character" w:customStyle="1" w:styleId="InternetLink">
    <w:name w:val="Internet Link"/>
    <w:basedOn w:val="DefaultParagraphFont"/>
    <w:rsid w:val="006E32A4"/>
    <w:rPr>
      <w:color w:val="0000FF" w:themeColor="hyperlink"/>
      <w:u w:val="single"/>
    </w:rPr>
  </w:style>
  <w:style w:type="character" w:customStyle="1" w:styleId="FootnoteAnchor">
    <w:name w:val="Footnote Anchor"/>
    <w:rsid w:val="006E32A4"/>
    <w:rPr>
      <w:vertAlign w:val="superscript"/>
    </w:rPr>
  </w:style>
  <w:style w:type="paragraph" w:customStyle="1" w:styleId="TextBody">
    <w:name w:val="Text Body"/>
    <w:basedOn w:val="Normal"/>
    <w:rsid w:val="006E32A4"/>
    <w:pPr>
      <w:spacing w:before="180" w:after="120" w:line="240" w:lineRule="auto"/>
    </w:pPr>
    <w:rPr>
      <w:rFonts w:ascii="Cambria" w:eastAsia="Cambria" w:hAnsi="Cambria" w:cstheme="minorBidi"/>
      <w:color w:val="00000A"/>
      <w:sz w:val="24"/>
      <w:szCs w:val="24"/>
      <w:lang w:eastAsia="en-US"/>
    </w:rPr>
  </w:style>
  <w:style w:type="paragraph" w:customStyle="1" w:styleId="Footnote">
    <w:name w:val="Footnote"/>
    <w:basedOn w:val="Normal"/>
    <w:uiPriority w:val="9"/>
    <w:unhideWhenUsed/>
    <w:qFormat/>
    <w:rsid w:val="006E32A4"/>
    <w:pPr>
      <w:spacing w:before="180" w:after="180" w:line="240" w:lineRule="auto"/>
    </w:pPr>
    <w:rPr>
      <w:rFonts w:ascii="Cambria" w:eastAsia="Cambria" w:hAnsi="Cambria" w:cstheme="minorBidi"/>
      <w:color w:val="00000A"/>
      <w:sz w:val="24"/>
      <w:szCs w:val="24"/>
      <w:lang w:eastAsia="en-US"/>
    </w:rPr>
  </w:style>
  <w:style w:type="paragraph" w:customStyle="1" w:styleId="PreformattedText">
    <w:name w:val="Preformatted Text"/>
    <w:basedOn w:val="Normal"/>
    <w:qFormat/>
    <w:rsid w:val="006E32A4"/>
    <w:pPr>
      <w:spacing w:before="180" w:after="180" w:line="240" w:lineRule="auto"/>
    </w:pPr>
    <w:rPr>
      <w:rFonts w:ascii="Cambria" w:eastAsia="Cambria" w:hAnsi="Cambria" w:cstheme="minorBidi"/>
      <w:color w:val="00000A"/>
      <w:sz w:val="24"/>
      <w:szCs w:val="24"/>
      <w:lang w:eastAsia="en-US"/>
    </w:rPr>
  </w:style>
  <w:style w:type="table" w:styleId="TableSimple2">
    <w:name w:val="Table Simple 2"/>
    <w:basedOn w:val="TableNormal"/>
    <w:rsid w:val="006E32A4"/>
    <w:pPr>
      <w:suppressAutoHyphens/>
      <w:spacing w:before="180" w:after="180"/>
    </w:pPr>
    <w:rPr>
      <w:rFonts w:asciiTheme="minorHAnsi" w:eastAsiaTheme="minorHAnsi" w:hAnsiTheme="minorHAnsi" w:cstheme="minorBidi"/>
      <w:szCs w:val="24"/>
      <w:lang w:val="en-US" w:eastAsia="en-US"/>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Classic1">
    <w:name w:val="Table Classic 1"/>
    <w:basedOn w:val="TableNormal"/>
    <w:rsid w:val="006E32A4"/>
    <w:pPr>
      <w:suppressAutoHyphens/>
      <w:spacing w:before="180" w:after="180"/>
    </w:pPr>
    <w:rPr>
      <w:rFonts w:asciiTheme="minorHAnsi" w:eastAsiaTheme="minorHAnsi" w:hAnsiTheme="minorHAnsi" w:cstheme="minorBidi"/>
      <w:szCs w:val="24"/>
      <w:lang w:val="en-US" w:eastAsia="en-US"/>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PlainText">
    <w:name w:val="Plain Text"/>
    <w:basedOn w:val="Normal"/>
    <w:link w:val="PlainTextChar"/>
    <w:uiPriority w:val="99"/>
    <w:unhideWhenUsed/>
    <w:rsid w:val="00374C82"/>
    <w:pPr>
      <w:suppressAutoHyphens w:val="0"/>
      <w:spacing w:after="0" w:line="240" w:lineRule="auto"/>
    </w:pPr>
    <w:rPr>
      <w:rFonts w:ascii="Calibri" w:eastAsiaTheme="minorEastAsia" w:hAnsi="Calibri" w:cstheme="minorBidi"/>
      <w:szCs w:val="21"/>
      <w:lang w:eastAsia="zh-CN"/>
    </w:rPr>
  </w:style>
  <w:style w:type="character" w:customStyle="1" w:styleId="PlainTextChar">
    <w:name w:val="Plain Text Char"/>
    <w:basedOn w:val="DefaultParagraphFont"/>
    <w:link w:val="PlainText"/>
    <w:uiPriority w:val="99"/>
    <w:rsid w:val="00374C82"/>
    <w:rPr>
      <w:rFonts w:ascii="Calibri" w:eastAsiaTheme="minorEastAsia" w:hAnsi="Calibri" w:cstheme="minorBidi"/>
      <w:sz w:val="22"/>
      <w:szCs w:val="21"/>
      <w:lang w:val="en-US" w:eastAsia="zh-CN"/>
    </w:rPr>
  </w:style>
  <w:style w:type="paragraph" w:customStyle="1" w:styleId="zparagraphe">
    <w:name w:val="zparagraphe"/>
    <w:basedOn w:val="Normal"/>
    <w:rsid w:val="00374C82"/>
    <w:pPr>
      <w:suppressAutoHyphens w:val="0"/>
      <w:spacing w:before="100" w:beforeAutospacing="1" w:after="100" w:afterAutospacing="1" w:line="240" w:lineRule="auto"/>
    </w:pPr>
    <w:rPr>
      <w:rFonts w:ascii="Times" w:eastAsiaTheme="minorEastAsia" w:hAnsi="Times" w:cs="Times New Roman"/>
      <w:sz w:val="20"/>
      <w:szCs w:val="20"/>
      <w:lang w:val="it-IT" w:eastAsia="it-IT"/>
    </w:rPr>
  </w:style>
  <w:style w:type="character" w:customStyle="1" w:styleId="TOC1Char">
    <w:name w:val="TOC 1 Char"/>
    <w:basedOn w:val="DefaultParagraphFont"/>
    <w:link w:val="TOC1"/>
    <w:uiPriority w:val="39"/>
    <w:rsid w:val="00F857C8"/>
    <w:rPr>
      <w:rFonts w:eastAsia="SimSun" w:cs="Arial"/>
      <w:bCs/>
      <w:sz w:val="22"/>
      <w:lang w:val="en-US" w:eastAsia="ar-SA"/>
    </w:rPr>
  </w:style>
  <w:style w:type="paragraph" w:styleId="Revision">
    <w:name w:val="Revision"/>
    <w:hidden/>
    <w:uiPriority w:val="99"/>
    <w:semiHidden/>
    <w:rsid w:val="0063355B"/>
    <w:rPr>
      <w:rFonts w:ascii="Book Antiqua" w:eastAsia="Arial" w:hAnsi="Book Antiqua" w:cs="Arial"/>
      <w:sz w:val="22"/>
      <w:szCs w:val="22"/>
      <w:lang w:val="en-US" w:eastAsia="ar-SA"/>
    </w:rPr>
  </w:style>
  <w:style w:type="character" w:styleId="PlaceholderText">
    <w:name w:val="Placeholder Text"/>
    <w:basedOn w:val="DefaultParagraphFont"/>
    <w:uiPriority w:val="99"/>
    <w:semiHidden/>
    <w:rsid w:val="0059554E"/>
    <w:rPr>
      <w:color w:val="808080"/>
    </w:rPr>
  </w:style>
  <w:style w:type="table" w:customStyle="1" w:styleId="GridTable1LightAccent1">
    <w:name w:val="Grid Table 1 Light Accent 1"/>
    <w:basedOn w:val="TableNormal"/>
    <w:uiPriority w:val="46"/>
    <w:rsid w:val="00AA4884"/>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styleId="FollowedHyperlink">
    <w:name w:val="FollowedHyperlink"/>
    <w:basedOn w:val="DefaultParagraphFont"/>
    <w:uiPriority w:val="99"/>
    <w:semiHidden/>
    <w:unhideWhenUsed/>
    <w:rsid w:val="00852A27"/>
    <w:rPr>
      <w:color w:val="800080" w:themeColor="followedHyperlink"/>
      <w:u w:val="single"/>
    </w:rPr>
  </w:style>
  <w:style w:type="paragraph" w:styleId="EndnoteText">
    <w:name w:val="endnote text"/>
    <w:basedOn w:val="Normal"/>
    <w:link w:val="EndnoteTextChar"/>
    <w:uiPriority w:val="99"/>
    <w:semiHidden/>
    <w:unhideWhenUsed/>
    <w:rsid w:val="00D15A8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15A87"/>
    <w:rPr>
      <w:rFonts w:ascii="Book Antiqua" w:eastAsia="Arial" w:hAnsi="Book Antiqua" w:cs="Arial"/>
      <w:lang w:val="en-US" w:eastAsia="ar-SA"/>
    </w:rPr>
  </w:style>
  <w:style w:type="character" w:customStyle="1" w:styleId="Heading6Char">
    <w:name w:val="Heading 6 Char"/>
    <w:basedOn w:val="DefaultParagraphFont"/>
    <w:link w:val="Heading6"/>
    <w:uiPriority w:val="9"/>
    <w:semiHidden/>
    <w:rsid w:val="00AE18A5"/>
    <w:rPr>
      <w:rFonts w:asciiTheme="majorHAnsi" w:eastAsiaTheme="majorEastAsia" w:hAnsiTheme="majorHAnsi" w:cstheme="majorBidi"/>
      <w:i/>
      <w:iCs/>
      <w:color w:val="243F60" w:themeColor="accent1" w:themeShade="7F"/>
      <w:szCs w:val="22"/>
      <w:lang w:val="en-US" w:eastAsia="en-US" w:bidi="en-US"/>
    </w:rPr>
  </w:style>
  <w:style w:type="character" w:customStyle="1" w:styleId="Heading7Char">
    <w:name w:val="Heading 7 Char"/>
    <w:basedOn w:val="DefaultParagraphFont"/>
    <w:link w:val="Heading7"/>
    <w:uiPriority w:val="9"/>
    <w:semiHidden/>
    <w:rsid w:val="00AE18A5"/>
    <w:rPr>
      <w:rFonts w:asciiTheme="majorHAnsi" w:eastAsiaTheme="majorEastAsia" w:hAnsiTheme="majorHAnsi" w:cstheme="majorBidi"/>
      <w:i/>
      <w:iCs/>
      <w:color w:val="404040" w:themeColor="text1" w:themeTint="BF"/>
      <w:szCs w:val="22"/>
      <w:lang w:val="en-US" w:eastAsia="en-US" w:bidi="en-US"/>
    </w:rPr>
  </w:style>
  <w:style w:type="character" w:customStyle="1" w:styleId="Heading8Char">
    <w:name w:val="Heading 8 Char"/>
    <w:basedOn w:val="DefaultParagraphFont"/>
    <w:link w:val="Heading8"/>
    <w:uiPriority w:val="9"/>
    <w:semiHidden/>
    <w:rsid w:val="00AE18A5"/>
    <w:rPr>
      <w:rFonts w:asciiTheme="majorHAnsi" w:eastAsiaTheme="majorEastAsia" w:hAnsiTheme="majorHAnsi" w:cstheme="majorBidi"/>
      <w:color w:val="4F81BD" w:themeColor="accent1"/>
      <w:lang w:val="en-US" w:eastAsia="en-US" w:bidi="en-US"/>
    </w:rPr>
  </w:style>
  <w:style w:type="character" w:customStyle="1" w:styleId="Heading9Char">
    <w:name w:val="Heading 9 Char"/>
    <w:basedOn w:val="DefaultParagraphFont"/>
    <w:link w:val="Heading9"/>
    <w:uiPriority w:val="9"/>
    <w:semiHidden/>
    <w:rsid w:val="00AE18A5"/>
    <w:rPr>
      <w:rFonts w:asciiTheme="majorHAnsi" w:eastAsiaTheme="majorEastAsia" w:hAnsiTheme="majorHAnsi" w:cstheme="majorBidi"/>
      <w:i/>
      <w:iCs/>
      <w:color w:val="404040" w:themeColor="text1" w:themeTint="BF"/>
      <w:lang w:val="en-US" w:eastAsia="en-US" w:bidi="en-US"/>
    </w:rPr>
  </w:style>
  <w:style w:type="character" w:styleId="Emphasis">
    <w:name w:val="Emphasis"/>
    <w:basedOn w:val="DefaultParagraphFont"/>
    <w:uiPriority w:val="20"/>
    <w:qFormat/>
    <w:rsid w:val="00AE18A5"/>
    <w:rPr>
      <w:i/>
      <w:iCs/>
    </w:rPr>
  </w:style>
  <w:style w:type="paragraph" w:styleId="Quote">
    <w:name w:val="Quote"/>
    <w:basedOn w:val="Normal"/>
    <w:next w:val="Normal"/>
    <w:link w:val="QuoteChar"/>
    <w:uiPriority w:val="29"/>
    <w:qFormat/>
    <w:rsid w:val="00AE18A5"/>
    <w:pPr>
      <w:suppressAutoHyphens w:val="0"/>
    </w:pPr>
    <w:rPr>
      <w:rFonts w:ascii="Times New Roman" w:eastAsiaTheme="minorEastAsia" w:hAnsi="Times New Roman" w:cstheme="minorBidi"/>
      <w:i/>
      <w:iCs/>
      <w:color w:val="000000" w:themeColor="text1"/>
      <w:sz w:val="20"/>
      <w:lang w:eastAsia="en-US" w:bidi="en-US"/>
    </w:rPr>
  </w:style>
  <w:style w:type="character" w:customStyle="1" w:styleId="QuoteChar">
    <w:name w:val="Quote Char"/>
    <w:basedOn w:val="DefaultParagraphFont"/>
    <w:link w:val="Quote"/>
    <w:uiPriority w:val="29"/>
    <w:rsid w:val="00AE18A5"/>
    <w:rPr>
      <w:rFonts w:eastAsiaTheme="minorEastAsia" w:cstheme="minorBidi"/>
      <w:i/>
      <w:iCs/>
      <w:color w:val="000000" w:themeColor="text1"/>
      <w:szCs w:val="22"/>
      <w:lang w:val="en-US" w:eastAsia="en-US" w:bidi="en-US"/>
    </w:rPr>
  </w:style>
  <w:style w:type="paragraph" w:styleId="IntenseQuote">
    <w:name w:val="Intense Quote"/>
    <w:basedOn w:val="Normal"/>
    <w:next w:val="Normal"/>
    <w:link w:val="IntenseQuoteChar"/>
    <w:uiPriority w:val="30"/>
    <w:qFormat/>
    <w:rsid w:val="00AE18A5"/>
    <w:pPr>
      <w:pBdr>
        <w:bottom w:val="single" w:sz="4" w:space="4" w:color="4F81BD" w:themeColor="accent1"/>
      </w:pBdr>
      <w:suppressAutoHyphens w:val="0"/>
      <w:spacing w:before="200" w:after="280"/>
      <w:ind w:left="936" w:right="936"/>
    </w:pPr>
    <w:rPr>
      <w:rFonts w:ascii="Times New Roman" w:eastAsiaTheme="minorEastAsia" w:hAnsi="Times New Roman" w:cstheme="minorBidi"/>
      <w:b/>
      <w:bCs/>
      <w:i/>
      <w:iCs/>
      <w:color w:val="4F81BD" w:themeColor="accent1"/>
      <w:sz w:val="20"/>
      <w:lang w:eastAsia="en-US" w:bidi="en-US"/>
    </w:rPr>
  </w:style>
  <w:style w:type="character" w:customStyle="1" w:styleId="IntenseQuoteChar">
    <w:name w:val="Intense Quote Char"/>
    <w:basedOn w:val="DefaultParagraphFont"/>
    <w:link w:val="IntenseQuote"/>
    <w:uiPriority w:val="30"/>
    <w:rsid w:val="00AE18A5"/>
    <w:rPr>
      <w:rFonts w:eastAsiaTheme="minorEastAsia" w:cstheme="minorBidi"/>
      <w:b/>
      <w:bCs/>
      <w:i/>
      <w:iCs/>
      <w:color w:val="4F81BD" w:themeColor="accent1"/>
      <w:szCs w:val="22"/>
      <w:lang w:val="en-US" w:eastAsia="en-US" w:bidi="en-US"/>
    </w:rPr>
  </w:style>
  <w:style w:type="character" w:styleId="SubtleEmphasis">
    <w:name w:val="Subtle Emphasis"/>
    <w:basedOn w:val="DefaultParagraphFont"/>
    <w:uiPriority w:val="19"/>
    <w:qFormat/>
    <w:rsid w:val="00AE18A5"/>
    <w:rPr>
      <w:i/>
      <w:iCs/>
      <w:color w:val="808080" w:themeColor="text1" w:themeTint="7F"/>
    </w:rPr>
  </w:style>
  <w:style w:type="character" w:styleId="IntenseEmphasis">
    <w:name w:val="Intense Emphasis"/>
    <w:basedOn w:val="DefaultParagraphFont"/>
    <w:uiPriority w:val="21"/>
    <w:qFormat/>
    <w:rsid w:val="00AE18A5"/>
    <w:rPr>
      <w:b/>
      <w:bCs/>
      <w:i/>
      <w:iCs/>
      <w:color w:val="4F81BD" w:themeColor="accent1"/>
    </w:rPr>
  </w:style>
  <w:style w:type="character" w:styleId="SubtleReference">
    <w:name w:val="Subtle Reference"/>
    <w:basedOn w:val="DefaultParagraphFont"/>
    <w:uiPriority w:val="31"/>
    <w:qFormat/>
    <w:rsid w:val="00AE18A5"/>
    <w:rPr>
      <w:smallCaps/>
      <w:color w:val="C0504D" w:themeColor="accent2"/>
      <w:u w:val="single"/>
    </w:rPr>
  </w:style>
  <w:style w:type="character" w:styleId="IntenseReference">
    <w:name w:val="Intense Reference"/>
    <w:basedOn w:val="DefaultParagraphFont"/>
    <w:uiPriority w:val="32"/>
    <w:qFormat/>
    <w:rsid w:val="00AE18A5"/>
    <w:rPr>
      <w:b/>
      <w:bCs/>
      <w:smallCaps/>
      <w:color w:val="C0504D" w:themeColor="accent2"/>
      <w:spacing w:val="5"/>
      <w:u w:val="single"/>
    </w:rPr>
  </w:style>
  <w:style w:type="character" w:styleId="BookTitle">
    <w:name w:val="Book Title"/>
    <w:basedOn w:val="DefaultParagraphFont"/>
    <w:uiPriority w:val="33"/>
    <w:qFormat/>
    <w:rsid w:val="00AE18A5"/>
    <w:rPr>
      <w:b/>
      <w:bCs/>
      <w:smallCaps/>
      <w:spacing w:val="5"/>
    </w:rPr>
  </w:style>
  <w:style w:type="table" w:customStyle="1" w:styleId="LightShading-Accent11">
    <w:name w:val="Light Shading - Accent 11"/>
    <w:basedOn w:val="TableNormal"/>
    <w:uiPriority w:val="60"/>
    <w:rsid w:val="00AE18A5"/>
    <w:rPr>
      <w:rFonts w:asciiTheme="minorHAnsi" w:eastAsiaTheme="minorEastAsia" w:hAnsiTheme="minorHAnsi" w:cstheme="minorBidi"/>
      <w:color w:val="365F91" w:themeColor="accent1" w:themeShade="BF"/>
      <w:sz w:val="22"/>
      <w:szCs w:val="22"/>
      <w:lang w:val="en-US" w:eastAsia="en-US" w:bidi="en-US"/>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GridTableLight">
    <w:name w:val="Grid Table Light"/>
    <w:basedOn w:val="TableNormal"/>
    <w:uiPriority w:val="40"/>
    <w:rsid w:val="00AE18A5"/>
    <w:rPr>
      <w:rFonts w:asciiTheme="minorHAnsi" w:eastAsiaTheme="minorEastAsia" w:hAnsiTheme="minorHAnsi" w:cstheme="minorBidi"/>
      <w:sz w:val="22"/>
      <w:szCs w:val="22"/>
      <w:lang w:val="en-US" w:eastAsia="en-US" w:bidi="en-US"/>
    </w:r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GridTable2">
    <w:name w:val="Grid Table 2"/>
    <w:basedOn w:val="TableNormal"/>
    <w:uiPriority w:val="47"/>
    <w:rsid w:val="00AE18A5"/>
    <w:rPr>
      <w:rFonts w:asciiTheme="minorHAnsi" w:eastAsiaTheme="minorEastAsia" w:hAnsiTheme="minorHAnsi" w:cstheme="minorBidi"/>
      <w:sz w:val="22"/>
      <w:szCs w:val="22"/>
      <w:lang w:val="en-US" w:eastAsia="en-US" w:bidi="en-US"/>
    </w:rPr>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1">
    <w:name w:val="Grid Table 2 Accent 1"/>
    <w:basedOn w:val="TableNormal"/>
    <w:uiPriority w:val="47"/>
    <w:rsid w:val="00AE18A5"/>
    <w:rPr>
      <w:rFonts w:asciiTheme="minorHAnsi" w:eastAsiaTheme="minorEastAsia" w:hAnsiTheme="minorHAnsi" w:cstheme="minorBidi"/>
      <w:sz w:val="22"/>
      <w:szCs w:val="22"/>
      <w:lang w:val="en-US" w:eastAsia="en-US" w:bidi="en-US"/>
    </w:rPr>
    <w:tblPr>
      <w:tblStyleRowBandSize w:val="1"/>
      <w:tblStyleColBandSize w:val="1"/>
      <w:tblInd w:w="0" w:type="dxa"/>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CellMar>
        <w:top w:w="0" w:type="dxa"/>
        <w:left w:w="108" w:type="dxa"/>
        <w:bottom w:w="0" w:type="dxa"/>
        <w:right w:w="108" w:type="dxa"/>
      </w:tblCellMar>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5Dark">
    <w:name w:val="Grid Table 5 Dark"/>
    <w:basedOn w:val="TableNormal"/>
    <w:uiPriority w:val="50"/>
    <w:rsid w:val="00AE18A5"/>
    <w:rPr>
      <w:rFonts w:asciiTheme="minorHAnsi" w:eastAsiaTheme="minorEastAsia" w:hAnsiTheme="minorHAnsi" w:cstheme="minorBidi"/>
      <w:sz w:val="22"/>
      <w:szCs w:val="22"/>
      <w:lang w:val="en-US" w:eastAsia="en-US" w:bidi="en-US"/>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Accent1">
    <w:name w:val="Grid Table 5 Dark Accent 1"/>
    <w:basedOn w:val="TableNormal"/>
    <w:uiPriority w:val="50"/>
    <w:rsid w:val="00AE18A5"/>
    <w:rPr>
      <w:rFonts w:asciiTheme="minorHAnsi" w:eastAsiaTheme="minorEastAsia" w:hAnsiTheme="minorHAnsi" w:cstheme="minorBidi"/>
      <w:sz w:val="22"/>
      <w:szCs w:val="22"/>
      <w:lang w:val="en-US" w:eastAsia="en-US" w:bidi="en-US"/>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128167">
      <w:bodyDiv w:val="1"/>
      <w:marLeft w:val="0"/>
      <w:marRight w:val="0"/>
      <w:marTop w:val="0"/>
      <w:marBottom w:val="0"/>
      <w:divBdr>
        <w:top w:val="none" w:sz="0" w:space="0" w:color="auto"/>
        <w:left w:val="none" w:sz="0" w:space="0" w:color="auto"/>
        <w:bottom w:val="none" w:sz="0" w:space="0" w:color="auto"/>
        <w:right w:val="none" w:sz="0" w:space="0" w:color="auto"/>
      </w:divBdr>
    </w:div>
    <w:div w:id="189297150">
      <w:bodyDiv w:val="1"/>
      <w:marLeft w:val="0"/>
      <w:marRight w:val="0"/>
      <w:marTop w:val="0"/>
      <w:marBottom w:val="0"/>
      <w:divBdr>
        <w:top w:val="none" w:sz="0" w:space="0" w:color="auto"/>
        <w:left w:val="none" w:sz="0" w:space="0" w:color="auto"/>
        <w:bottom w:val="none" w:sz="0" w:space="0" w:color="auto"/>
        <w:right w:val="none" w:sz="0" w:space="0" w:color="auto"/>
      </w:divBdr>
      <w:divsChild>
        <w:div w:id="427584737">
          <w:marLeft w:val="0"/>
          <w:marRight w:val="0"/>
          <w:marTop w:val="0"/>
          <w:marBottom w:val="0"/>
          <w:divBdr>
            <w:top w:val="none" w:sz="0" w:space="0" w:color="auto"/>
            <w:left w:val="none" w:sz="0" w:space="0" w:color="auto"/>
            <w:bottom w:val="none" w:sz="0" w:space="0" w:color="auto"/>
            <w:right w:val="none" w:sz="0" w:space="0" w:color="auto"/>
          </w:divBdr>
        </w:div>
      </w:divsChild>
    </w:div>
    <w:div w:id="764106997">
      <w:bodyDiv w:val="1"/>
      <w:marLeft w:val="0"/>
      <w:marRight w:val="0"/>
      <w:marTop w:val="0"/>
      <w:marBottom w:val="0"/>
      <w:divBdr>
        <w:top w:val="none" w:sz="0" w:space="0" w:color="auto"/>
        <w:left w:val="none" w:sz="0" w:space="0" w:color="auto"/>
        <w:bottom w:val="none" w:sz="0" w:space="0" w:color="auto"/>
        <w:right w:val="none" w:sz="0" w:space="0" w:color="auto"/>
      </w:divBdr>
    </w:div>
    <w:div w:id="1028726161">
      <w:bodyDiv w:val="1"/>
      <w:marLeft w:val="0"/>
      <w:marRight w:val="0"/>
      <w:marTop w:val="0"/>
      <w:marBottom w:val="0"/>
      <w:divBdr>
        <w:top w:val="none" w:sz="0" w:space="0" w:color="auto"/>
        <w:left w:val="none" w:sz="0" w:space="0" w:color="auto"/>
        <w:bottom w:val="none" w:sz="0" w:space="0" w:color="auto"/>
        <w:right w:val="none" w:sz="0" w:space="0" w:color="auto"/>
      </w:divBdr>
    </w:div>
    <w:div w:id="1055471933">
      <w:bodyDiv w:val="1"/>
      <w:marLeft w:val="0"/>
      <w:marRight w:val="0"/>
      <w:marTop w:val="0"/>
      <w:marBottom w:val="0"/>
      <w:divBdr>
        <w:top w:val="none" w:sz="0" w:space="0" w:color="auto"/>
        <w:left w:val="none" w:sz="0" w:space="0" w:color="auto"/>
        <w:bottom w:val="none" w:sz="0" w:space="0" w:color="auto"/>
        <w:right w:val="none" w:sz="0" w:space="0" w:color="auto"/>
      </w:divBdr>
    </w:div>
    <w:div w:id="1093013771">
      <w:bodyDiv w:val="1"/>
      <w:marLeft w:val="0"/>
      <w:marRight w:val="0"/>
      <w:marTop w:val="0"/>
      <w:marBottom w:val="0"/>
      <w:divBdr>
        <w:top w:val="none" w:sz="0" w:space="0" w:color="auto"/>
        <w:left w:val="none" w:sz="0" w:space="0" w:color="auto"/>
        <w:bottom w:val="none" w:sz="0" w:space="0" w:color="auto"/>
        <w:right w:val="none" w:sz="0" w:space="0" w:color="auto"/>
      </w:divBdr>
      <w:divsChild>
        <w:div w:id="2037198259">
          <w:marLeft w:val="0"/>
          <w:marRight w:val="0"/>
          <w:marTop w:val="0"/>
          <w:marBottom w:val="0"/>
          <w:divBdr>
            <w:top w:val="none" w:sz="0" w:space="0" w:color="auto"/>
            <w:left w:val="none" w:sz="0" w:space="0" w:color="auto"/>
            <w:bottom w:val="none" w:sz="0" w:space="0" w:color="auto"/>
            <w:right w:val="none" w:sz="0" w:space="0" w:color="auto"/>
          </w:divBdr>
          <w:divsChild>
            <w:div w:id="2049599839">
              <w:marLeft w:val="0"/>
              <w:marRight w:val="0"/>
              <w:marTop w:val="0"/>
              <w:marBottom w:val="0"/>
              <w:divBdr>
                <w:top w:val="none" w:sz="0" w:space="0" w:color="auto"/>
                <w:left w:val="none" w:sz="0" w:space="0" w:color="auto"/>
                <w:bottom w:val="none" w:sz="0" w:space="0" w:color="auto"/>
                <w:right w:val="none" w:sz="0" w:space="0" w:color="auto"/>
              </w:divBdr>
              <w:divsChild>
                <w:div w:id="205411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364890">
      <w:bodyDiv w:val="1"/>
      <w:marLeft w:val="0"/>
      <w:marRight w:val="0"/>
      <w:marTop w:val="0"/>
      <w:marBottom w:val="0"/>
      <w:divBdr>
        <w:top w:val="none" w:sz="0" w:space="0" w:color="auto"/>
        <w:left w:val="none" w:sz="0" w:space="0" w:color="auto"/>
        <w:bottom w:val="none" w:sz="0" w:space="0" w:color="auto"/>
        <w:right w:val="none" w:sz="0" w:space="0" w:color="auto"/>
      </w:divBdr>
    </w:div>
    <w:div w:id="1389571303">
      <w:bodyDiv w:val="1"/>
      <w:marLeft w:val="0"/>
      <w:marRight w:val="0"/>
      <w:marTop w:val="0"/>
      <w:marBottom w:val="0"/>
      <w:divBdr>
        <w:top w:val="none" w:sz="0" w:space="0" w:color="auto"/>
        <w:left w:val="none" w:sz="0" w:space="0" w:color="auto"/>
        <w:bottom w:val="none" w:sz="0" w:space="0" w:color="auto"/>
        <w:right w:val="none" w:sz="0" w:space="0" w:color="auto"/>
      </w:divBdr>
      <w:divsChild>
        <w:div w:id="1147742266">
          <w:marLeft w:val="0"/>
          <w:marRight w:val="0"/>
          <w:marTop w:val="0"/>
          <w:marBottom w:val="0"/>
          <w:divBdr>
            <w:top w:val="none" w:sz="0" w:space="0" w:color="auto"/>
            <w:left w:val="none" w:sz="0" w:space="0" w:color="auto"/>
            <w:bottom w:val="none" w:sz="0" w:space="0" w:color="auto"/>
            <w:right w:val="none" w:sz="0" w:space="0" w:color="auto"/>
          </w:divBdr>
          <w:divsChild>
            <w:div w:id="1422137998">
              <w:marLeft w:val="0"/>
              <w:marRight w:val="0"/>
              <w:marTop w:val="0"/>
              <w:marBottom w:val="0"/>
              <w:divBdr>
                <w:top w:val="none" w:sz="0" w:space="0" w:color="auto"/>
                <w:left w:val="none" w:sz="0" w:space="0" w:color="auto"/>
                <w:bottom w:val="none" w:sz="0" w:space="0" w:color="auto"/>
                <w:right w:val="none" w:sz="0" w:space="0" w:color="auto"/>
              </w:divBdr>
              <w:divsChild>
                <w:div w:id="1592620102">
                  <w:marLeft w:val="0"/>
                  <w:marRight w:val="0"/>
                  <w:marTop w:val="120"/>
                  <w:marBottom w:val="480"/>
                  <w:divBdr>
                    <w:top w:val="none" w:sz="0" w:space="0" w:color="auto"/>
                    <w:left w:val="none" w:sz="0" w:space="0" w:color="auto"/>
                    <w:bottom w:val="none" w:sz="0" w:space="0" w:color="auto"/>
                    <w:right w:val="none" w:sz="0" w:space="0" w:color="auto"/>
                  </w:divBdr>
                  <w:divsChild>
                    <w:div w:id="1469204884">
                      <w:marLeft w:val="0"/>
                      <w:marRight w:val="0"/>
                      <w:marTop w:val="120"/>
                      <w:marBottom w:val="120"/>
                      <w:divBdr>
                        <w:top w:val="none" w:sz="0" w:space="0" w:color="auto"/>
                        <w:left w:val="none" w:sz="0" w:space="0" w:color="auto"/>
                        <w:bottom w:val="none" w:sz="0" w:space="0" w:color="auto"/>
                        <w:right w:val="none" w:sz="0" w:space="0" w:color="auto"/>
                      </w:divBdr>
                      <w:divsChild>
                        <w:div w:id="131487944">
                          <w:marLeft w:val="0"/>
                          <w:marRight w:val="0"/>
                          <w:marTop w:val="0"/>
                          <w:marBottom w:val="0"/>
                          <w:divBdr>
                            <w:top w:val="none" w:sz="0" w:space="0" w:color="auto"/>
                            <w:left w:val="none" w:sz="0" w:space="0" w:color="auto"/>
                            <w:bottom w:val="none" w:sz="0" w:space="0" w:color="auto"/>
                            <w:right w:val="none" w:sz="0" w:space="0" w:color="auto"/>
                          </w:divBdr>
                        </w:div>
                        <w:div w:id="391855337">
                          <w:marLeft w:val="0"/>
                          <w:marRight w:val="0"/>
                          <w:marTop w:val="0"/>
                          <w:marBottom w:val="0"/>
                          <w:divBdr>
                            <w:top w:val="none" w:sz="0" w:space="0" w:color="auto"/>
                            <w:left w:val="none" w:sz="0" w:space="0" w:color="auto"/>
                            <w:bottom w:val="none" w:sz="0" w:space="0" w:color="auto"/>
                            <w:right w:val="none" w:sz="0" w:space="0" w:color="auto"/>
                          </w:divBdr>
                        </w:div>
                        <w:div w:id="653416964">
                          <w:marLeft w:val="0"/>
                          <w:marRight w:val="0"/>
                          <w:marTop w:val="0"/>
                          <w:marBottom w:val="0"/>
                          <w:divBdr>
                            <w:top w:val="none" w:sz="0" w:space="0" w:color="auto"/>
                            <w:left w:val="none" w:sz="0" w:space="0" w:color="auto"/>
                            <w:bottom w:val="none" w:sz="0" w:space="0" w:color="auto"/>
                            <w:right w:val="none" w:sz="0" w:space="0" w:color="auto"/>
                          </w:divBdr>
                        </w:div>
                        <w:div w:id="730736220">
                          <w:marLeft w:val="0"/>
                          <w:marRight w:val="0"/>
                          <w:marTop w:val="0"/>
                          <w:marBottom w:val="0"/>
                          <w:divBdr>
                            <w:top w:val="none" w:sz="0" w:space="0" w:color="auto"/>
                            <w:left w:val="none" w:sz="0" w:space="0" w:color="auto"/>
                            <w:bottom w:val="none" w:sz="0" w:space="0" w:color="auto"/>
                            <w:right w:val="none" w:sz="0" w:space="0" w:color="auto"/>
                          </w:divBdr>
                        </w:div>
                        <w:div w:id="1043093000">
                          <w:marLeft w:val="0"/>
                          <w:marRight w:val="0"/>
                          <w:marTop w:val="0"/>
                          <w:marBottom w:val="0"/>
                          <w:divBdr>
                            <w:top w:val="none" w:sz="0" w:space="0" w:color="auto"/>
                            <w:left w:val="none" w:sz="0" w:space="0" w:color="auto"/>
                            <w:bottom w:val="none" w:sz="0" w:space="0" w:color="auto"/>
                            <w:right w:val="none" w:sz="0" w:space="0" w:color="auto"/>
                          </w:divBdr>
                        </w:div>
                        <w:div w:id="1424689676">
                          <w:marLeft w:val="0"/>
                          <w:marRight w:val="0"/>
                          <w:marTop w:val="0"/>
                          <w:marBottom w:val="0"/>
                          <w:divBdr>
                            <w:top w:val="none" w:sz="0" w:space="0" w:color="auto"/>
                            <w:left w:val="none" w:sz="0" w:space="0" w:color="auto"/>
                            <w:bottom w:val="none" w:sz="0" w:space="0" w:color="auto"/>
                            <w:right w:val="none" w:sz="0" w:space="0" w:color="auto"/>
                          </w:divBdr>
                        </w:div>
                        <w:div w:id="1722292998">
                          <w:marLeft w:val="0"/>
                          <w:marRight w:val="0"/>
                          <w:marTop w:val="0"/>
                          <w:marBottom w:val="0"/>
                          <w:divBdr>
                            <w:top w:val="none" w:sz="0" w:space="0" w:color="auto"/>
                            <w:left w:val="none" w:sz="0" w:space="0" w:color="auto"/>
                            <w:bottom w:val="none" w:sz="0" w:space="0" w:color="auto"/>
                            <w:right w:val="none" w:sz="0" w:space="0" w:color="auto"/>
                          </w:divBdr>
                        </w:div>
                        <w:div w:id="1879390003">
                          <w:marLeft w:val="0"/>
                          <w:marRight w:val="0"/>
                          <w:marTop w:val="0"/>
                          <w:marBottom w:val="0"/>
                          <w:divBdr>
                            <w:top w:val="none" w:sz="0" w:space="0" w:color="auto"/>
                            <w:left w:val="none" w:sz="0" w:space="0" w:color="auto"/>
                            <w:bottom w:val="none" w:sz="0" w:space="0" w:color="auto"/>
                            <w:right w:val="none" w:sz="0" w:space="0" w:color="auto"/>
                          </w:divBdr>
                        </w:div>
                      </w:divsChild>
                    </w:div>
                    <w:div w:id="182111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4080304">
      <w:bodyDiv w:val="1"/>
      <w:marLeft w:val="0"/>
      <w:marRight w:val="0"/>
      <w:marTop w:val="0"/>
      <w:marBottom w:val="0"/>
      <w:divBdr>
        <w:top w:val="none" w:sz="0" w:space="0" w:color="auto"/>
        <w:left w:val="none" w:sz="0" w:space="0" w:color="auto"/>
        <w:bottom w:val="none" w:sz="0" w:space="0" w:color="auto"/>
        <w:right w:val="none" w:sz="0" w:space="0" w:color="auto"/>
      </w:divBdr>
    </w:div>
    <w:div w:id="1768496729">
      <w:bodyDiv w:val="1"/>
      <w:marLeft w:val="0"/>
      <w:marRight w:val="0"/>
      <w:marTop w:val="0"/>
      <w:marBottom w:val="0"/>
      <w:divBdr>
        <w:top w:val="none" w:sz="0" w:space="0" w:color="auto"/>
        <w:left w:val="none" w:sz="0" w:space="0" w:color="auto"/>
        <w:bottom w:val="none" w:sz="0" w:space="0" w:color="auto"/>
        <w:right w:val="none" w:sz="0" w:space="0" w:color="auto"/>
      </w:divBdr>
      <w:divsChild>
        <w:div w:id="1836846350">
          <w:marLeft w:val="0"/>
          <w:marRight w:val="0"/>
          <w:marTop w:val="0"/>
          <w:marBottom w:val="0"/>
          <w:divBdr>
            <w:top w:val="none" w:sz="0" w:space="0" w:color="auto"/>
            <w:left w:val="none" w:sz="0" w:space="0" w:color="auto"/>
            <w:bottom w:val="none" w:sz="0" w:space="0" w:color="auto"/>
            <w:right w:val="none" w:sz="0" w:space="0" w:color="auto"/>
          </w:divBdr>
          <w:divsChild>
            <w:div w:id="116728143">
              <w:marLeft w:val="0"/>
              <w:marRight w:val="0"/>
              <w:marTop w:val="0"/>
              <w:marBottom w:val="0"/>
              <w:divBdr>
                <w:top w:val="none" w:sz="0" w:space="0" w:color="auto"/>
                <w:left w:val="none" w:sz="0" w:space="0" w:color="auto"/>
                <w:bottom w:val="none" w:sz="0" w:space="0" w:color="auto"/>
                <w:right w:val="none" w:sz="0" w:space="0" w:color="auto"/>
              </w:divBdr>
              <w:divsChild>
                <w:div w:id="47121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5117804">
      <w:bodyDiv w:val="1"/>
      <w:marLeft w:val="0"/>
      <w:marRight w:val="0"/>
      <w:marTop w:val="0"/>
      <w:marBottom w:val="0"/>
      <w:divBdr>
        <w:top w:val="none" w:sz="0" w:space="0" w:color="auto"/>
        <w:left w:val="none" w:sz="0" w:space="0" w:color="auto"/>
        <w:bottom w:val="none" w:sz="0" w:space="0" w:color="auto"/>
        <w:right w:val="none" w:sz="0" w:space="0" w:color="auto"/>
      </w:divBdr>
    </w:div>
    <w:div w:id="2142993977">
      <w:bodyDiv w:val="1"/>
      <w:marLeft w:val="0"/>
      <w:marRight w:val="0"/>
      <w:marTop w:val="0"/>
      <w:marBottom w:val="0"/>
      <w:divBdr>
        <w:top w:val="none" w:sz="0" w:space="0" w:color="auto"/>
        <w:left w:val="none" w:sz="0" w:space="0" w:color="auto"/>
        <w:bottom w:val="none" w:sz="0" w:space="0" w:color="auto"/>
        <w:right w:val="none" w:sz="0" w:space="0" w:color="auto"/>
      </w:divBdr>
      <w:divsChild>
        <w:div w:id="803815782">
          <w:marLeft w:val="0"/>
          <w:marRight w:val="0"/>
          <w:marTop w:val="0"/>
          <w:marBottom w:val="0"/>
          <w:divBdr>
            <w:top w:val="none" w:sz="0" w:space="0" w:color="auto"/>
            <w:left w:val="none" w:sz="0" w:space="0" w:color="auto"/>
            <w:bottom w:val="none" w:sz="0" w:space="0" w:color="auto"/>
            <w:right w:val="none" w:sz="0" w:space="0" w:color="auto"/>
          </w:divBdr>
          <w:divsChild>
            <w:div w:id="32312564">
              <w:marLeft w:val="0"/>
              <w:marRight w:val="0"/>
              <w:marTop w:val="0"/>
              <w:marBottom w:val="0"/>
              <w:divBdr>
                <w:top w:val="none" w:sz="0" w:space="0" w:color="auto"/>
                <w:left w:val="none" w:sz="0" w:space="0" w:color="auto"/>
                <w:bottom w:val="none" w:sz="0" w:space="0" w:color="auto"/>
                <w:right w:val="none" w:sz="0" w:space="0" w:color="auto"/>
              </w:divBdr>
            </w:div>
            <w:div w:id="35325645">
              <w:marLeft w:val="0"/>
              <w:marRight w:val="0"/>
              <w:marTop w:val="0"/>
              <w:marBottom w:val="0"/>
              <w:divBdr>
                <w:top w:val="none" w:sz="0" w:space="0" w:color="auto"/>
                <w:left w:val="none" w:sz="0" w:space="0" w:color="auto"/>
                <w:bottom w:val="none" w:sz="0" w:space="0" w:color="auto"/>
                <w:right w:val="none" w:sz="0" w:space="0" w:color="auto"/>
              </w:divBdr>
            </w:div>
            <w:div w:id="1556349573">
              <w:marLeft w:val="0"/>
              <w:marRight w:val="0"/>
              <w:marTop w:val="0"/>
              <w:marBottom w:val="0"/>
              <w:divBdr>
                <w:top w:val="none" w:sz="0" w:space="0" w:color="auto"/>
                <w:left w:val="none" w:sz="0" w:space="0" w:color="auto"/>
                <w:bottom w:val="none" w:sz="0" w:space="0" w:color="auto"/>
                <w:right w:val="none" w:sz="0" w:space="0" w:color="auto"/>
              </w:divBdr>
            </w:div>
            <w:div w:id="1633361978">
              <w:marLeft w:val="0"/>
              <w:marRight w:val="0"/>
              <w:marTop w:val="0"/>
              <w:marBottom w:val="0"/>
              <w:divBdr>
                <w:top w:val="none" w:sz="0" w:space="0" w:color="auto"/>
                <w:left w:val="none" w:sz="0" w:space="0" w:color="auto"/>
                <w:bottom w:val="none" w:sz="0" w:space="0" w:color="auto"/>
                <w:right w:val="none" w:sz="0" w:space="0" w:color="auto"/>
              </w:divBdr>
            </w:div>
            <w:div w:id="1639648146">
              <w:marLeft w:val="0"/>
              <w:marRight w:val="0"/>
              <w:marTop w:val="0"/>
              <w:marBottom w:val="0"/>
              <w:divBdr>
                <w:top w:val="none" w:sz="0" w:space="0" w:color="auto"/>
                <w:left w:val="none" w:sz="0" w:space="0" w:color="auto"/>
                <w:bottom w:val="none" w:sz="0" w:space="0" w:color="auto"/>
                <w:right w:val="none" w:sz="0" w:space="0" w:color="auto"/>
              </w:divBdr>
            </w:div>
            <w:div w:id="1750805871">
              <w:marLeft w:val="0"/>
              <w:marRight w:val="0"/>
              <w:marTop w:val="0"/>
              <w:marBottom w:val="0"/>
              <w:divBdr>
                <w:top w:val="none" w:sz="0" w:space="0" w:color="auto"/>
                <w:left w:val="none" w:sz="0" w:space="0" w:color="auto"/>
                <w:bottom w:val="none" w:sz="0" w:space="0" w:color="auto"/>
                <w:right w:val="none" w:sz="0" w:space="0" w:color="auto"/>
              </w:divBdr>
            </w:div>
            <w:div w:id="1998028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chart" Target="charts/chart1.xml"/><Relationship Id="Re862b6801c3e46d8" Type="http://schemas.microsoft.com/office/2011/relationships/people" Target="people.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image" Target="media/image1.emf"/><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253b5b2377a046ce" Type="http://schemas.microsoft.com/office/2011/relationships/commentsExtended" Target="commentsExtended.xml"/></Relationships>
</file>

<file path=word/charts/_rels/chart1.xml.rels><?xml version="1.0" encoding="UTF-8" standalone="yes"?>
<Relationships xmlns="http://schemas.openxmlformats.org/package/2006/relationships"><Relationship Id="rId2" Type="http://schemas.openxmlformats.org/officeDocument/2006/relationships/oleObject" Target="file:///C:\Users\schmidhube\OneDrive\FAO\SWS\trade\palm_arg.xlsx" TargetMode="External"/><Relationship Id="rId1" Type="http://schemas.openxmlformats.org/officeDocument/2006/relationships/themeOverride" Target="../theme/themeOverrid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a:lstStyle/>
          <a:p>
            <a:pPr>
              <a:defRPr/>
            </a:pPr>
            <a:r>
              <a:rPr lang="en-US"/>
              <a:t>Negative utilization (palm oil, Argentina): </a:t>
            </a:r>
          </a:p>
          <a:p>
            <a:pPr>
              <a:defRPr/>
            </a:pPr>
            <a:r>
              <a:rPr lang="en-US"/>
              <a:t>The need for balanced trade</a:t>
            </a:r>
          </a:p>
        </c:rich>
      </c:tx>
      <c:overlay val="0"/>
    </c:title>
    <c:autoTitleDeleted val="0"/>
    <c:plotArea>
      <c:layout/>
      <c:lineChart>
        <c:grouping val="standard"/>
        <c:varyColors val="0"/>
        <c:ser>
          <c:idx val="0"/>
          <c:order val="0"/>
          <c:tx>
            <c:strRef>
              <c:f>sheet1!$C$2</c:f>
              <c:strCache>
                <c:ptCount val="1"/>
                <c:pt idx="0">
                  <c:v>Import Quantity</c:v>
                </c:pt>
              </c:strCache>
            </c:strRef>
          </c:tx>
          <c:marker>
            <c:symbol val="none"/>
          </c:marker>
          <c:cat>
            <c:strRef>
              <c:f>sheet1!$D$1:$BB$1</c:f>
              <c:strCache>
                <c:ptCount val="51"/>
                <c:pt idx="0">
                  <c:v> 1961</c:v>
                </c:pt>
                <c:pt idx="1">
                  <c:v> 1962</c:v>
                </c:pt>
                <c:pt idx="2">
                  <c:v> 1963</c:v>
                </c:pt>
                <c:pt idx="3">
                  <c:v> 1964</c:v>
                </c:pt>
                <c:pt idx="4">
                  <c:v> 1965</c:v>
                </c:pt>
                <c:pt idx="5">
                  <c:v> 1966</c:v>
                </c:pt>
                <c:pt idx="6">
                  <c:v> 1967</c:v>
                </c:pt>
                <c:pt idx="7">
                  <c:v> 1968</c:v>
                </c:pt>
                <c:pt idx="8">
                  <c:v> 1969</c:v>
                </c:pt>
                <c:pt idx="9">
                  <c:v> 1970</c:v>
                </c:pt>
                <c:pt idx="10">
                  <c:v> 1971</c:v>
                </c:pt>
                <c:pt idx="11">
                  <c:v> 1972</c:v>
                </c:pt>
                <c:pt idx="12">
                  <c:v> 1973</c:v>
                </c:pt>
                <c:pt idx="13">
                  <c:v> 1974</c:v>
                </c:pt>
                <c:pt idx="14">
                  <c:v> 1975</c:v>
                </c:pt>
                <c:pt idx="15">
                  <c:v> 1976</c:v>
                </c:pt>
                <c:pt idx="16">
                  <c:v> 1977</c:v>
                </c:pt>
                <c:pt idx="17">
                  <c:v> 1978</c:v>
                </c:pt>
                <c:pt idx="18">
                  <c:v> 1979</c:v>
                </c:pt>
                <c:pt idx="19">
                  <c:v> 1980</c:v>
                </c:pt>
                <c:pt idx="20">
                  <c:v> 1981</c:v>
                </c:pt>
                <c:pt idx="21">
                  <c:v> 1982</c:v>
                </c:pt>
                <c:pt idx="22">
                  <c:v> 1983</c:v>
                </c:pt>
                <c:pt idx="23">
                  <c:v> 1984</c:v>
                </c:pt>
                <c:pt idx="24">
                  <c:v> 1985</c:v>
                </c:pt>
                <c:pt idx="25">
                  <c:v> 1986</c:v>
                </c:pt>
                <c:pt idx="26">
                  <c:v> 1987</c:v>
                </c:pt>
                <c:pt idx="27">
                  <c:v> 1988</c:v>
                </c:pt>
                <c:pt idx="28">
                  <c:v> 1989</c:v>
                </c:pt>
                <c:pt idx="29">
                  <c:v> 1990</c:v>
                </c:pt>
                <c:pt idx="30">
                  <c:v> 1991</c:v>
                </c:pt>
                <c:pt idx="31">
                  <c:v> 1992</c:v>
                </c:pt>
                <c:pt idx="32">
                  <c:v> 1993</c:v>
                </c:pt>
                <c:pt idx="33">
                  <c:v> 1994</c:v>
                </c:pt>
                <c:pt idx="34">
                  <c:v> 1995</c:v>
                </c:pt>
                <c:pt idx="35">
                  <c:v> 1996</c:v>
                </c:pt>
                <c:pt idx="36">
                  <c:v> 1997</c:v>
                </c:pt>
                <c:pt idx="37">
                  <c:v> 1998</c:v>
                </c:pt>
                <c:pt idx="38">
                  <c:v> 1999</c:v>
                </c:pt>
                <c:pt idx="39">
                  <c:v> 2000</c:v>
                </c:pt>
                <c:pt idx="40">
                  <c:v> 2001</c:v>
                </c:pt>
                <c:pt idx="41">
                  <c:v> 2002</c:v>
                </c:pt>
                <c:pt idx="42">
                  <c:v> 2003</c:v>
                </c:pt>
                <c:pt idx="43">
                  <c:v> 2004</c:v>
                </c:pt>
                <c:pt idx="44">
                  <c:v> 2005</c:v>
                </c:pt>
                <c:pt idx="45">
                  <c:v> 2006</c:v>
                </c:pt>
                <c:pt idx="46">
                  <c:v> 2007</c:v>
                </c:pt>
                <c:pt idx="47">
                  <c:v> 2008</c:v>
                </c:pt>
                <c:pt idx="48">
                  <c:v> 2009</c:v>
                </c:pt>
                <c:pt idx="49">
                  <c:v> 2010</c:v>
                </c:pt>
                <c:pt idx="50">
                  <c:v> 2011</c:v>
                </c:pt>
              </c:strCache>
            </c:strRef>
          </c:cat>
          <c:val>
            <c:numRef>
              <c:f>sheet1!$D$2:$BB$2</c:f>
              <c:numCache>
                <c:formatCode>General</c:formatCode>
                <c:ptCount val="51"/>
                <c:pt idx="0">
                  <c:v>177</c:v>
                </c:pt>
                <c:pt idx="1">
                  <c:v>15</c:v>
                </c:pt>
                <c:pt idx="2">
                  <c:v>199</c:v>
                </c:pt>
                <c:pt idx="3">
                  <c:v>757</c:v>
                </c:pt>
                <c:pt idx="4">
                  <c:v>186</c:v>
                </c:pt>
                <c:pt idx="5">
                  <c:v>101</c:v>
                </c:pt>
                <c:pt idx="6">
                  <c:v>147</c:v>
                </c:pt>
                <c:pt idx="7">
                  <c:v>185</c:v>
                </c:pt>
                <c:pt idx="8">
                  <c:v>244</c:v>
                </c:pt>
                <c:pt idx="9">
                  <c:v>187</c:v>
                </c:pt>
                <c:pt idx="10">
                  <c:v>324</c:v>
                </c:pt>
                <c:pt idx="11">
                  <c:v>312</c:v>
                </c:pt>
                <c:pt idx="12">
                  <c:v>452</c:v>
                </c:pt>
                <c:pt idx="13">
                  <c:v>444</c:v>
                </c:pt>
                <c:pt idx="14">
                  <c:v>1485</c:v>
                </c:pt>
                <c:pt idx="15">
                  <c:v>1096</c:v>
                </c:pt>
                <c:pt idx="16">
                  <c:v>1191</c:v>
                </c:pt>
                <c:pt idx="17">
                  <c:v>904</c:v>
                </c:pt>
                <c:pt idx="18">
                  <c:v>443</c:v>
                </c:pt>
                <c:pt idx="19">
                  <c:v>2052</c:v>
                </c:pt>
                <c:pt idx="20">
                  <c:v>1636</c:v>
                </c:pt>
                <c:pt idx="21">
                  <c:v>1114</c:v>
                </c:pt>
                <c:pt idx="22">
                  <c:v>364</c:v>
                </c:pt>
                <c:pt idx="23">
                  <c:v>131</c:v>
                </c:pt>
                <c:pt idx="24">
                  <c:v>195</c:v>
                </c:pt>
                <c:pt idx="25">
                  <c:v>298</c:v>
                </c:pt>
                <c:pt idx="26">
                  <c:v>41</c:v>
                </c:pt>
                <c:pt idx="27">
                  <c:v>88</c:v>
                </c:pt>
                <c:pt idx="28">
                  <c:v>23</c:v>
                </c:pt>
                <c:pt idx="29">
                  <c:v>29</c:v>
                </c:pt>
                <c:pt idx="30">
                  <c:v>158</c:v>
                </c:pt>
                <c:pt idx="31">
                  <c:v>2198</c:v>
                </c:pt>
                <c:pt idx="32">
                  <c:v>580</c:v>
                </c:pt>
                <c:pt idx="33">
                  <c:v>1052</c:v>
                </c:pt>
                <c:pt idx="34">
                  <c:v>718</c:v>
                </c:pt>
                <c:pt idx="35">
                  <c:v>703</c:v>
                </c:pt>
                <c:pt idx="36">
                  <c:v>543</c:v>
                </c:pt>
                <c:pt idx="37">
                  <c:v>1739</c:v>
                </c:pt>
                <c:pt idx="38">
                  <c:v>789</c:v>
                </c:pt>
                <c:pt idx="39">
                  <c:v>735</c:v>
                </c:pt>
                <c:pt idx="40">
                  <c:v>575</c:v>
                </c:pt>
                <c:pt idx="41">
                  <c:v>729</c:v>
                </c:pt>
                <c:pt idx="42">
                  <c:v>2335</c:v>
                </c:pt>
                <c:pt idx="43">
                  <c:v>3727</c:v>
                </c:pt>
                <c:pt idx="44">
                  <c:v>4179</c:v>
                </c:pt>
                <c:pt idx="45">
                  <c:v>2911</c:v>
                </c:pt>
                <c:pt idx="46">
                  <c:v>3791</c:v>
                </c:pt>
                <c:pt idx="47">
                  <c:v>4262</c:v>
                </c:pt>
                <c:pt idx="48">
                  <c:v>4476</c:v>
                </c:pt>
                <c:pt idx="49">
                  <c:v>8425</c:v>
                </c:pt>
                <c:pt idx="50">
                  <c:v>7055</c:v>
                </c:pt>
              </c:numCache>
            </c:numRef>
          </c:val>
          <c:smooth val="0"/>
        </c:ser>
        <c:ser>
          <c:idx val="1"/>
          <c:order val="1"/>
          <c:tx>
            <c:strRef>
              <c:f>sheet1!$C$3</c:f>
              <c:strCache>
                <c:ptCount val="1"/>
                <c:pt idx="0">
                  <c:v>Stock Variation</c:v>
                </c:pt>
              </c:strCache>
            </c:strRef>
          </c:tx>
          <c:marker>
            <c:symbol val="none"/>
          </c:marker>
          <c:cat>
            <c:strRef>
              <c:f>sheet1!$D$1:$BB$1</c:f>
              <c:strCache>
                <c:ptCount val="51"/>
                <c:pt idx="0">
                  <c:v> 1961</c:v>
                </c:pt>
                <c:pt idx="1">
                  <c:v> 1962</c:v>
                </c:pt>
                <c:pt idx="2">
                  <c:v> 1963</c:v>
                </c:pt>
                <c:pt idx="3">
                  <c:v> 1964</c:v>
                </c:pt>
                <c:pt idx="4">
                  <c:v> 1965</c:v>
                </c:pt>
                <c:pt idx="5">
                  <c:v> 1966</c:v>
                </c:pt>
                <c:pt idx="6">
                  <c:v> 1967</c:v>
                </c:pt>
                <c:pt idx="7">
                  <c:v> 1968</c:v>
                </c:pt>
                <c:pt idx="8">
                  <c:v> 1969</c:v>
                </c:pt>
                <c:pt idx="9">
                  <c:v> 1970</c:v>
                </c:pt>
                <c:pt idx="10">
                  <c:v> 1971</c:v>
                </c:pt>
                <c:pt idx="11">
                  <c:v> 1972</c:v>
                </c:pt>
                <c:pt idx="12">
                  <c:v> 1973</c:v>
                </c:pt>
                <c:pt idx="13">
                  <c:v> 1974</c:v>
                </c:pt>
                <c:pt idx="14">
                  <c:v> 1975</c:v>
                </c:pt>
                <c:pt idx="15">
                  <c:v> 1976</c:v>
                </c:pt>
                <c:pt idx="16">
                  <c:v> 1977</c:v>
                </c:pt>
                <c:pt idx="17">
                  <c:v> 1978</c:v>
                </c:pt>
                <c:pt idx="18">
                  <c:v> 1979</c:v>
                </c:pt>
                <c:pt idx="19">
                  <c:v> 1980</c:v>
                </c:pt>
                <c:pt idx="20">
                  <c:v> 1981</c:v>
                </c:pt>
                <c:pt idx="21">
                  <c:v> 1982</c:v>
                </c:pt>
                <c:pt idx="22">
                  <c:v> 1983</c:v>
                </c:pt>
                <c:pt idx="23">
                  <c:v> 1984</c:v>
                </c:pt>
                <c:pt idx="24">
                  <c:v> 1985</c:v>
                </c:pt>
                <c:pt idx="25">
                  <c:v> 1986</c:v>
                </c:pt>
                <c:pt idx="26">
                  <c:v> 1987</c:v>
                </c:pt>
                <c:pt idx="27">
                  <c:v> 1988</c:v>
                </c:pt>
                <c:pt idx="28">
                  <c:v> 1989</c:v>
                </c:pt>
                <c:pt idx="29">
                  <c:v> 1990</c:v>
                </c:pt>
                <c:pt idx="30">
                  <c:v> 1991</c:v>
                </c:pt>
                <c:pt idx="31">
                  <c:v> 1992</c:v>
                </c:pt>
                <c:pt idx="32">
                  <c:v> 1993</c:v>
                </c:pt>
                <c:pt idx="33">
                  <c:v> 1994</c:v>
                </c:pt>
                <c:pt idx="34">
                  <c:v> 1995</c:v>
                </c:pt>
                <c:pt idx="35">
                  <c:v> 1996</c:v>
                </c:pt>
                <c:pt idx="36">
                  <c:v> 1997</c:v>
                </c:pt>
                <c:pt idx="37">
                  <c:v> 1998</c:v>
                </c:pt>
                <c:pt idx="38">
                  <c:v> 1999</c:v>
                </c:pt>
                <c:pt idx="39">
                  <c:v> 2000</c:v>
                </c:pt>
                <c:pt idx="40">
                  <c:v> 2001</c:v>
                </c:pt>
                <c:pt idx="41">
                  <c:v> 2002</c:v>
                </c:pt>
                <c:pt idx="42">
                  <c:v> 2003</c:v>
                </c:pt>
                <c:pt idx="43">
                  <c:v> 2004</c:v>
                </c:pt>
                <c:pt idx="44">
                  <c:v> 2005</c:v>
                </c:pt>
                <c:pt idx="45">
                  <c:v> 2006</c:v>
                </c:pt>
                <c:pt idx="46">
                  <c:v> 2007</c:v>
                </c:pt>
                <c:pt idx="47">
                  <c:v> 2008</c:v>
                </c:pt>
                <c:pt idx="48">
                  <c:v> 2009</c:v>
                </c:pt>
                <c:pt idx="49">
                  <c:v> 2010</c:v>
                </c:pt>
                <c:pt idx="50">
                  <c:v> 2011</c:v>
                </c:pt>
              </c:strCache>
            </c:strRef>
          </c:cat>
          <c:val>
            <c:numRef>
              <c:f>sheet1!$D$3:$BB$3</c:f>
              <c:numCache>
                <c:formatCode>General</c:formatCode>
                <c:ptCount val="5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-100</c:v>
                </c:pt>
                <c:pt idx="23">
                  <c:v>0</c:v>
                </c:pt>
                <c:pt idx="24">
                  <c:v>100</c:v>
                </c:pt>
                <c:pt idx="25">
                  <c:v>-50</c:v>
                </c:pt>
                <c:pt idx="26">
                  <c:v>50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numCache>
            </c:numRef>
          </c:val>
          <c:smooth val="0"/>
        </c:ser>
        <c:ser>
          <c:idx val="2"/>
          <c:order val="2"/>
          <c:tx>
            <c:strRef>
              <c:f>sheet1!$C$4</c:f>
              <c:strCache>
                <c:ptCount val="1"/>
                <c:pt idx="0">
                  <c:v>Export Quantity</c:v>
                </c:pt>
              </c:strCache>
            </c:strRef>
          </c:tx>
          <c:marker>
            <c:symbol val="none"/>
          </c:marker>
          <c:cat>
            <c:strRef>
              <c:f>sheet1!$D$1:$BB$1</c:f>
              <c:strCache>
                <c:ptCount val="51"/>
                <c:pt idx="0">
                  <c:v> 1961</c:v>
                </c:pt>
                <c:pt idx="1">
                  <c:v> 1962</c:v>
                </c:pt>
                <c:pt idx="2">
                  <c:v> 1963</c:v>
                </c:pt>
                <c:pt idx="3">
                  <c:v> 1964</c:v>
                </c:pt>
                <c:pt idx="4">
                  <c:v> 1965</c:v>
                </c:pt>
                <c:pt idx="5">
                  <c:v> 1966</c:v>
                </c:pt>
                <c:pt idx="6">
                  <c:v> 1967</c:v>
                </c:pt>
                <c:pt idx="7">
                  <c:v> 1968</c:v>
                </c:pt>
                <c:pt idx="8">
                  <c:v> 1969</c:v>
                </c:pt>
                <c:pt idx="9">
                  <c:v> 1970</c:v>
                </c:pt>
                <c:pt idx="10">
                  <c:v> 1971</c:v>
                </c:pt>
                <c:pt idx="11">
                  <c:v> 1972</c:v>
                </c:pt>
                <c:pt idx="12">
                  <c:v> 1973</c:v>
                </c:pt>
                <c:pt idx="13">
                  <c:v> 1974</c:v>
                </c:pt>
                <c:pt idx="14">
                  <c:v> 1975</c:v>
                </c:pt>
                <c:pt idx="15">
                  <c:v> 1976</c:v>
                </c:pt>
                <c:pt idx="16">
                  <c:v> 1977</c:v>
                </c:pt>
                <c:pt idx="17">
                  <c:v> 1978</c:v>
                </c:pt>
                <c:pt idx="18">
                  <c:v> 1979</c:v>
                </c:pt>
                <c:pt idx="19">
                  <c:v> 1980</c:v>
                </c:pt>
                <c:pt idx="20">
                  <c:v> 1981</c:v>
                </c:pt>
                <c:pt idx="21">
                  <c:v> 1982</c:v>
                </c:pt>
                <c:pt idx="22">
                  <c:v> 1983</c:v>
                </c:pt>
                <c:pt idx="23">
                  <c:v> 1984</c:v>
                </c:pt>
                <c:pt idx="24">
                  <c:v> 1985</c:v>
                </c:pt>
                <c:pt idx="25">
                  <c:v> 1986</c:v>
                </c:pt>
                <c:pt idx="26">
                  <c:v> 1987</c:v>
                </c:pt>
                <c:pt idx="27">
                  <c:v> 1988</c:v>
                </c:pt>
                <c:pt idx="28">
                  <c:v> 1989</c:v>
                </c:pt>
                <c:pt idx="29">
                  <c:v> 1990</c:v>
                </c:pt>
                <c:pt idx="30">
                  <c:v> 1991</c:v>
                </c:pt>
                <c:pt idx="31">
                  <c:v> 1992</c:v>
                </c:pt>
                <c:pt idx="32">
                  <c:v> 1993</c:v>
                </c:pt>
                <c:pt idx="33">
                  <c:v> 1994</c:v>
                </c:pt>
                <c:pt idx="34">
                  <c:v> 1995</c:v>
                </c:pt>
                <c:pt idx="35">
                  <c:v> 1996</c:v>
                </c:pt>
                <c:pt idx="36">
                  <c:v> 1997</c:v>
                </c:pt>
                <c:pt idx="37">
                  <c:v> 1998</c:v>
                </c:pt>
                <c:pt idx="38">
                  <c:v> 1999</c:v>
                </c:pt>
                <c:pt idx="39">
                  <c:v> 2000</c:v>
                </c:pt>
                <c:pt idx="40">
                  <c:v> 2001</c:v>
                </c:pt>
                <c:pt idx="41">
                  <c:v> 2002</c:v>
                </c:pt>
                <c:pt idx="42">
                  <c:v> 2003</c:v>
                </c:pt>
                <c:pt idx="43">
                  <c:v> 2004</c:v>
                </c:pt>
                <c:pt idx="44">
                  <c:v> 2005</c:v>
                </c:pt>
                <c:pt idx="45">
                  <c:v> 2006</c:v>
                </c:pt>
                <c:pt idx="46">
                  <c:v> 2007</c:v>
                </c:pt>
                <c:pt idx="47">
                  <c:v> 2008</c:v>
                </c:pt>
                <c:pt idx="48">
                  <c:v> 2009</c:v>
                </c:pt>
                <c:pt idx="49">
                  <c:v> 2010</c:v>
                </c:pt>
                <c:pt idx="50">
                  <c:v> 2011</c:v>
                </c:pt>
              </c:strCache>
            </c:strRef>
          </c:cat>
          <c:val>
            <c:numRef>
              <c:f>sheet1!$D$4:$BB$4</c:f>
              <c:numCache>
                <c:formatCode>General</c:formatCode>
                <c:ptCount val="51"/>
                <c:pt idx="0">
                  <c:v>0</c:v>
                </c:pt>
                <c:pt idx="1">
                  <c:v>27</c:v>
                </c:pt>
                <c:pt idx="2">
                  <c:v>26</c:v>
                </c:pt>
                <c:pt idx="3">
                  <c:v>336</c:v>
                </c:pt>
                <c:pt idx="4">
                  <c:v>443</c:v>
                </c:pt>
                <c:pt idx="5">
                  <c:v>1026</c:v>
                </c:pt>
                <c:pt idx="6">
                  <c:v>2609</c:v>
                </c:pt>
                <c:pt idx="7">
                  <c:v>3765</c:v>
                </c:pt>
                <c:pt idx="8">
                  <c:v>3120</c:v>
                </c:pt>
                <c:pt idx="9">
                  <c:v>4830</c:v>
                </c:pt>
                <c:pt idx="10">
                  <c:v>2769</c:v>
                </c:pt>
                <c:pt idx="11">
                  <c:v>5438</c:v>
                </c:pt>
                <c:pt idx="12">
                  <c:v>12303</c:v>
                </c:pt>
                <c:pt idx="13">
                  <c:v>19794</c:v>
                </c:pt>
                <c:pt idx="14">
                  <c:v>6671</c:v>
                </c:pt>
                <c:pt idx="15">
                  <c:v>20328</c:v>
                </c:pt>
                <c:pt idx="16">
                  <c:v>10660</c:v>
                </c:pt>
                <c:pt idx="17">
                  <c:v>14759</c:v>
                </c:pt>
                <c:pt idx="18">
                  <c:v>10275</c:v>
                </c:pt>
                <c:pt idx="19">
                  <c:v>11494</c:v>
                </c:pt>
                <c:pt idx="20">
                  <c:v>12346</c:v>
                </c:pt>
                <c:pt idx="21">
                  <c:v>7213</c:v>
                </c:pt>
                <c:pt idx="22">
                  <c:v>10238</c:v>
                </c:pt>
                <c:pt idx="23">
                  <c:v>18847</c:v>
                </c:pt>
                <c:pt idx="24">
                  <c:v>20459</c:v>
                </c:pt>
                <c:pt idx="25">
                  <c:v>17786</c:v>
                </c:pt>
                <c:pt idx="26">
                  <c:v>16255</c:v>
                </c:pt>
                <c:pt idx="27">
                  <c:v>27991</c:v>
                </c:pt>
                <c:pt idx="28">
                  <c:v>17612</c:v>
                </c:pt>
                <c:pt idx="29">
                  <c:v>18015</c:v>
                </c:pt>
                <c:pt idx="30">
                  <c:v>20510</c:v>
                </c:pt>
                <c:pt idx="31">
                  <c:v>24363</c:v>
                </c:pt>
                <c:pt idx="32">
                  <c:v>29067</c:v>
                </c:pt>
                <c:pt idx="33">
                  <c:v>28990</c:v>
                </c:pt>
                <c:pt idx="34">
                  <c:v>35962</c:v>
                </c:pt>
                <c:pt idx="35">
                  <c:v>59959</c:v>
                </c:pt>
                <c:pt idx="36">
                  <c:v>33651</c:v>
                </c:pt>
                <c:pt idx="37">
                  <c:v>46353</c:v>
                </c:pt>
                <c:pt idx="38">
                  <c:v>49963</c:v>
                </c:pt>
                <c:pt idx="39">
                  <c:v>49449</c:v>
                </c:pt>
                <c:pt idx="40">
                  <c:v>41373</c:v>
                </c:pt>
                <c:pt idx="41">
                  <c:v>39496</c:v>
                </c:pt>
                <c:pt idx="42">
                  <c:v>28434</c:v>
                </c:pt>
                <c:pt idx="43">
                  <c:v>45036</c:v>
                </c:pt>
                <c:pt idx="44">
                  <c:v>44902</c:v>
                </c:pt>
                <c:pt idx="45">
                  <c:v>43480</c:v>
                </c:pt>
                <c:pt idx="46">
                  <c:v>48429</c:v>
                </c:pt>
                <c:pt idx="47">
                  <c:v>69905</c:v>
                </c:pt>
                <c:pt idx="48">
                  <c:v>76859</c:v>
                </c:pt>
                <c:pt idx="49">
                  <c:v>94580</c:v>
                </c:pt>
                <c:pt idx="50">
                  <c:v>105747</c:v>
                </c:pt>
              </c:numCache>
            </c:numRef>
          </c:val>
          <c:smooth val="0"/>
        </c:ser>
        <c:ser>
          <c:idx val="3"/>
          <c:order val="3"/>
          <c:tx>
            <c:strRef>
              <c:f>sheet1!$C$5</c:f>
              <c:strCache>
                <c:ptCount val="1"/>
                <c:pt idx="0">
                  <c:v>Domestic supply/utilization</c:v>
                </c:pt>
              </c:strCache>
            </c:strRef>
          </c:tx>
          <c:marker>
            <c:symbol val="none"/>
          </c:marker>
          <c:cat>
            <c:strRef>
              <c:f>sheet1!$D$1:$BB$1</c:f>
              <c:strCache>
                <c:ptCount val="51"/>
                <c:pt idx="0">
                  <c:v> 1961</c:v>
                </c:pt>
                <c:pt idx="1">
                  <c:v> 1962</c:v>
                </c:pt>
                <c:pt idx="2">
                  <c:v> 1963</c:v>
                </c:pt>
                <c:pt idx="3">
                  <c:v> 1964</c:v>
                </c:pt>
                <c:pt idx="4">
                  <c:v> 1965</c:v>
                </c:pt>
                <c:pt idx="5">
                  <c:v> 1966</c:v>
                </c:pt>
                <c:pt idx="6">
                  <c:v> 1967</c:v>
                </c:pt>
                <c:pt idx="7">
                  <c:v> 1968</c:v>
                </c:pt>
                <c:pt idx="8">
                  <c:v> 1969</c:v>
                </c:pt>
                <c:pt idx="9">
                  <c:v> 1970</c:v>
                </c:pt>
                <c:pt idx="10">
                  <c:v> 1971</c:v>
                </c:pt>
                <c:pt idx="11">
                  <c:v> 1972</c:v>
                </c:pt>
                <c:pt idx="12">
                  <c:v> 1973</c:v>
                </c:pt>
                <c:pt idx="13">
                  <c:v> 1974</c:v>
                </c:pt>
                <c:pt idx="14">
                  <c:v> 1975</c:v>
                </c:pt>
                <c:pt idx="15">
                  <c:v> 1976</c:v>
                </c:pt>
                <c:pt idx="16">
                  <c:v> 1977</c:v>
                </c:pt>
                <c:pt idx="17">
                  <c:v> 1978</c:v>
                </c:pt>
                <c:pt idx="18">
                  <c:v> 1979</c:v>
                </c:pt>
                <c:pt idx="19">
                  <c:v> 1980</c:v>
                </c:pt>
                <c:pt idx="20">
                  <c:v> 1981</c:v>
                </c:pt>
                <c:pt idx="21">
                  <c:v> 1982</c:v>
                </c:pt>
                <c:pt idx="22">
                  <c:v> 1983</c:v>
                </c:pt>
                <c:pt idx="23">
                  <c:v> 1984</c:v>
                </c:pt>
                <c:pt idx="24">
                  <c:v> 1985</c:v>
                </c:pt>
                <c:pt idx="25">
                  <c:v> 1986</c:v>
                </c:pt>
                <c:pt idx="26">
                  <c:v> 1987</c:v>
                </c:pt>
                <c:pt idx="27">
                  <c:v> 1988</c:v>
                </c:pt>
                <c:pt idx="28">
                  <c:v> 1989</c:v>
                </c:pt>
                <c:pt idx="29">
                  <c:v> 1990</c:v>
                </c:pt>
                <c:pt idx="30">
                  <c:v> 1991</c:v>
                </c:pt>
                <c:pt idx="31">
                  <c:v> 1992</c:v>
                </c:pt>
                <c:pt idx="32">
                  <c:v> 1993</c:v>
                </c:pt>
                <c:pt idx="33">
                  <c:v> 1994</c:v>
                </c:pt>
                <c:pt idx="34">
                  <c:v> 1995</c:v>
                </c:pt>
                <c:pt idx="35">
                  <c:v> 1996</c:v>
                </c:pt>
                <c:pt idx="36">
                  <c:v> 1997</c:v>
                </c:pt>
                <c:pt idx="37">
                  <c:v> 1998</c:v>
                </c:pt>
                <c:pt idx="38">
                  <c:v> 1999</c:v>
                </c:pt>
                <c:pt idx="39">
                  <c:v> 2000</c:v>
                </c:pt>
                <c:pt idx="40">
                  <c:v> 2001</c:v>
                </c:pt>
                <c:pt idx="41">
                  <c:v> 2002</c:v>
                </c:pt>
                <c:pt idx="42">
                  <c:v> 2003</c:v>
                </c:pt>
                <c:pt idx="43">
                  <c:v> 2004</c:v>
                </c:pt>
                <c:pt idx="44">
                  <c:v> 2005</c:v>
                </c:pt>
                <c:pt idx="45">
                  <c:v> 2006</c:v>
                </c:pt>
                <c:pt idx="46">
                  <c:v> 2007</c:v>
                </c:pt>
                <c:pt idx="47">
                  <c:v> 2008</c:v>
                </c:pt>
                <c:pt idx="48">
                  <c:v> 2009</c:v>
                </c:pt>
                <c:pt idx="49">
                  <c:v> 2010</c:v>
                </c:pt>
                <c:pt idx="50">
                  <c:v> 2011</c:v>
                </c:pt>
              </c:strCache>
            </c:strRef>
          </c:cat>
          <c:val>
            <c:numRef>
              <c:f>sheet1!$D$5:$BB$5</c:f>
              <c:numCache>
                <c:formatCode>General</c:formatCode>
                <c:ptCount val="51"/>
                <c:pt idx="0">
                  <c:v>177</c:v>
                </c:pt>
                <c:pt idx="1">
                  <c:v>-12</c:v>
                </c:pt>
                <c:pt idx="2">
                  <c:v>173</c:v>
                </c:pt>
                <c:pt idx="3">
                  <c:v>421</c:v>
                </c:pt>
                <c:pt idx="4">
                  <c:v>-257</c:v>
                </c:pt>
                <c:pt idx="5">
                  <c:v>-925</c:v>
                </c:pt>
                <c:pt idx="6">
                  <c:v>-2462</c:v>
                </c:pt>
                <c:pt idx="7">
                  <c:v>-3580</c:v>
                </c:pt>
                <c:pt idx="8">
                  <c:v>-2876</c:v>
                </c:pt>
                <c:pt idx="9">
                  <c:v>-4643</c:v>
                </c:pt>
                <c:pt idx="10">
                  <c:v>-2445</c:v>
                </c:pt>
                <c:pt idx="11">
                  <c:v>-5126</c:v>
                </c:pt>
                <c:pt idx="12">
                  <c:v>-11851</c:v>
                </c:pt>
                <c:pt idx="13">
                  <c:v>-19350</c:v>
                </c:pt>
                <c:pt idx="14">
                  <c:v>-5186</c:v>
                </c:pt>
                <c:pt idx="15">
                  <c:v>-19232</c:v>
                </c:pt>
                <c:pt idx="16">
                  <c:v>-9469</c:v>
                </c:pt>
                <c:pt idx="17">
                  <c:v>-13855</c:v>
                </c:pt>
                <c:pt idx="18">
                  <c:v>-9832</c:v>
                </c:pt>
                <c:pt idx="19">
                  <c:v>-9442</c:v>
                </c:pt>
                <c:pt idx="20">
                  <c:v>-10710</c:v>
                </c:pt>
                <c:pt idx="21">
                  <c:v>-6099</c:v>
                </c:pt>
                <c:pt idx="22">
                  <c:v>-9974</c:v>
                </c:pt>
                <c:pt idx="23">
                  <c:v>-18716</c:v>
                </c:pt>
                <c:pt idx="24">
                  <c:v>-20164</c:v>
                </c:pt>
                <c:pt idx="25">
                  <c:v>-17538</c:v>
                </c:pt>
                <c:pt idx="26">
                  <c:v>-16164</c:v>
                </c:pt>
                <c:pt idx="27">
                  <c:v>-27903</c:v>
                </c:pt>
                <c:pt idx="28">
                  <c:v>-17589</c:v>
                </c:pt>
                <c:pt idx="29">
                  <c:v>-17986</c:v>
                </c:pt>
                <c:pt idx="30">
                  <c:v>-20352</c:v>
                </c:pt>
                <c:pt idx="31">
                  <c:v>-22165</c:v>
                </c:pt>
                <c:pt idx="32">
                  <c:v>-28487</c:v>
                </c:pt>
                <c:pt idx="33">
                  <c:v>-27938</c:v>
                </c:pt>
                <c:pt idx="34">
                  <c:v>-35244</c:v>
                </c:pt>
                <c:pt idx="35">
                  <c:v>-59256</c:v>
                </c:pt>
                <c:pt idx="36">
                  <c:v>-33108</c:v>
                </c:pt>
                <c:pt idx="37">
                  <c:v>-44614</c:v>
                </c:pt>
                <c:pt idx="38">
                  <c:v>-49174</c:v>
                </c:pt>
                <c:pt idx="39">
                  <c:v>-48714</c:v>
                </c:pt>
                <c:pt idx="40">
                  <c:v>-40798</c:v>
                </c:pt>
                <c:pt idx="41">
                  <c:v>-38767</c:v>
                </c:pt>
                <c:pt idx="42">
                  <c:v>-26099</c:v>
                </c:pt>
                <c:pt idx="43">
                  <c:v>-41309</c:v>
                </c:pt>
                <c:pt idx="44">
                  <c:v>-40723</c:v>
                </c:pt>
                <c:pt idx="45">
                  <c:v>-40569</c:v>
                </c:pt>
                <c:pt idx="46">
                  <c:v>-44638</c:v>
                </c:pt>
                <c:pt idx="47">
                  <c:v>-65643</c:v>
                </c:pt>
                <c:pt idx="48">
                  <c:v>-72383</c:v>
                </c:pt>
                <c:pt idx="49">
                  <c:v>-86155</c:v>
                </c:pt>
                <c:pt idx="50">
                  <c:v>-98692</c:v>
                </c:pt>
              </c:numCache>
            </c:numRef>
          </c:val>
          <c:smooth val="0"/>
        </c:ser>
        <c:dLbls>
          <c:showLegendKey val="0"/>
          <c:showVal val="0"/>
          <c:showCatName val="0"/>
          <c:showSerName val="0"/>
          <c:showPercent val="0"/>
          <c:showBubbleSize val="0"/>
        </c:dLbls>
        <c:marker val="1"/>
        <c:smooth val="0"/>
        <c:axId val="150497920"/>
        <c:axId val="112247168"/>
      </c:lineChart>
      <c:catAx>
        <c:axId val="150497920"/>
        <c:scaling>
          <c:orientation val="minMax"/>
        </c:scaling>
        <c:delete val="0"/>
        <c:axPos val="b"/>
        <c:numFmt formatCode="General" sourceLinked="0"/>
        <c:majorTickMark val="none"/>
        <c:minorTickMark val="none"/>
        <c:tickLblPos val="nextTo"/>
        <c:crossAx val="112247168"/>
        <c:crosses val="autoZero"/>
        <c:auto val="1"/>
        <c:lblAlgn val="ctr"/>
        <c:lblOffset val="100"/>
        <c:noMultiLvlLbl val="0"/>
      </c:catAx>
      <c:valAx>
        <c:axId val="112247168"/>
        <c:scaling>
          <c:orientation val="minMax"/>
        </c:scaling>
        <c:delete val="0"/>
        <c:axPos val="l"/>
        <c:majorGridlines/>
        <c:title>
          <c:tx>
            <c:rich>
              <a:bodyPr/>
              <a:lstStyle/>
              <a:p>
                <a:pPr>
                  <a:defRPr/>
                </a:pPr>
                <a:r>
                  <a:rPr lang="en-US"/>
                  <a:t>metric tonnes</a:t>
                </a:r>
              </a:p>
            </c:rich>
          </c:tx>
          <c:overlay val="0"/>
        </c:title>
        <c:numFmt formatCode="General" sourceLinked="1"/>
        <c:majorTickMark val="none"/>
        <c:minorTickMark val="none"/>
        <c:tickLblPos val="nextTo"/>
        <c:crossAx val="150497920"/>
        <c:crosses val="autoZero"/>
        <c:crossBetween val="between"/>
      </c:valAx>
    </c:plotArea>
    <c:legend>
      <c:legendPos val="r"/>
      <c:overlay val="0"/>
    </c:legend>
    <c:plotVisOnly val="1"/>
    <c:dispBlanksAs val="gap"/>
    <c:showDLblsOverMax val="0"/>
  </c:chart>
  <c:externalData r:id="rId2">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b:Sources xmlns:b="http://schemas.openxmlformats.org/officeDocument/2006/bibliography" xmlns="http://schemas.openxmlformats.org/officeDocument/2006/bibliography" SelectedStyle="\APA.XSL" StyleName="APA Fifth Edition"/>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AD6D2F-3BFC-45B4-93CC-49119ED655B7}">
  <ds:schemaRefs>
    <ds:schemaRef ds:uri="http://schemas.openxmlformats.org/officeDocument/2006/bibliography"/>
  </ds:schemaRefs>
</ds:datastoreItem>
</file>

<file path=customXml/itemProps2.xml><?xml version="1.0" encoding="utf-8"?>
<ds:datastoreItem xmlns:ds="http://schemas.openxmlformats.org/officeDocument/2006/customXml" ds:itemID="{196749C3-AE65-4494-BCEC-D2CB4E750645}">
  <ds:schemaRefs>
    <ds:schemaRef ds:uri="http://schemas.openxmlformats.org/officeDocument/2006/bibliography"/>
  </ds:schemaRefs>
</ds:datastoreItem>
</file>

<file path=customXml/itemProps3.xml><?xml version="1.0" encoding="utf-8"?>
<ds:datastoreItem xmlns:ds="http://schemas.openxmlformats.org/officeDocument/2006/customXml" ds:itemID="{F186BF74-4B13-4EBC-9B82-29E33A7C48AB}">
  <ds:schemaRefs>
    <ds:schemaRef ds:uri="http://schemas.openxmlformats.org/officeDocument/2006/bibliography"/>
  </ds:schemaRefs>
</ds:datastoreItem>
</file>

<file path=customXml/itemProps4.xml><?xml version="1.0" encoding="utf-8"?>
<ds:datastoreItem xmlns:ds="http://schemas.openxmlformats.org/officeDocument/2006/customXml" ds:itemID="{5C7A69A3-964D-44D4-B017-40C422A8F1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8</Pages>
  <Words>2685</Words>
  <Characters>15307</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FAO of the UN</Company>
  <LinksUpToDate>false</LinksUpToDate>
  <CharactersWithSpaces>17957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Schmidhuber, Josef (ESS)</dc:creator>
  <cp:lastModifiedBy>Josh Browning</cp:lastModifiedBy>
  <cp:revision>2</cp:revision>
  <cp:lastPrinted>2011-08-11T08:50:00Z</cp:lastPrinted>
  <dcterms:created xsi:type="dcterms:W3CDTF">2015-10-22T10:52:00Z</dcterms:created>
  <dcterms:modified xsi:type="dcterms:W3CDTF">2015-10-23T07:19:00Z</dcterms:modified>
</cp:coreProperties>
</file>