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17E" w:rsidRPr="00D53610" w:rsidRDefault="00D53610" w:rsidP="005E1E5E">
      <w:pPr>
        <w:rPr>
          <w:b/>
          <w:bCs/>
          <w:lang w:val="en-US"/>
        </w:rPr>
      </w:pPr>
      <w:r w:rsidRPr="00D53610">
        <w:rPr>
          <w:b/>
          <w:bCs/>
          <w:lang w:val="en-US"/>
        </w:rPr>
        <w:t>Box</w:t>
      </w:r>
      <w:r>
        <w:rPr>
          <w:b/>
          <w:bCs/>
          <w:lang w:val="en-US"/>
        </w:rPr>
        <w:t xml:space="preserve"> xx</w:t>
      </w:r>
      <w:r w:rsidRPr="00D53610">
        <w:rPr>
          <w:b/>
          <w:bCs/>
          <w:lang w:val="en-US"/>
        </w:rPr>
        <w:t xml:space="preserve">: </w:t>
      </w:r>
      <w:r w:rsidR="005E1E5E" w:rsidRPr="00D53610">
        <w:rPr>
          <w:b/>
          <w:bCs/>
          <w:lang w:val="en-US"/>
        </w:rPr>
        <w:t xml:space="preserve">Path dependency of imputation routines </w:t>
      </w:r>
    </w:p>
    <w:p w:rsidR="00C205D3" w:rsidRDefault="005E1E5E" w:rsidP="00D53610">
      <w:pPr>
        <w:rPr>
          <w:lang w:val="en-US"/>
        </w:rPr>
      </w:pPr>
      <w:r>
        <w:rPr>
          <w:lang w:val="en-US"/>
        </w:rPr>
        <w:t xml:space="preserve">As outlined above, </w:t>
      </w:r>
      <w:r w:rsidR="00D53610">
        <w:rPr>
          <w:lang w:val="en-US"/>
        </w:rPr>
        <w:t xml:space="preserve">the </w:t>
      </w:r>
      <w:r>
        <w:rPr>
          <w:lang w:val="en-US"/>
        </w:rPr>
        <w:t xml:space="preserve">process </w:t>
      </w:r>
      <w:r w:rsidR="00D53610">
        <w:rPr>
          <w:lang w:val="en-US"/>
        </w:rPr>
        <w:t>from “</w:t>
      </w:r>
      <w:r>
        <w:rPr>
          <w:lang w:val="en-US"/>
        </w:rPr>
        <w:t>raw</w:t>
      </w:r>
      <w:r w:rsidR="00D53610">
        <w:rPr>
          <w:lang w:val="en-US"/>
        </w:rPr>
        <w:t>”</w:t>
      </w:r>
      <w:r>
        <w:rPr>
          <w:lang w:val="en-US"/>
        </w:rPr>
        <w:t xml:space="preserve"> </w:t>
      </w:r>
      <w:r w:rsidR="00D53610">
        <w:rPr>
          <w:lang w:val="en-US"/>
        </w:rPr>
        <w:t xml:space="preserve">trade </w:t>
      </w:r>
      <w:r>
        <w:rPr>
          <w:lang w:val="en-US"/>
        </w:rPr>
        <w:t xml:space="preserve">data to published </w:t>
      </w:r>
      <w:r w:rsidR="00D53610">
        <w:rPr>
          <w:lang w:val="en-US"/>
        </w:rPr>
        <w:t xml:space="preserve">trade </w:t>
      </w:r>
      <w:r>
        <w:rPr>
          <w:lang w:val="en-US"/>
        </w:rPr>
        <w:t>results encompasses several distinct steps. In general, these steps follow a logical and cogent sequence. For instance, cleaning data and weeding out errors is done before other processes such as imputation o</w:t>
      </w:r>
      <w:r w:rsidR="00D53610">
        <w:rPr>
          <w:lang w:val="en-US"/>
        </w:rPr>
        <w:t>r</w:t>
      </w:r>
      <w:r>
        <w:rPr>
          <w:lang w:val="en-US"/>
        </w:rPr>
        <w:t xml:space="preserve"> balancing </w:t>
      </w:r>
      <w:r w:rsidR="00D53610">
        <w:rPr>
          <w:lang w:val="en-US"/>
        </w:rPr>
        <w:t xml:space="preserve">can </w:t>
      </w:r>
      <w:r>
        <w:rPr>
          <w:lang w:val="en-US"/>
        </w:rPr>
        <w:t xml:space="preserve">take place. There </w:t>
      </w:r>
      <w:r w:rsidR="00D53610">
        <w:rPr>
          <w:lang w:val="en-US"/>
        </w:rPr>
        <w:t>is,</w:t>
      </w:r>
      <w:r>
        <w:rPr>
          <w:lang w:val="en-US"/>
        </w:rPr>
        <w:t xml:space="preserve"> however</w:t>
      </w:r>
      <w:r w:rsidR="00D53610">
        <w:rPr>
          <w:lang w:val="en-US"/>
        </w:rPr>
        <w:t>,</w:t>
      </w:r>
      <w:r>
        <w:rPr>
          <w:lang w:val="en-US"/>
        </w:rPr>
        <w:t xml:space="preserve"> also </w:t>
      </w:r>
      <w:r w:rsidR="00D53610">
        <w:rPr>
          <w:lang w:val="en-US"/>
        </w:rPr>
        <w:t xml:space="preserve">rationale for more ambiguity in the sequence of the various </w:t>
      </w:r>
      <w:r w:rsidR="00C205D3">
        <w:rPr>
          <w:lang w:val="en-US"/>
        </w:rPr>
        <w:t xml:space="preserve">steps and not all steps </w:t>
      </w:r>
      <w:r w:rsidR="00D53610">
        <w:rPr>
          <w:lang w:val="en-US"/>
        </w:rPr>
        <w:t xml:space="preserve">follow a cogent and </w:t>
      </w:r>
      <w:r w:rsidR="00C205D3" w:rsidRPr="00C205D3">
        <w:rPr>
          <w:lang w:val="en-US"/>
        </w:rPr>
        <w:t>unequivocal</w:t>
      </w:r>
      <w:r w:rsidR="00C205D3">
        <w:rPr>
          <w:lang w:val="en-US"/>
        </w:rPr>
        <w:t xml:space="preserve"> logic. What is more, there is no a priori </w:t>
      </w:r>
      <w:r w:rsidR="00D53610">
        <w:rPr>
          <w:lang w:val="en-US"/>
        </w:rPr>
        <w:t>(</w:t>
      </w:r>
      <w:r w:rsidR="00C205D3">
        <w:rPr>
          <w:lang w:val="en-US"/>
        </w:rPr>
        <w:t>conceptual</w:t>
      </w:r>
      <w:r w:rsidR="00D53610">
        <w:rPr>
          <w:lang w:val="en-US"/>
        </w:rPr>
        <w:t>)</w:t>
      </w:r>
      <w:r w:rsidR="00C205D3">
        <w:rPr>
          <w:lang w:val="en-US"/>
        </w:rPr>
        <w:t xml:space="preserve"> reason to prefer one step over the other in the sequence of </w:t>
      </w:r>
      <w:r w:rsidR="00D53610">
        <w:rPr>
          <w:lang w:val="en-US"/>
        </w:rPr>
        <w:t xml:space="preserve">the </w:t>
      </w:r>
      <w:r w:rsidR="00C205D3">
        <w:rPr>
          <w:lang w:val="en-US"/>
        </w:rPr>
        <w:t xml:space="preserve">implementation, e.g. to undertake the mirroring step before the unit value imputations or vice versa. </w:t>
      </w:r>
    </w:p>
    <w:p w:rsidR="005E1E5E" w:rsidRDefault="00C205D3" w:rsidP="0011134D">
      <w:pPr>
        <w:rPr>
          <w:lang w:val="en-US"/>
        </w:rPr>
      </w:pPr>
      <w:r>
        <w:rPr>
          <w:lang w:val="en-US"/>
        </w:rPr>
        <w:t>Intuitively</w:t>
      </w:r>
      <w:r w:rsidR="004F2DA9">
        <w:rPr>
          <w:lang w:val="en-US"/>
        </w:rPr>
        <w:t xml:space="preserve">, one may be inclined to first mirror missing data </w:t>
      </w:r>
      <w:r w:rsidR="0011134D">
        <w:rPr>
          <w:lang w:val="en-US"/>
        </w:rPr>
        <w:t xml:space="preserve">so that </w:t>
      </w:r>
      <w:r w:rsidR="004F2DA9">
        <w:rPr>
          <w:lang w:val="en-US"/>
        </w:rPr>
        <w:t xml:space="preserve">the unit value calculations </w:t>
      </w:r>
      <w:r w:rsidR="0011134D">
        <w:rPr>
          <w:lang w:val="en-US"/>
        </w:rPr>
        <w:t xml:space="preserve">are being put </w:t>
      </w:r>
      <w:r w:rsidR="004F2DA9">
        <w:rPr>
          <w:lang w:val="en-US"/>
        </w:rPr>
        <w:t xml:space="preserve">on a broader </w:t>
      </w:r>
      <w:r w:rsidR="0011134D">
        <w:rPr>
          <w:lang w:val="en-US"/>
        </w:rPr>
        <w:t>footing</w:t>
      </w:r>
      <w:r w:rsidR="004F2DA9">
        <w:rPr>
          <w:lang w:val="en-US"/>
        </w:rPr>
        <w:t xml:space="preserve">. As outline in the box </w:t>
      </w:r>
      <w:r w:rsidR="0011134D" w:rsidRPr="0011134D">
        <w:rPr>
          <w:highlight w:val="yellow"/>
          <w:lang w:val="en-US"/>
        </w:rPr>
        <w:t>xx</w:t>
      </w:r>
      <w:r w:rsidR="0011134D">
        <w:rPr>
          <w:lang w:val="en-US"/>
        </w:rPr>
        <w:t xml:space="preserve"> </w:t>
      </w:r>
      <w:r w:rsidR="004F2DA9">
        <w:rPr>
          <w:lang w:val="en-US"/>
        </w:rPr>
        <w:t xml:space="preserve">on the use of unit values, such a </w:t>
      </w:r>
      <w:r w:rsidR="0011134D">
        <w:rPr>
          <w:lang w:val="en-US"/>
        </w:rPr>
        <w:t xml:space="preserve">decision would have </w:t>
      </w:r>
      <w:r w:rsidR="004F2DA9">
        <w:rPr>
          <w:lang w:val="en-US"/>
        </w:rPr>
        <w:t xml:space="preserve">direct implications on the choice of the unit value, </w:t>
      </w:r>
      <w:r w:rsidR="00705E7A">
        <w:rPr>
          <w:lang w:val="en-US"/>
        </w:rPr>
        <w:t xml:space="preserve">whereby more observations will eventually lead to </w:t>
      </w:r>
      <w:r w:rsidR="0011134D">
        <w:rPr>
          <w:lang w:val="en-US"/>
        </w:rPr>
        <w:t xml:space="preserve">a decision as to whether </w:t>
      </w:r>
      <w:r w:rsidR="00705E7A">
        <w:rPr>
          <w:lang w:val="en-US"/>
        </w:rPr>
        <w:t xml:space="preserve">country-specific </w:t>
      </w:r>
      <w:r w:rsidR="0011134D">
        <w:rPr>
          <w:lang w:val="en-US"/>
        </w:rPr>
        <w:t xml:space="preserve">or </w:t>
      </w:r>
      <w:r w:rsidR="00705E7A">
        <w:rPr>
          <w:lang w:val="en-US"/>
        </w:rPr>
        <w:t>global unit value</w:t>
      </w:r>
      <w:r w:rsidR="0011134D">
        <w:rPr>
          <w:lang w:val="en-US"/>
        </w:rPr>
        <w:t>s are employed in the</w:t>
      </w:r>
      <w:r w:rsidR="00705E7A">
        <w:rPr>
          <w:lang w:val="en-US"/>
        </w:rPr>
        <w:t xml:space="preserve"> </w:t>
      </w:r>
      <w:r w:rsidR="0011134D">
        <w:rPr>
          <w:lang w:val="en-US"/>
        </w:rPr>
        <w:t>imputation process</w:t>
      </w:r>
      <w:r w:rsidR="00705E7A">
        <w:rPr>
          <w:lang w:val="en-US"/>
        </w:rPr>
        <w:t xml:space="preserve">. </w:t>
      </w:r>
      <w:r w:rsidR="0011134D">
        <w:rPr>
          <w:lang w:val="en-US"/>
        </w:rPr>
        <w:t>T</w:t>
      </w:r>
      <w:r w:rsidR="00705E7A">
        <w:rPr>
          <w:lang w:val="en-US"/>
        </w:rPr>
        <w:t xml:space="preserve">he intuition is likely to be confirmed </w:t>
      </w:r>
      <w:r w:rsidR="006E3DE9">
        <w:rPr>
          <w:lang w:val="en-US"/>
        </w:rPr>
        <w:t xml:space="preserve">when the </w:t>
      </w:r>
      <w:r w:rsidR="00705E7A">
        <w:rPr>
          <w:lang w:val="en-US"/>
        </w:rPr>
        <w:t xml:space="preserve">mirrored data for a country are </w:t>
      </w:r>
      <w:r w:rsidR="006E3DE9">
        <w:rPr>
          <w:lang w:val="en-US"/>
        </w:rPr>
        <w:t xml:space="preserve">at </w:t>
      </w:r>
      <w:r w:rsidR="00705E7A">
        <w:rPr>
          <w:lang w:val="en-US"/>
        </w:rPr>
        <w:t xml:space="preserve">about the same level as the average unit value of a given reporter/partner. </w:t>
      </w:r>
      <w:r w:rsidR="006E3DE9">
        <w:rPr>
          <w:lang w:val="en-US"/>
        </w:rPr>
        <w:t xml:space="preserve"> If</w:t>
      </w:r>
      <w:r w:rsidR="0011134D">
        <w:rPr>
          <w:lang w:val="en-US"/>
        </w:rPr>
        <w:t>,</w:t>
      </w:r>
      <w:r w:rsidR="006E3DE9">
        <w:rPr>
          <w:lang w:val="en-US"/>
        </w:rPr>
        <w:t xml:space="preserve"> however</w:t>
      </w:r>
      <w:r w:rsidR="0011134D">
        <w:rPr>
          <w:lang w:val="en-US"/>
        </w:rPr>
        <w:t>,</w:t>
      </w:r>
      <w:r w:rsidR="006E3DE9">
        <w:rPr>
          <w:lang w:val="en-US"/>
        </w:rPr>
        <w:t xml:space="preserve"> a mirrored flow is far out of the normal range, this </w:t>
      </w:r>
      <w:r w:rsidR="0011134D">
        <w:rPr>
          <w:lang w:val="en-US"/>
        </w:rPr>
        <w:t xml:space="preserve">will also affect and indeed </w:t>
      </w:r>
      <w:r w:rsidR="006E3DE9">
        <w:rPr>
          <w:lang w:val="en-US"/>
        </w:rPr>
        <w:t xml:space="preserve">distort the unit value </w:t>
      </w:r>
      <w:r w:rsidR="0011134D">
        <w:rPr>
          <w:lang w:val="en-US"/>
        </w:rPr>
        <w:t xml:space="preserve">used in the next step of the process </w:t>
      </w:r>
      <w:r w:rsidR="006E3DE9">
        <w:rPr>
          <w:lang w:val="en-US"/>
        </w:rPr>
        <w:t>and, as these unit values would be applied to all flows</w:t>
      </w:r>
      <w:r w:rsidR="0011134D">
        <w:rPr>
          <w:lang w:val="en-US"/>
        </w:rPr>
        <w:t xml:space="preserve"> with missing information</w:t>
      </w:r>
      <w:r w:rsidR="006E3DE9">
        <w:rPr>
          <w:lang w:val="en-US"/>
        </w:rPr>
        <w:t>, many imputed data would be affected.</w:t>
      </w:r>
    </w:p>
    <w:p w:rsidR="00D53610" w:rsidRDefault="006E3DE9" w:rsidP="006E3DE9">
      <w:pPr>
        <w:rPr>
          <w:lang w:val="en-US"/>
        </w:rPr>
      </w:pPr>
      <w:r>
        <w:rPr>
          <w:lang w:val="en-US"/>
        </w:rPr>
        <w:t>Without prior knowledge of the correct sequence of steps, the final results become path-dependent on the sequence of imputation steps. To gauge the magnitude of the potential effect, a number of empirical tests have been conducted.</w:t>
      </w:r>
      <w:r w:rsidR="00D53610">
        <w:rPr>
          <w:lang w:val="en-US"/>
        </w:rPr>
        <w:t xml:space="preserve"> The results are compiled in table xx. </w:t>
      </w:r>
    </w:p>
    <w:p w:rsidR="00D53610" w:rsidRDefault="00D53610" w:rsidP="006E3DE9">
      <w:pPr>
        <w:rPr>
          <w:lang w:val="en-US"/>
        </w:rPr>
      </w:pPr>
      <w:r>
        <w:rPr>
          <w:lang w:val="en-US"/>
        </w:rPr>
        <w:t>Table xx:</w:t>
      </w:r>
    </w:p>
    <w:p w:rsidR="00D53610" w:rsidRDefault="00D53610" w:rsidP="006E3DE9">
      <w:pPr>
        <w:rPr>
          <w:lang w:val="en-US"/>
        </w:rPr>
      </w:pPr>
    </w:p>
    <w:p w:rsidR="006E3DE9" w:rsidRDefault="00D53610" w:rsidP="0011134D">
      <w:pPr>
        <w:rPr>
          <w:lang w:val="en-US"/>
        </w:rPr>
      </w:pPr>
      <w:r>
        <w:rPr>
          <w:lang w:val="en-US"/>
        </w:rPr>
        <w:t>The results suggest that, at least in general, the differences that arise from different imputation sequences are negligibly small. There are</w:t>
      </w:r>
      <w:r w:rsidR="0011134D">
        <w:rPr>
          <w:lang w:val="en-US"/>
        </w:rPr>
        <w:t>,</w:t>
      </w:r>
      <w:r>
        <w:rPr>
          <w:lang w:val="en-US"/>
        </w:rPr>
        <w:t xml:space="preserve"> however</w:t>
      </w:r>
      <w:r w:rsidR="0011134D">
        <w:rPr>
          <w:lang w:val="en-US"/>
        </w:rPr>
        <w:t>,</w:t>
      </w:r>
      <w:r>
        <w:rPr>
          <w:lang w:val="en-US"/>
        </w:rPr>
        <w:t xml:space="preserve"> a few commodity specific exceptions. Particularly where flows are characterized by large </w:t>
      </w:r>
      <w:r w:rsidR="0011134D">
        <w:rPr>
          <w:lang w:val="en-US"/>
        </w:rPr>
        <w:t xml:space="preserve">product quality </w:t>
      </w:r>
      <w:bookmarkStart w:id="0" w:name="_GoBack"/>
      <w:bookmarkEnd w:id="0"/>
      <w:r>
        <w:rPr>
          <w:lang w:val="en-US"/>
        </w:rPr>
        <w:t xml:space="preserve">differences across reporting countries, poor product differentiation in reporting, etc., path dependency can influence the results in a significant way. Overall, however, such commodity-specific differences were not deemed important to deviate from the proposed sequence of data processing steps outlined in table </w:t>
      </w:r>
      <w:proofErr w:type="spellStart"/>
      <w:r w:rsidRPr="00D53610">
        <w:rPr>
          <w:highlight w:val="yellow"/>
          <w:lang w:val="en-US"/>
        </w:rPr>
        <w:t>xy</w:t>
      </w:r>
      <w:proofErr w:type="spellEnd"/>
      <w:r>
        <w:rPr>
          <w:lang w:val="en-US"/>
        </w:rPr>
        <w:t xml:space="preserve"> above. </w:t>
      </w:r>
    </w:p>
    <w:p w:rsidR="00D53610" w:rsidRDefault="00D53610" w:rsidP="006E3DE9">
      <w:pPr>
        <w:rPr>
          <w:lang w:val="en-US"/>
        </w:rPr>
      </w:pPr>
    </w:p>
    <w:p w:rsidR="00705E7A" w:rsidRPr="005E1E5E" w:rsidRDefault="00705E7A" w:rsidP="00705E7A">
      <w:pPr>
        <w:rPr>
          <w:lang w:val="en-US"/>
        </w:rPr>
      </w:pPr>
    </w:p>
    <w:sectPr w:rsidR="00705E7A" w:rsidRPr="005E1E5E" w:rsidSect="009C087B"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E5E"/>
    <w:rsid w:val="0011134D"/>
    <w:rsid w:val="0022317E"/>
    <w:rsid w:val="004F2DA9"/>
    <w:rsid w:val="005E0F11"/>
    <w:rsid w:val="005E1E5E"/>
    <w:rsid w:val="006E3DE9"/>
    <w:rsid w:val="00705E7A"/>
    <w:rsid w:val="0098492B"/>
    <w:rsid w:val="009A4ECB"/>
    <w:rsid w:val="009C087B"/>
    <w:rsid w:val="00C205D3"/>
    <w:rsid w:val="00D5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87B"/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F11"/>
    <w:rPr>
      <w:rFonts w:ascii="Times New Roman" w:hAnsi="Times New Roman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C0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87B"/>
    <w:rPr>
      <w:rFonts w:ascii="Times New Roman" w:hAnsi="Times New Roman"/>
      <w:sz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87B"/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F11"/>
    <w:rPr>
      <w:rFonts w:ascii="Times New Roman" w:hAnsi="Times New Roman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C0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87B"/>
    <w:rPr>
      <w:rFonts w:ascii="Times New Roman" w:hAnsi="Times New Roman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FAO of the UN</Company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 Schmidhuber (ESS)</dc:creator>
  <cp:lastModifiedBy>Josef Schmidhuber (ESS)</cp:lastModifiedBy>
  <cp:revision>6</cp:revision>
  <dcterms:created xsi:type="dcterms:W3CDTF">2015-05-14T15:16:00Z</dcterms:created>
  <dcterms:modified xsi:type="dcterms:W3CDTF">2015-05-14T16:30:00Z</dcterms:modified>
</cp:coreProperties>
</file>