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F50FCE" w14:textId="77777777" w:rsidR="004F65E4" w:rsidRPr="00B32AE6" w:rsidRDefault="004F65E4" w:rsidP="00B32AE6">
      <w:pPr>
        <w:pStyle w:val="Heading2"/>
      </w:pPr>
      <w:bookmarkStart w:id="0" w:name="_Toc421025858"/>
      <w:bookmarkStart w:id="1" w:name="_Toc428383836"/>
      <w:bookmarkStart w:id="2" w:name="_Toc428436058"/>
      <w:bookmarkStart w:id="3" w:name="_Toc428436359"/>
      <w:bookmarkStart w:id="4" w:name="_Toc428436485"/>
      <w:r w:rsidRPr="00B32AE6">
        <w:t>Trade</w:t>
      </w:r>
      <w:bookmarkEnd w:id="0"/>
      <w:bookmarkEnd w:id="1"/>
      <w:bookmarkEnd w:id="2"/>
      <w:bookmarkEnd w:id="3"/>
      <w:bookmarkEnd w:id="4"/>
    </w:p>
    <w:p w14:paraId="216C1BA4" w14:textId="0FD08BF8" w:rsidR="004F65E4" w:rsidRPr="00F31509" w:rsidRDefault="004F65E4" w:rsidP="00312896">
      <w:pPr>
        <w:pStyle w:val="Heading3"/>
        <w:rPr>
          <w:rFonts w:asciiTheme="majorBidi" w:hAnsiTheme="majorBidi" w:cstheme="majorBidi"/>
          <w:lang w:val="en-GB"/>
        </w:rPr>
      </w:pPr>
      <w:r w:rsidRPr="00F31509">
        <w:rPr>
          <w:rFonts w:asciiTheme="majorBidi" w:hAnsiTheme="majorBidi" w:cstheme="majorBidi"/>
          <w:lang w:val="en-GB"/>
        </w:rPr>
        <w:t>Country level data</w:t>
      </w:r>
    </w:p>
    <w:p w14:paraId="4B6D3932" w14:textId="77777777" w:rsidR="004F65E4" w:rsidRPr="00F31509" w:rsidRDefault="004F65E4" w:rsidP="60226960">
      <w:pPr>
        <w:spacing w:before="100" w:beforeAutospacing="1" w:after="120"/>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 xml:space="preserve">National FBS compilers may want to start collecting trade data for their countries from their own sources, which, in most cases, will be the national customs offices. In most countries, trade information will be available in Harmonized System (HS) </w:t>
      </w:r>
      <w:r w:rsidR="00300017" w:rsidRPr="00F31509">
        <w:rPr>
          <w:rFonts w:asciiTheme="majorBidi" w:eastAsia="Times New Roman" w:hAnsiTheme="majorBidi" w:cstheme="majorBidi"/>
          <w:color w:val="000000" w:themeColor="text1"/>
          <w:lang w:val="en-GB"/>
        </w:rPr>
        <w:t xml:space="preserve">format </w:t>
      </w:r>
      <w:r w:rsidRPr="00F31509">
        <w:rPr>
          <w:rFonts w:asciiTheme="majorBidi" w:eastAsia="Times New Roman" w:hAnsiTheme="majorBidi" w:cstheme="majorBidi"/>
          <w:color w:val="000000" w:themeColor="text1"/>
          <w:lang w:val="en-GB"/>
        </w:rPr>
        <w:t xml:space="preserve">and at the level of disaggregation needed to compile the Supply Utilization Accounts (SUAs), i.e. the precursor to the Food Balance Sheets. Taking information from the national customs offices will also ensure that trade data are available on a timely basis and probably even at a higher periodicity, e.g. monthly data rather than trade data from international sources, such as UNSD or FAO. But there are also distinct advantages of using data from international sources, notably from FAO. The main advantage is that FAO subjects trade data to extensive plausibility checks and validation routines, and importantly, provides a more complete </w:t>
      </w:r>
      <w:r w:rsidR="00B80EB9" w:rsidRPr="00F31509">
        <w:rPr>
          <w:rFonts w:asciiTheme="majorBidi" w:eastAsia="Times New Roman" w:hAnsiTheme="majorBidi" w:cstheme="majorBidi"/>
          <w:color w:val="000000" w:themeColor="text1"/>
          <w:lang w:val="en-GB"/>
        </w:rPr>
        <w:t>country-level and global</w:t>
      </w:r>
      <w:r w:rsidRPr="00F31509">
        <w:rPr>
          <w:rFonts w:asciiTheme="majorBidi" w:eastAsia="Times New Roman" w:hAnsiTheme="majorBidi" w:cstheme="majorBidi"/>
          <w:color w:val="000000" w:themeColor="text1"/>
          <w:lang w:val="en-GB"/>
        </w:rPr>
        <w:t xml:space="preserve"> trade data set, using information inherent in the trade data (e.g. by calculating trade values from reported trade quantities applying unit values, or vice versa) of the country or its trading partners (“mirroring” flows). How FAO trade data are being compiled, validated and what variants of trade files are being made available is described in detail later in this </w:t>
      </w:r>
      <w:r w:rsidR="001476EE" w:rsidRPr="00F31509">
        <w:rPr>
          <w:rFonts w:asciiTheme="majorBidi" w:eastAsia="Times New Roman" w:hAnsiTheme="majorBidi" w:cstheme="majorBidi"/>
          <w:color w:val="000000" w:themeColor="text1"/>
          <w:lang w:val="en-GB"/>
        </w:rPr>
        <w:t>chapter</w:t>
      </w:r>
      <w:r w:rsidRPr="00F31509">
        <w:rPr>
          <w:rFonts w:asciiTheme="majorBidi" w:eastAsia="Times New Roman" w:hAnsiTheme="majorBidi" w:cstheme="majorBidi"/>
          <w:color w:val="000000" w:themeColor="text1"/>
          <w:lang w:val="en-GB"/>
        </w:rPr>
        <w:t xml:space="preserve">. </w:t>
      </w:r>
    </w:p>
    <w:p w14:paraId="38380C1B" w14:textId="77777777" w:rsidR="004F65E4" w:rsidRPr="00F31509" w:rsidRDefault="004F65E4" w:rsidP="00312896">
      <w:pPr>
        <w:pStyle w:val="Heading3"/>
        <w:rPr>
          <w:rFonts w:asciiTheme="majorBidi" w:hAnsiTheme="majorBidi" w:cstheme="majorBidi"/>
          <w:lang w:val="en-GB"/>
        </w:rPr>
      </w:pPr>
      <w:r w:rsidRPr="00F31509">
        <w:rPr>
          <w:rFonts w:asciiTheme="majorBidi" w:hAnsiTheme="majorBidi" w:cstheme="majorBidi"/>
          <w:lang w:val="en-GB"/>
        </w:rPr>
        <w:t>International trade sources</w:t>
      </w:r>
    </w:p>
    <w:p w14:paraId="59353296" w14:textId="77777777" w:rsidR="004F65E4" w:rsidRPr="00B32AE6" w:rsidRDefault="004F65E4" w:rsidP="004F65E4">
      <w:pPr>
        <w:spacing w:before="100" w:beforeAutospacing="1" w:after="120"/>
        <w:jc w:val="both"/>
        <w:rPr>
          <w:rFonts w:asciiTheme="majorBidi" w:hAnsiTheme="majorBidi"/>
          <w:color w:val="000000" w:themeColor="text1"/>
          <w:lang w:val="en-GB"/>
        </w:rPr>
      </w:pPr>
      <w:r w:rsidRPr="00F31509">
        <w:rPr>
          <w:rFonts w:asciiTheme="majorBidi" w:hAnsiTheme="majorBidi" w:cstheme="majorBidi"/>
          <w:color w:val="000000" w:themeColor="text1"/>
          <w:szCs w:val="24"/>
          <w:lang w:val="en-GB"/>
        </w:rPr>
        <w:t xml:space="preserve">All trade data used </w:t>
      </w:r>
      <w:r w:rsidR="00E0298F" w:rsidRPr="009616CB">
        <w:rPr>
          <w:rFonts w:ascii="Times New Roman" w:hAnsi="Times New Roman" w:cs="Times New Roman"/>
          <w:color w:val="000000" w:themeColor="text1"/>
          <w:szCs w:val="24"/>
          <w:lang w:val="en-GB"/>
        </w:rPr>
        <w:t xml:space="preserve">and compiled by </w:t>
      </w:r>
      <w:r w:rsidR="00F17666">
        <w:rPr>
          <w:rFonts w:ascii="Times New Roman" w:hAnsi="Times New Roman" w:cs="Times New Roman"/>
          <w:color w:val="000000" w:themeColor="text1"/>
          <w:szCs w:val="24"/>
          <w:lang w:val="en-GB"/>
        </w:rPr>
        <w:t>the Statistics Division f</w:t>
      </w:r>
      <w:r w:rsidR="00E0298F" w:rsidRPr="009616CB">
        <w:rPr>
          <w:rFonts w:ascii="Times New Roman" w:hAnsi="Times New Roman" w:cs="Times New Roman"/>
          <w:color w:val="000000" w:themeColor="text1"/>
          <w:szCs w:val="24"/>
          <w:lang w:val="en-GB"/>
        </w:rPr>
        <w:t xml:space="preserve">or all purposes </w:t>
      </w:r>
      <w:r w:rsidRPr="00F31509">
        <w:rPr>
          <w:rFonts w:asciiTheme="majorBidi" w:hAnsiTheme="majorBidi" w:cstheme="majorBidi"/>
          <w:color w:val="000000" w:themeColor="text1"/>
          <w:szCs w:val="24"/>
          <w:lang w:val="en-GB"/>
        </w:rPr>
        <w:t xml:space="preserve">(FBS and others) come from the United Nations Commodity Trade Statistics Database (UN </w:t>
      </w:r>
      <w:proofErr w:type="spellStart"/>
      <w:r w:rsidRPr="00F31509">
        <w:rPr>
          <w:rFonts w:asciiTheme="majorBidi" w:hAnsiTheme="majorBidi" w:cstheme="majorBidi"/>
          <w:color w:val="000000" w:themeColor="text1"/>
          <w:szCs w:val="24"/>
          <w:lang w:val="en-GB"/>
        </w:rPr>
        <w:t>Comtrade</w:t>
      </w:r>
      <w:proofErr w:type="spellEnd"/>
      <w:r w:rsidRPr="00F31509">
        <w:rPr>
          <w:rFonts w:asciiTheme="majorBidi" w:hAnsiTheme="majorBidi" w:cstheme="majorBidi"/>
          <w:color w:val="000000" w:themeColor="text1"/>
          <w:szCs w:val="24"/>
          <w:lang w:val="en-GB"/>
        </w:rPr>
        <w:t>).</w:t>
      </w:r>
      <w:r w:rsidRPr="00B32AE6">
        <w:rPr>
          <w:rFonts w:asciiTheme="majorBidi" w:hAnsiTheme="majorBidi"/>
          <w:color w:val="000000" w:themeColor="text1"/>
          <w:lang w:val="en-GB"/>
        </w:rPr>
        <w:t xml:space="preserve"> 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provides access to standardized data from its website at </w:t>
      </w:r>
      <w:hyperlink r:id="rId12" w:history="1">
        <w:r w:rsidRPr="00B32AE6">
          <w:rPr>
            <w:rStyle w:val="Hyperlink"/>
            <w:rFonts w:asciiTheme="majorBidi" w:hAnsiTheme="majorBidi"/>
            <w:color w:val="000000" w:themeColor="text1"/>
            <w:lang w:val="en-GB"/>
          </w:rPr>
          <w:t>http://comtrade.un.org/</w:t>
        </w:r>
      </w:hyperlink>
      <w:r w:rsidRPr="00B32AE6">
        <w:rPr>
          <w:rFonts w:asciiTheme="majorBidi" w:hAnsiTheme="majorBidi"/>
          <w:color w:val="000000" w:themeColor="text1"/>
          <w:lang w:val="en-GB"/>
        </w:rPr>
        <w:t>. It also offers a detailed description of the methodology used in compiling trade data (</w:t>
      </w:r>
      <w:hyperlink r:id="rId13" w:history="1">
        <w:r w:rsidRPr="00B32AE6">
          <w:rPr>
            <w:rStyle w:val="Hyperlink"/>
            <w:rFonts w:asciiTheme="majorBidi" w:hAnsiTheme="majorBidi"/>
            <w:color w:val="000000" w:themeColor="text1"/>
            <w:lang w:val="en-GB"/>
          </w:rPr>
          <w:t>http://unstats.un.org/unsd/trade/methodology%20imts.htm</w:t>
        </w:r>
      </w:hyperlink>
      <w:r w:rsidRPr="00B32AE6">
        <w:rPr>
          <w:rFonts w:asciiTheme="majorBidi" w:hAnsiTheme="majorBidi"/>
          <w:color w:val="000000" w:themeColor="text1"/>
          <w:lang w:val="en-GB"/>
        </w:rPr>
        <w:t xml:space="preserve"> and in </w:t>
      </w:r>
      <w:hyperlink r:id="rId14" w:history="1">
        <w:r w:rsidRPr="00B32AE6">
          <w:rPr>
            <w:rStyle w:val="Hyperlink"/>
            <w:rFonts w:asciiTheme="majorBidi" w:hAnsiTheme="majorBidi"/>
            <w:color w:val="000000" w:themeColor="text1"/>
            <w:lang w:val="en-GB"/>
          </w:rPr>
          <w:t>http://unstats.un.org/unsd/trade/imts/imts_default.htm</w:t>
        </w:r>
      </w:hyperlink>
      <w:r w:rsidRPr="00B32AE6">
        <w:rPr>
          <w:rFonts w:asciiTheme="majorBidi" w:hAnsiTheme="majorBidi"/>
          <w:color w:val="000000" w:themeColor="text1"/>
          <w:lang w:val="en-GB"/>
        </w:rPr>
        <w:t xml:space="preserve">). Most importantly, it provides guidelines for the compilation of International Merchandise Trade Statistics (IMTS). In view of the fact that all methodological aspects are readily available from 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no effort has been made here to repeat or summarize any of the underlying methodological aspects relating to the compilation of trade information by 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All aspects presented hereafter refer to the work that is undertaken by the FAO Statistics Division, i.e. once all necessary data have been downloaded from 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database. </w:t>
      </w:r>
    </w:p>
    <w:p w14:paraId="68E288F8" w14:textId="354B3A91" w:rsidR="004F65E4" w:rsidRPr="00B32AE6" w:rsidRDefault="004F65E4" w:rsidP="000154A1">
      <w:pPr>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data are available at different levels of </w:t>
      </w:r>
      <w:r w:rsidR="00CF730D" w:rsidRPr="00B32AE6">
        <w:rPr>
          <w:rFonts w:asciiTheme="majorBidi" w:hAnsiTheme="majorBidi"/>
          <w:color w:val="000000" w:themeColor="text1"/>
          <w:lang w:val="en-GB"/>
        </w:rPr>
        <w:t>disaggregation</w:t>
      </w:r>
      <w:r w:rsidR="00CF730D" w:rsidRPr="00F31509">
        <w:rPr>
          <w:rFonts w:asciiTheme="majorBidi" w:hAnsiTheme="majorBidi" w:cstheme="majorBidi"/>
          <w:color w:val="000000" w:themeColor="text1"/>
          <w:szCs w:val="24"/>
          <w:lang w:val="en-GB"/>
        </w:rPr>
        <w:t xml:space="preserve"> which</w:t>
      </w:r>
      <w:r w:rsidR="00B80EB9" w:rsidRPr="00B32AE6">
        <w:rPr>
          <w:rFonts w:asciiTheme="majorBidi" w:hAnsiTheme="majorBidi"/>
          <w:color w:val="000000" w:themeColor="text1"/>
          <w:lang w:val="en-GB"/>
        </w:rPr>
        <w:t xml:space="preserve"> </w:t>
      </w:r>
      <w:r w:rsidRPr="00B32AE6">
        <w:rPr>
          <w:rFonts w:asciiTheme="majorBidi" w:hAnsiTheme="majorBidi"/>
          <w:color w:val="000000" w:themeColor="text1"/>
          <w:lang w:val="en-GB"/>
        </w:rPr>
        <w:t>refer to the internationally recognized standard Harmonized System (HS) classification. The HS classification is maintained by the World Customs Organization (WCO) and updated in intervals of 5 years</w:t>
      </w:r>
      <w:r w:rsidRPr="00B32AE6">
        <w:rPr>
          <w:rStyle w:val="FootnoteReference"/>
          <w:rFonts w:asciiTheme="majorBidi" w:hAnsiTheme="majorBidi"/>
          <w:color w:val="000000" w:themeColor="text1"/>
          <w:lang w:val="en-GB"/>
        </w:rPr>
        <w:footnoteReference w:id="2"/>
      </w:r>
      <w:r w:rsidRPr="00B32AE6">
        <w:rPr>
          <w:rFonts w:asciiTheme="majorBidi" w:hAnsiTheme="majorBidi"/>
          <w:color w:val="000000" w:themeColor="text1"/>
          <w:lang w:val="en-GB"/>
        </w:rPr>
        <w:t xml:space="preserve">. The latest version is HS 2012, preparatory work for the next version (HS 2017) is already underway. FAO has made numerous contributions to the improvement and extension of the HS system in the past to include essential data and reflect changing patterns in agricultural and food commodities, and is actively involved in the development of the HS2017. </w:t>
      </w:r>
    </w:p>
    <w:p w14:paraId="55AD822F" w14:textId="60B5CEB1" w:rsidR="004F65E4" w:rsidRPr="00B32AE6" w:rsidRDefault="004F65E4" w:rsidP="000154A1">
      <w:pPr>
        <w:spacing w:before="100" w:beforeAutospacing="1" w:after="120"/>
        <w:jc w:val="both"/>
        <w:rPr>
          <w:rFonts w:asciiTheme="majorBidi" w:hAnsiTheme="majorBidi"/>
          <w:lang w:val="en-GB"/>
        </w:rPr>
      </w:pPr>
      <w:r w:rsidRPr="00B32AE6">
        <w:rPr>
          <w:rFonts w:asciiTheme="majorBidi" w:hAnsiTheme="majorBidi"/>
          <w:color w:val="000000" w:themeColor="text1"/>
          <w:lang w:val="en-GB"/>
        </w:rPr>
        <w:t xml:space="preserve">The HS system is a hierarchically structured classification of products and distinguishes different levels of disaggregation. The first 6 digits of the HS </w:t>
      </w:r>
      <w:r w:rsidRPr="00B32AE6">
        <w:rPr>
          <w:rFonts w:asciiTheme="majorBidi" w:hAnsiTheme="majorBidi"/>
          <w:lang w:val="en-GB"/>
        </w:rPr>
        <w:t xml:space="preserve">system are common to all </w:t>
      </w:r>
      <w:r w:rsidR="00FF08C8" w:rsidRPr="00B32AE6">
        <w:rPr>
          <w:rFonts w:asciiTheme="majorBidi" w:hAnsiTheme="majorBidi"/>
          <w:lang w:val="en-GB"/>
        </w:rPr>
        <w:t>countries</w:t>
      </w:r>
      <w:r w:rsidR="00FF08C8" w:rsidRPr="001F1472">
        <w:rPr>
          <w:rFonts w:asciiTheme="majorBidi" w:eastAsia="Times New Roman" w:hAnsiTheme="majorBidi" w:cstheme="majorBidi"/>
          <w:lang w:val="en-GB"/>
        </w:rPr>
        <w:t>;</w:t>
      </w:r>
      <w:r w:rsidRPr="001F1472">
        <w:rPr>
          <w:rFonts w:asciiTheme="majorBidi" w:eastAsia="Times New Roman" w:hAnsiTheme="majorBidi" w:cstheme="majorBidi"/>
          <w:lang w:val="en-GB"/>
        </w:rPr>
        <w:t xml:space="preserve"> </w:t>
      </w:r>
      <w:r w:rsidR="00E0298F" w:rsidRPr="001F1472">
        <w:rPr>
          <w:rFonts w:asciiTheme="majorBidi" w:eastAsia="Times New Roman" w:hAnsiTheme="majorBidi" w:cstheme="majorBidi"/>
          <w:lang w:val="en-GB"/>
        </w:rPr>
        <w:t>lower</w:t>
      </w:r>
      <w:r w:rsidRPr="00B32AE6">
        <w:rPr>
          <w:rFonts w:asciiTheme="majorBidi" w:hAnsiTheme="majorBidi"/>
          <w:lang w:val="en-GB"/>
        </w:rPr>
        <w:t xml:space="preserve"> levels (that can go up to 12 digi</w:t>
      </w:r>
      <w:r w:rsidR="00E0298F" w:rsidRPr="00B32AE6">
        <w:rPr>
          <w:rFonts w:asciiTheme="majorBidi" w:hAnsiTheme="majorBidi"/>
          <w:lang w:val="en-GB"/>
        </w:rPr>
        <w:t xml:space="preserve">ts) </w:t>
      </w:r>
      <w:r w:rsidR="00E0298F" w:rsidRPr="001F1472">
        <w:rPr>
          <w:rFonts w:ascii="Times New Roman" w:hAnsi="Times New Roman" w:cs="Times New Roman"/>
          <w:szCs w:val="24"/>
          <w:lang w:val="en-GB"/>
        </w:rPr>
        <w:t>can be developed in</w:t>
      </w:r>
      <w:r w:rsidR="00E0298F" w:rsidRPr="00B32AE6">
        <w:rPr>
          <w:rFonts w:ascii="Times New Roman" w:hAnsi="Times New Roman"/>
          <w:lang w:val="en-GB"/>
        </w:rPr>
        <w:t xml:space="preserve"> national </w:t>
      </w:r>
      <w:r w:rsidR="00E0298F" w:rsidRPr="001F1472">
        <w:rPr>
          <w:rFonts w:ascii="Times New Roman" w:hAnsi="Times New Roman" w:cs="Times New Roman"/>
          <w:szCs w:val="24"/>
          <w:lang w:val="en-GB"/>
        </w:rPr>
        <w:t>versions.</w:t>
      </w:r>
      <w:r w:rsidRPr="00B32AE6">
        <w:rPr>
          <w:rFonts w:asciiTheme="majorBidi" w:hAnsiTheme="majorBidi"/>
          <w:lang w:val="en-GB"/>
        </w:rPr>
        <w:t xml:space="preserve">  To </w:t>
      </w:r>
      <w:r w:rsidR="00C35402" w:rsidRPr="001F1472">
        <w:rPr>
          <w:rFonts w:asciiTheme="majorBidi" w:eastAsia="Times New Roman" w:hAnsiTheme="majorBidi" w:cstheme="majorBidi"/>
          <w:lang w:val="en-GB"/>
        </w:rPr>
        <w:t xml:space="preserve">capture as much detail as </w:t>
      </w:r>
      <w:r w:rsidR="00C35402" w:rsidRPr="001F1472">
        <w:rPr>
          <w:rFonts w:asciiTheme="majorBidi" w:eastAsia="Times New Roman" w:hAnsiTheme="majorBidi" w:cstheme="majorBidi"/>
          <w:lang w:val="en-GB"/>
        </w:rPr>
        <w:lastRenderedPageBreak/>
        <w:t>possible</w:t>
      </w:r>
      <w:r w:rsidRPr="00B32AE6">
        <w:rPr>
          <w:rFonts w:asciiTheme="majorBidi" w:hAnsiTheme="majorBidi"/>
          <w:lang w:val="en-GB"/>
        </w:rPr>
        <w:t xml:space="preserve">, it was decided to harvest trade data at the </w:t>
      </w:r>
      <w:r w:rsidR="00E0298F" w:rsidRPr="001F1472">
        <w:rPr>
          <w:rFonts w:asciiTheme="majorBidi" w:eastAsia="Times New Roman" w:hAnsiTheme="majorBidi" w:cstheme="majorBidi"/>
          <w:lang w:val="en-GB"/>
        </w:rPr>
        <w:t>lowest</w:t>
      </w:r>
      <w:r w:rsidR="00E0298F" w:rsidRPr="00B32AE6">
        <w:rPr>
          <w:rFonts w:asciiTheme="majorBidi" w:hAnsiTheme="majorBidi"/>
          <w:lang w:val="en-GB"/>
        </w:rPr>
        <w:t xml:space="preserve"> </w:t>
      </w:r>
      <w:r w:rsidR="000154A1" w:rsidRPr="00B32AE6">
        <w:rPr>
          <w:rFonts w:asciiTheme="majorBidi" w:hAnsiTheme="majorBidi"/>
          <w:lang w:val="en-GB"/>
        </w:rPr>
        <w:t>level</w:t>
      </w:r>
      <w:r w:rsidR="000154A1" w:rsidRPr="001F1472">
        <w:rPr>
          <w:rFonts w:asciiTheme="majorBidi" w:eastAsia="Times New Roman" w:hAnsiTheme="majorBidi" w:cstheme="majorBidi"/>
          <w:lang w:val="en-GB"/>
        </w:rPr>
        <w:t xml:space="preserve"> of disaggregation. </w:t>
      </w:r>
      <w:r w:rsidR="00C35402" w:rsidRPr="001F1472">
        <w:rPr>
          <w:rFonts w:asciiTheme="majorBidi" w:eastAsia="Times New Roman" w:hAnsiTheme="majorBidi" w:cstheme="majorBidi"/>
          <w:lang w:val="en-GB"/>
        </w:rPr>
        <w:t>This data is then mapped</w:t>
      </w:r>
      <w:r w:rsidR="00C35402" w:rsidRPr="00B32AE6">
        <w:rPr>
          <w:rFonts w:asciiTheme="majorBidi" w:hAnsiTheme="majorBidi"/>
          <w:lang w:val="en-GB"/>
        </w:rPr>
        <w:t xml:space="preserve"> to the </w:t>
      </w:r>
      <w:r w:rsidR="00C35402" w:rsidRPr="001F1472">
        <w:rPr>
          <w:rFonts w:asciiTheme="majorBidi" w:eastAsia="Times New Roman" w:hAnsiTheme="majorBidi" w:cstheme="majorBidi"/>
          <w:lang w:val="en-GB"/>
        </w:rPr>
        <w:t xml:space="preserve">same </w:t>
      </w:r>
      <w:r w:rsidR="00C35402" w:rsidRPr="00B32AE6">
        <w:rPr>
          <w:rFonts w:asciiTheme="majorBidi" w:hAnsiTheme="majorBidi"/>
          <w:lang w:val="en-GB"/>
        </w:rPr>
        <w:t>classification system</w:t>
      </w:r>
      <w:r w:rsidR="00C35402" w:rsidRPr="001F1472">
        <w:rPr>
          <w:rFonts w:asciiTheme="majorBidi" w:eastAsia="Times New Roman" w:hAnsiTheme="majorBidi" w:cstheme="majorBidi"/>
          <w:lang w:val="en-GB"/>
        </w:rPr>
        <w:t xml:space="preserve"> that is</w:t>
      </w:r>
      <w:r w:rsidR="00C35402" w:rsidRPr="00B32AE6">
        <w:rPr>
          <w:rFonts w:asciiTheme="majorBidi" w:hAnsiTheme="majorBidi"/>
          <w:lang w:val="en-GB"/>
        </w:rPr>
        <w:t xml:space="preserve"> applied to production data and all forms of utilization</w:t>
      </w:r>
      <w:r w:rsidR="001F1472" w:rsidRPr="00B32AE6">
        <w:rPr>
          <w:rFonts w:asciiTheme="majorBidi" w:hAnsiTheme="majorBidi"/>
          <w:lang w:val="en-GB"/>
        </w:rPr>
        <w:t xml:space="preserve"> (</w:t>
      </w:r>
      <w:r w:rsidR="001F1472" w:rsidRPr="001F1472">
        <w:rPr>
          <w:rFonts w:asciiTheme="majorBidi" w:eastAsia="Times New Roman" w:hAnsiTheme="majorBidi" w:cstheme="majorBidi"/>
          <w:lang w:val="en-GB"/>
        </w:rPr>
        <w:t>CPC</w:t>
      </w:r>
      <w:r w:rsidR="001F1472" w:rsidRPr="00B32AE6">
        <w:rPr>
          <w:rFonts w:asciiTheme="majorBidi" w:hAnsiTheme="majorBidi"/>
          <w:lang w:val="en-GB"/>
        </w:rPr>
        <w:t xml:space="preserve"> expanded</w:t>
      </w:r>
      <w:r w:rsidR="001F1472" w:rsidRPr="001F1472">
        <w:rPr>
          <w:rFonts w:asciiTheme="majorBidi" w:eastAsia="Times New Roman" w:hAnsiTheme="majorBidi" w:cstheme="majorBidi"/>
          <w:lang w:val="en-GB"/>
        </w:rPr>
        <w:t xml:space="preserve"> for agricultural statistics)</w:t>
      </w:r>
      <w:r w:rsidR="00C35402" w:rsidRPr="001F1472">
        <w:rPr>
          <w:rFonts w:asciiTheme="majorBidi" w:eastAsia="Times New Roman" w:hAnsiTheme="majorBidi" w:cstheme="majorBidi"/>
          <w:lang w:val="en-GB"/>
        </w:rPr>
        <w:t xml:space="preserve">. </w:t>
      </w:r>
      <w:r w:rsidRPr="001F1472">
        <w:rPr>
          <w:rFonts w:asciiTheme="majorBidi" w:eastAsia="Times New Roman" w:hAnsiTheme="majorBidi" w:cstheme="majorBidi"/>
          <w:lang w:val="en-GB"/>
        </w:rPr>
        <w:t>The 6-digit level</w:t>
      </w:r>
      <w:r w:rsidR="00C35402" w:rsidRPr="001F1472">
        <w:rPr>
          <w:rFonts w:asciiTheme="majorBidi" w:eastAsia="Times New Roman" w:hAnsiTheme="majorBidi" w:cstheme="majorBidi"/>
          <w:lang w:val="en-GB"/>
        </w:rPr>
        <w:t>, however,</w:t>
      </w:r>
      <w:r w:rsidRPr="001F1472">
        <w:rPr>
          <w:rFonts w:asciiTheme="majorBidi" w:eastAsia="Times New Roman" w:hAnsiTheme="majorBidi" w:cstheme="majorBidi"/>
          <w:lang w:val="en-GB"/>
        </w:rPr>
        <w:t xml:space="preserve"> is also </w:t>
      </w:r>
      <w:r w:rsidR="00C35402" w:rsidRPr="001F1472">
        <w:rPr>
          <w:rFonts w:asciiTheme="majorBidi" w:eastAsia="Times New Roman" w:hAnsiTheme="majorBidi" w:cstheme="majorBidi"/>
          <w:lang w:val="en-GB"/>
        </w:rPr>
        <w:t xml:space="preserve">used </w:t>
      </w:r>
      <w:r w:rsidRPr="001F1472">
        <w:rPr>
          <w:rFonts w:asciiTheme="majorBidi" w:eastAsia="Times New Roman" w:hAnsiTheme="majorBidi" w:cstheme="majorBidi"/>
          <w:lang w:val="en-GB"/>
        </w:rPr>
        <w:t xml:space="preserve">to </w:t>
      </w:r>
      <w:r w:rsidR="00C35402" w:rsidRPr="001F1472">
        <w:rPr>
          <w:rFonts w:asciiTheme="majorBidi" w:eastAsia="Times New Roman" w:hAnsiTheme="majorBidi" w:cstheme="majorBidi"/>
          <w:lang w:val="en-GB"/>
        </w:rPr>
        <w:t xml:space="preserve">perform various </w:t>
      </w:r>
      <w:r w:rsidRPr="001F1472">
        <w:rPr>
          <w:rFonts w:asciiTheme="majorBidi" w:eastAsia="Times New Roman" w:hAnsiTheme="majorBidi" w:cstheme="majorBidi"/>
          <w:lang w:val="en-GB"/>
        </w:rPr>
        <w:t xml:space="preserve">consistency </w:t>
      </w:r>
      <w:r w:rsidR="00C35402" w:rsidRPr="001F1472">
        <w:rPr>
          <w:rFonts w:asciiTheme="majorBidi" w:eastAsia="Times New Roman" w:hAnsiTheme="majorBidi" w:cstheme="majorBidi"/>
          <w:lang w:val="en-GB"/>
        </w:rPr>
        <w:t>and validation checks.</w:t>
      </w:r>
      <w:r w:rsidR="00C35402" w:rsidRPr="00B32AE6">
        <w:rPr>
          <w:rFonts w:asciiTheme="majorBidi" w:hAnsiTheme="majorBidi"/>
          <w:lang w:val="en-GB"/>
        </w:rPr>
        <w:t xml:space="preserve"> </w:t>
      </w:r>
      <w:r w:rsidRPr="00B32AE6">
        <w:rPr>
          <w:rFonts w:asciiTheme="majorBidi" w:hAnsiTheme="majorBidi"/>
          <w:lang w:val="en-GB"/>
        </w:rPr>
        <w:t>For details of compatibility between HS and CPC, see section on classifications</w:t>
      </w:r>
      <w:r w:rsidR="00C35402" w:rsidRPr="00B32AE6">
        <w:rPr>
          <w:rFonts w:asciiTheme="majorBidi" w:hAnsiTheme="majorBidi"/>
          <w:lang w:val="en-GB"/>
        </w:rPr>
        <w:t xml:space="preserve"> </w:t>
      </w:r>
      <w:r w:rsidRPr="00B32AE6">
        <w:rPr>
          <w:rFonts w:asciiTheme="majorBidi" w:hAnsiTheme="majorBidi"/>
          <w:lang w:val="en-GB"/>
        </w:rPr>
        <w:t xml:space="preserve">of this document. </w:t>
      </w:r>
    </w:p>
    <w:p w14:paraId="7C683B15" w14:textId="77777777" w:rsidR="004F65E4" w:rsidRPr="00B32AE6" w:rsidRDefault="004F65E4" w:rsidP="00B32AE6">
      <w:pPr>
        <w:pStyle w:val="Heading4"/>
        <w:rPr>
          <w:rFonts w:asciiTheme="majorBidi" w:hAnsiTheme="majorBidi"/>
          <w:lang w:val="en-GB"/>
        </w:rPr>
      </w:pPr>
      <w:bookmarkStart w:id="5" w:name="_Toc421025860"/>
      <w:r w:rsidRPr="00B32AE6">
        <w:rPr>
          <w:rFonts w:asciiTheme="majorBidi" w:hAnsiTheme="majorBidi"/>
          <w:lang w:val="en-GB"/>
        </w:rPr>
        <w:t>Processing</w:t>
      </w:r>
      <w:r w:rsidRPr="00F31509">
        <w:rPr>
          <w:rFonts w:asciiTheme="majorBidi" w:hAnsiTheme="majorBidi" w:cstheme="majorBidi"/>
          <w:lang w:val="en-GB"/>
        </w:rPr>
        <w:t xml:space="preserve"> UN</w:t>
      </w:r>
      <w:r w:rsidRPr="00B32AE6">
        <w:rPr>
          <w:rFonts w:asciiTheme="majorBidi" w:hAnsiTheme="majorBidi"/>
          <w:lang w:val="en-GB"/>
        </w:rPr>
        <w:t xml:space="preserve"> </w:t>
      </w:r>
      <w:proofErr w:type="spellStart"/>
      <w:r w:rsidRPr="00B32AE6">
        <w:rPr>
          <w:rFonts w:asciiTheme="majorBidi" w:hAnsiTheme="majorBidi"/>
          <w:lang w:val="en-GB"/>
        </w:rPr>
        <w:t>Comtrade</w:t>
      </w:r>
      <w:proofErr w:type="spellEnd"/>
      <w:r w:rsidRPr="00B32AE6">
        <w:rPr>
          <w:rFonts w:asciiTheme="majorBidi" w:hAnsiTheme="majorBidi"/>
          <w:lang w:val="en-GB"/>
        </w:rPr>
        <w:t xml:space="preserve"> data</w:t>
      </w:r>
      <w:bookmarkEnd w:id="5"/>
      <w:r w:rsidRPr="00B32AE6">
        <w:rPr>
          <w:rFonts w:asciiTheme="majorBidi" w:hAnsiTheme="majorBidi"/>
          <w:lang w:val="en-GB"/>
        </w:rPr>
        <w:t xml:space="preserve"> </w:t>
      </w:r>
    </w:p>
    <w:p w14:paraId="45AF980E" w14:textId="485AD94D" w:rsidR="004F65E4" w:rsidRPr="00B32AE6" w:rsidRDefault="004F65E4" w:rsidP="004F65E4">
      <w:pPr>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UN </w:t>
      </w:r>
      <w:proofErr w:type="spellStart"/>
      <w:r w:rsidRPr="00B32AE6">
        <w:rPr>
          <w:rFonts w:asciiTheme="majorBidi" w:hAnsiTheme="majorBidi"/>
          <w:color w:val="000000" w:themeColor="text1"/>
          <w:lang w:val="en-GB"/>
        </w:rPr>
        <w:t>Comtrade</w:t>
      </w:r>
      <w:proofErr w:type="spellEnd"/>
      <w:r w:rsidRPr="00B32AE6">
        <w:rPr>
          <w:rFonts w:asciiTheme="majorBidi" w:hAnsiTheme="majorBidi"/>
          <w:color w:val="000000" w:themeColor="text1"/>
          <w:lang w:val="en-GB"/>
        </w:rPr>
        <w:t xml:space="preserve"> data are processed by the FAO Statistics Division in different ways and for different purposes. The main purpose is the creation of specialized trade information (see overview in </w:t>
      </w:r>
      <w:r w:rsidR="00004804">
        <w:fldChar w:fldCharType="begin"/>
      </w:r>
      <w:r w:rsidR="00004804">
        <w:instrText xml:space="preserve"> REF _Ref420069487 \h  \* MERGEFORMAT </w:instrText>
      </w:r>
      <w:r w:rsidR="00004804">
        <w:fldChar w:fldCharType="separate"/>
      </w:r>
      <w:r w:rsidR="00AA4884" w:rsidRPr="00B32AE6">
        <w:rPr>
          <w:rFonts w:asciiTheme="majorBidi" w:hAnsiTheme="majorBidi"/>
          <w:color w:val="000000" w:themeColor="text1"/>
          <w:lang w:val="en-GB"/>
        </w:rPr>
        <w:t xml:space="preserve">Table </w:t>
      </w:r>
      <w:r w:rsidR="00AA4884" w:rsidRPr="00F31509">
        <w:rPr>
          <w:rFonts w:asciiTheme="majorBidi" w:hAnsiTheme="majorBidi" w:cstheme="majorBidi"/>
          <w:color w:val="000000" w:themeColor="text1"/>
          <w:szCs w:val="24"/>
          <w:lang w:val="en-GB"/>
        </w:rPr>
        <w:t>4</w:t>
      </w:r>
      <w:r w:rsidR="00004804">
        <w:fldChar w:fldCharType="end"/>
      </w:r>
      <w:r w:rsidRPr="00B32AE6">
        <w:rPr>
          <w:rFonts w:asciiTheme="majorBidi" w:hAnsiTheme="majorBidi"/>
          <w:color w:val="000000" w:themeColor="text1"/>
          <w:lang w:val="en-GB"/>
        </w:rPr>
        <w:t xml:space="preserve"> below) but there are also other needs, including the FBS/SUA, as well as many other datasets such as trade of fertilizer and pesticides, machinery, etc. </w:t>
      </w:r>
    </w:p>
    <w:p w14:paraId="7C691B7D" w14:textId="795DED1A" w:rsidR="004F65E4" w:rsidRPr="00B32AE6" w:rsidRDefault="004F65E4" w:rsidP="60226960">
      <w:pPr>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The processing entails different steps and ultimately leads to different products. The various steps and products are described in detail in the methodology paper for the compilation of trade statistics. At this juncture, it should suffice to list the various steps. The resulting products are summarized in </w:t>
      </w:r>
      <w:r w:rsidR="00004804">
        <w:fldChar w:fldCharType="begin"/>
      </w:r>
      <w:r w:rsidR="00004804">
        <w:instrText xml:space="preserve"> REF _Ref420069487 \h  \* MERGEFORMAT </w:instrText>
      </w:r>
      <w:r w:rsidR="00004804">
        <w:fldChar w:fldCharType="separate"/>
      </w:r>
      <w:r w:rsidR="00AA4884" w:rsidRPr="00B32AE6">
        <w:rPr>
          <w:rFonts w:asciiTheme="majorBidi" w:hAnsiTheme="majorBidi"/>
          <w:color w:val="000000" w:themeColor="text1"/>
          <w:lang w:val="en-GB"/>
        </w:rPr>
        <w:t xml:space="preserve">Table </w:t>
      </w:r>
      <w:r w:rsidR="00AA4884" w:rsidRPr="00F31509">
        <w:rPr>
          <w:rFonts w:asciiTheme="majorBidi" w:eastAsia="Times New Roman" w:hAnsiTheme="majorBidi" w:cstheme="majorBidi"/>
          <w:color w:val="000000" w:themeColor="text1"/>
          <w:lang w:val="en-GB"/>
        </w:rPr>
        <w:t>4</w:t>
      </w:r>
      <w:r w:rsidR="00004804">
        <w:fldChar w:fldCharType="end"/>
      </w:r>
      <w:r w:rsidRPr="00B32AE6">
        <w:rPr>
          <w:rFonts w:asciiTheme="majorBidi" w:hAnsiTheme="majorBidi"/>
          <w:color w:val="000000" w:themeColor="text1"/>
          <w:lang w:val="en-GB"/>
        </w:rPr>
        <w:t xml:space="preserve"> below. </w:t>
      </w:r>
    </w:p>
    <w:p w14:paraId="67507269" w14:textId="77777777" w:rsidR="004F65E4" w:rsidRPr="00B32AE6" w:rsidRDefault="004F65E4" w:rsidP="00B32AE6">
      <w:pPr>
        <w:pStyle w:val="Heading4"/>
        <w:rPr>
          <w:rFonts w:asciiTheme="majorBidi" w:hAnsiTheme="majorBidi"/>
          <w:lang w:val="en-GB"/>
        </w:rPr>
      </w:pPr>
      <w:bookmarkStart w:id="6" w:name="_Toc421025861"/>
      <w:r w:rsidRPr="00B32AE6">
        <w:rPr>
          <w:rFonts w:asciiTheme="majorBidi" w:hAnsiTheme="majorBidi"/>
          <w:lang w:val="en-GB"/>
        </w:rPr>
        <w:t>Processing steps</w:t>
      </w:r>
      <w:bookmarkEnd w:id="6"/>
    </w:p>
    <w:p w14:paraId="1442047B" w14:textId="77777777" w:rsidR="004F65E4" w:rsidRPr="00B32AE6" w:rsidRDefault="004F65E4" w:rsidP="003C6AA5">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 xml:space="preserve">Direct harvesting data from UN </w:t>
      </w:r>
      <w:proofErr w:type="spellStart"/>
      <w:r w:rsidRPr="00B32AE6">
        <w:rPr>
          <w:rFonts w:asciiTheme="majorBidi" w:hAnsiTheme="majorBidi"/>
          <w:color w:val="000000" w:themeColor="text1"/>
        </w:rPr>
        <w:t>Comtrade</w:t>
      </w:r>
      <w:proofErr w:type="spellEnd"/>
      <w:r w:rsidRPr="00B32AE6">
        <w:rPr>
          <w:rFonts w:asciiTheme="majorBidi" w:hAnsiTheme="majorBidi"/>
          <w:color w:val="000000" w:themeColor="text1"/>
        </w:rPr>
        <w:t xml:space="preserve"> via an Application Processing Interface (API). For details see trade documentation</w:t>
      </w:r>
    </w:p>
    <w:p w14:paraId="43B2B076" w14:textId="77777777" w:rsidR="004F65E4" w:rsidRPr="00B32AE6" w:rsidRDefault="004F65E4" w:rsidP="003C6AA5">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 xml:space="preserve">Data validation and error correction. </w:t>
      </w:r>
    </w:p>
    <w:p w14:paraId="3928672C" w14:textId="2117CC7A" w:rsidR="004F65E4" w:rsidRPr="00B32AE6" w:rsidRDefault="004F65E4" w:rsidP="60226960">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“Mirroring”, i.e. completing the trade matrix with information from trading partners/reports wherever available</w:t>
      </w:r>
    </w:p>
    <w:p w14:paraId="5E0AE7B0" w14:textId="47B616DA" w:rsidR="004F65E4" w:rsidRPr="00B32AE6" w:rsidRDefault="004F65E4" w:rsidP="60226960">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Calculating representative import unit values (IUV) and export unit values (EUV) (from reporter and/or partner information) and based on these, calculate missing quantities from available values and missing values from available quantities.</w:t>
      </w:r>
    </w:p>
    <w:p w14:paraId="63672992" w14:textId="4ABD25CF" w:rsidR="004F65E4" w:rsidRPr="00B32AE6" w:rsidRDefault="004F65E4" w:rsidP="003C6AA5">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 xml:space="preserve">Calculating total trade (total imports and exports for every commodity at </w:t>
      </w:r>
      <w:r w:rsidRPr="00F31509">
        <w:rPr>
          <w:rFonts w:asciiTheme="majorBidi" w:hAnsiTheme="majorBidi" w:cstheme="majorBidi"/>
          <w:color w:val="000000" w:themeColor="text1"/>
        </w:rPr>
        <w:t>tariff line</w:t>
      </w:r>
      <w:r w:rsidRPr="00B32AE6">
        <w:rPr>
          <w:rFonts w:asciiTheme="majorBidi" w:hAnsiTheme="majorBidi"/>
          <w:color w:val="000000" w:themeColor="text1"/>
        </w:rPr>
        <w:t xml:space="preserve"> level) flows, which are potentially still imbalanced.</w:t>
      </w:r>
    </w:p>
    <w:p w14:paraId="07B2AFB1" w14:textId="77777777" w:rsidR="004F65E4" w:rsidRPr="00B32AE6" w:rsidRDefault="004F65E4" w:rsidP="003C6AA5">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Harvesting and/or manual input of data from specialised commodity reports</w:t>
      </w:r>
    </w:p>
    <w:p w14:paraId="6D0AD11F" w14:textId="77777777" w:rsidR="004F65E4" w:rsidRPr="00B32AE6" w:rsidRDefault="004F65E4" w:rsidP="60226960">
      <w:pPr>
        <w:pStyle w:val="ListParagraph"/>
        <w:numPr>
          <w:ilvl w:val="0"/>
          <w:numId w:val="18"/>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 xml:space="preserve">Converting HS codes into CPC </w:t>
      </w:r>
      <w:r w:rsidR="004C59F2" w:rsidRPr="00F31509">
        <w:rPr>
          <w:rFonts w:asciiTheme="majorBidi" w:eastAsia="Times New Roman" w:hAnsiTheme="majorBidi" w:cstheme="majorBidi"/>
          <w:color w:val="000000" w:themeColor="text1"/>
        </w:rPr>
        <w:t xml:space="preserve">and FCL </w:t>
      </w:r>
      <w:r w:rsidRPr="00B32AE6">
        <w:rPr>
          <w:rFonts w:asciiTheme="majorBidi" w:hAnsiTheme="majorBidi"/>
          <w:color w:val="000000" w:themeColor="text1"/>
        </w:rPr>
        <w:t>codes</w:t>
      </w:r>
      <w:r w:rsidRPr="00F31509">
        <w:rPr>
          <w:rFonts w:asciiTheme="majorBidi" w:eastAsia="Times New Roman" w:hAnsiTheme="majorBidi" w:cstheme="majorBidi"/>
          <w:color w:val="000000" w:themeColor="text1"/>
        </w:rPr>
        <w:t xml:space="preserve"> </w:t>
      </w:r>
      <w:r w:rsidRPr="00B32AE6">
        <w:rPr>
          <w:rFonts w:asciiTheme="majorBidi" w:hAnsiTheme="majorBidi"/>
          <w:color w:val="000000" w:themeColor="text1"/>
        </w:rPr>
        <w:t xml:space="preserve"> </w:t>
      </w:r>
    </w:p>
    <w:p w14:paraId="53057877" w14:textId="77777777" w:rsidR="004F65E4" w:rsidRPr="00B32AE6" w:rsidRDefault="004F65E4" w:rsidP="60226960">
      <w:pPr>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Up to this point, all imputation methods keep officially reported data intact (apart from weeding out obvious reporting errors and filling in data gaps). All imputations supplement existing data, but do not replace them. The trade information that best serves the FBS needs</w:t>
      </w:r>
      <w:r w:rsidR="00C1637C" w:rsidRPr="00F31509">
        <w:rPr>
          <w:rFonts w:asciiTheme="majorBidi" w:eastAsia="Times New Roman" w:hAnsiTheme="majorBidi" w:cstheme="majorBidi"/>
          <w:color w:val="000000" w:themeColor="text1"/>
          <w:lang w:val="en-GB"/>
        </w:rPr>
        <w:t>,</w:t>
      </w:r>
      <w:r w:rsidRPr="00B32AE6">
        <w:rPr>
          <w:rFonts w:asciiTheme="majorBidi" w:hAnsiTheme="majorBidi"/>
          <w:color w:val="000000" w:themeColor="text1"/>
          <w:lang w:val="en-GB"/>
        </w:rPr>
        <w:t xml:space="preserve"> however</w:t>
      </w:r>
      <w:r w:rsidR="00C1637C" w:rsidRPr="00F31509">
        <w:rPr>
          <w:rFonts w:asciiTheme="majorBidi" w:eastAsia="Times New Roman" w:hAnsiTheme="majorBidi" w:cstheme="majorBidi"/>
          <w:color w:val="000000" w:themeColor="text1"/>
          <w:lang w:val="en-GB"/>
        </w:rPr>
        <w:t>,</w:t>
      </w:r>
      <w:r w:rsidRPr="00B32AE6">
        <w:rPr>
          <w:rFonts w:asciiTheme="majorBidi" w:hAnsiTheme="majorBidi"/>
          <w:color w:val="000000" w:themeColor="text1"/>
          <w:lang w:val="en-GB"/>
        </w:rPr>
        <w:t xml:space="preserve"> is trade that is as complete, as balanced (imports vs. exports</w:t>
      </w:r>
      <w:r w:rsidR="00B80EB9" w:rsidRPr="00F31509">
        <w:rPr>
          <w:rFonts w:asciiTheme="majorBidi" w:eastAsia="Times New Roman" w:hAnsiTheme="majorBidi" w:cstheme="majorBidi"/>
          <w:color w:val="000000" w:themeColor="text1"/>
          <w:lang w:val="en-GB"/>
        </w:rPr>
        <w:t xml:space="preserve"> of each individual commodity</w:t>
      </w:r>
      <w:r w:rsidRPr="00B32AE6">
        <w:rPr>
          <w:rFonts w:asciiTheme="majorBidi" w:hAnsiTheme="majorBidi"/>
          <w:color w:val="000000" w:themeColor="text1"/>
          <w:lang w:val="en-GB"/>
        </w:rPr>
        <w:t>) and as consistent as possible at the global level. This requires not only imputation of missing data from non-reporting countries, but also adjustments of the trade matrix to ensure that global imports are as equal to global exports as realistically/statistically possible. Balancing the matrix may</w:t>
      </w:r>
      <w:r w:rsidR="00C1637C" w:rsidRPr="00F31509">
        <w:rPr>
          <w:rFonts w:asciiTheme="majorBidi" w:eastAsia="Times New Roman" w:hAnsiTheme="majorBidi" w:cstheme="majorBidi"/>
          <w:color w:val="000000" w:themeColor="text1"/>
          <w:lang w:val="en-GB"/>
        </w:rPr>
        <w:t>,</w:t>
      </w:r>
      <w:r w:rsidRPr="00B32AE6">
        <w:rPr>
          <w:rFonts w:asciiTheme="majorBidi" w:hAnsiTheme="majorBidi"/>
          <w:color w:val="000000" w:themeColor="text1"/>
          <w:lang w:val="en-GB"/>
        </w:rPr>
        <w:t xml:space="preserve"> however</w:t>
      </w:r>
      <w:r w:rsidR="00C1637C" w:rsidRPr="00F31509">
        <w:rPr>
          <w:rFonts w:asciiTheme="majorBidi" w:eastAsia="Times New Roman" w:hAnsiTheme="majorBidi" w:cstheme="majorBidi"/>
          <w:color w:val="000000" w:themeColor="text1"/>
          <w:lang w:val="en-GB"/>
        </w:rPr>
        <w:t>,</w:t>
      </w:r>
      <w:r w:rsidRPr="00B32AE6">
        <w:rPr>
          <w:rFonts w:asciiTheme="majorBidi" w:hAnsiTheme="majorBidi"/>
          <w:color w:val="000000" w:themeColor="text1"/>
          <w:lang w:val="en-GB"/>
        </w:rPr>
        <w:t xml:space="preserve"> involve overwriting official data and thus requires a separate process. This is done applying a system of endorsement factors, essentially reflecting the revealed reliability in the reporting of trade data. Again, the details of the methodology are described in the documentation of the new trade methodology. Here it shall suffice to list the key steps:</w:t>
      </w:r>
    </w:p>
    <w:p w14:paraId="13EB3DC8" w14:textId="77777777" w:rsidR="004F65E4" w:rsidRPr="00B32AE6" w:rsidRDefault="004F65E4" w:rsidP="60226960">
      <w:pPr>
        <w:pStyle w:val="ListParagraph"/>
        <w:numPr>
          <w:ilvl w:val="0"/>
          <w:numId w:val="19"/>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Calculating endorsement factors</w:t>
      </w:r>
      <w:r w:rsidR="00C1637C" w:rsidRPr="00F31509">
        <w:rPr>
          <w:rFonts w:asciiTheme="majorBidi" w:eastAsia="Times New Roman" w:hAnsiTheme="majorBidi" w:cstheme="majorBidi"/>
          <w:color w:val="000000" w:themeColor="text1"/>
        </w:rPr>
        <w:t>.</w:t>
      </w:r>
    </w:p>
    <w:p w14:paraId="42ADDF3F" w14:textId="5290CDE0" w:rsidR="004F65E4" w:rsidRPr="00B32AE6" w:rsidRDefault="004F65E4" w:rsidP="003C6AA5">
      <w:pPr>
        <w:pStyle w:val="ListParagraph"/>
        <w:numPr>
          <w:ilvl w:val="0"/>
          <w:numId w:val="19"/>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 xml:space="preserve">Balancing trade so that </w:t>
      </w:r>
      <m:oMath>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i=1</m:t>
            </m:r>
          </m:sub>
          <m:sup>
            <m:r>
              <w:rPr>
                <w:rFonts w:ascii="Cambria Math" w:hAnsi="Cambria Math" w:cstheme="majorBidi"/>
                <w:color w:val="000000" w:themeColor="text1"/>
              </w:rPr>
              <m:t>n</m:t>
            </m:r>
          </m:sup>
          <m:e>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ij</m:t>
                </m:r>
              </m:sub>
            </m:sSub>
          </m:e>
        </m:nary>
        <m:r>
          <w:rPr>
            <w:rFonts w:ascii="Cambria Math" w:hAnsi="Cambria Math" w:cstheme="majorBidi"/>
            <w:color w:val="000000" w:themeColor="text1"/>
          </w:rPr>
          <m:t>=</m:t>
        </m:r>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i=1</m:t>
            </m:r>
          </m:sub>
          <m:sup>
            <m:r>
              <w:rPr>
                <w:rFonts w:ascii="Cambria Math" w:hAnsi="Cambria Math" w:cstheme="majorBidi"/>
                <w:color w:val="000000" w:themeColor="text1"/>
              </w:rPr>
              <m:t>n</m:t>
            </m:r>
          </m:sup>
          <m:e>
            <m:sSub>
              <m:sSubPr>
                <m:ctrlPr>
                  <w:rPr>
                    <w:rFonts w:ascii="Cambria Math" w:hAnsi="Cambria Math" w:cstheme="majorBidi"/>
                    <w:i/>
                    <w:color w:val="000000" w:themeColor="text1"/>
                  </w:rPr>
                </m:ctrlPr>
              </m:sSubPr>
              <m:e>
                <m:r>
                  <w:rPr>
                    <w:rFonts w:ascii="Cambria Math" w:hAnsi="Cambria Math" w:cstheme="majorBidi"/>
                    <w:color w:val="000000" w:themeColor="text1"/>
                  </w:rPr>
                  <m:t>I</m:t>
                </m:r>
              </m:e>
              <m:sub>
                <m:r>
                  <w:rPr>
                    <w:rFonts w:ascii="Cambria Math" w:hAnsi="Cambria Math" w:cstheme="majorBidi"/>
                    <w:color w:val="000000" w:themeColor="text1"/>
                  </w:rPr>
                  <m:t>ij</m:t>
                </m:r>
              </m:sub>
            </m:sSub>
          </m:e>
        </m:nary>
        <m:r>
          <w:rPr>
            <w:rFonts w:ascii="Cambria Math" w:hAnsi="Cambria Math"/>
            <w:color w:val="000000" w:themeColor="text1"/>
          </w:rPr>
          <m:t xml:space="preserve"> </m:t>
        </m:r>
      </m:oMath>
      <w:r w:rsidRPr="00B32AE6">
        <w:rPr>
          <w:rFonts w:asciiTheme="majorBidi" w:hAnsiTheme="majorBidi"/>
          <w:color w:val="000000" w:themeColor="text1"/>
        </w:rPr>
        <w:t>for every commodity j and all countries i.</w:t>
      </w:r>
    </w:p>
    <w:p w14:paraId="235A5991" w14:textId="2DF53A43" w:rsidR="004F65E4" w:rsidRPr="00B32AE6" w:rsidRDefault="004F65E4" w:rsidP="76D9A761">
      <w:pPr>
        <w:pStyle w:val="ListParagraph"/>
        <w:numPr>
          <w:ilvl w:val="0"/>
          <w:numId w:val="19"/>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lastRenderedPageBreak/>
        <w:t xml:space="preserve">Calculating total trade (total imports and exports for every commodity at </w:t>
      </w:r>
      <w:r w:rsidR="00C1637C" w:rsidRPr="00F31509">
        <w:rPr>
          <w:rFonts w:asciiTheme="majorBidi" w:eastAsia="Times New Roman" w:hAnsiTheme="majorBidi" w:cstheme="majorBidi"/>
          <w:color w:val="000000" w:themeColor="text1"/>
        </w:rPr>
        <w:t>CPC</w:t>
      </w:r>
      <w:r w:rsidRPr="00B32AE6">
        <w:rPr>
          <w:rFonts w:asciiTheme="majorBidi" w:hAnsiTheme="majorBidi"/>
          <w:color w:val="000000" w:themeColor="text1"/>
        </w:rPr>
        <w:t xml:space="preserve"> level), now of balanced flows</w:t>
      </w:r>
      <w:r w:rsidR="00C1637C" w:rsidRPr="00F31509">
        <w:rPr>
          <w:rFonts w:asciiTheme="majorBidi" w:eastAsia="Times New Roman" w:hAnsiTheme="majorBidi" w:cstheme="majorBidi"/>
          <w:color w:val="000000" w:themeColor="text1"/>
        </w:rPr>
        <w:t>.</w:t>
      </w:r>
    </w:p>
    <w:p w14:paraId="5C2AD5CF" w14:textId="544D4457" w:rsidR="004F65E4" w:rsidRPr="00B32AE6" w:rsidRDefault="00004804" w:rsidP="60226960">
      <w:pPr>
        <w:spacing w:before="100" w:beforeAutospacing="1" w:after="120"/>
        <w:jc w:val="both"/>
        <w:rPr>
          <w:rFonts w:asciiTheme="majorBidi" w:hAnsiTheme="majorBidi"/>
          <w:color w:val="000000" w:themeColor="text1"/>
          <w:lang w:val="en-GB"/>
        </w:rPr>
      </w:pPr>
      <w:r>
        <w:fldChar w:fldCharType="begin"/>
      </w:r>
      <w:r>
        <w:instrText xml:space="preserve"> REF _Ref420069127 \h  \* MERGEFORMAT </w:instrText>
      </w:r>
      <w:r>
        <w:fldChar w:fldCharType="separate"/>
      </w:r>
      <w:r w:rsidR="00AA4884" w:rsidRPr="00B32AE6">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4</w:t>
      </w:r>
      <w:r>
        <w:fldChar w:fldCharType="end"/>
      </w:r>
      <w:r w:rsidR="004F65E4" w:rsidRPr="00B32AE6">
        <w:rPr>
          <w:rFonts w:asciiTheme="majorBidi" w:hAnsiTheme="majorBidi"/>
          <w:color w:val="000000" w:themeColor="text1"/>
          <w:lang w:val="en-GB"/>
        </w:rPr>
        <w:t xml:space="preserve"> below provides an overview of the new trade processing flow.</w:t>
      </w:r>
    </w:p>
    <w:p w14:paraId="725940A3" w14:textId="77777777" w:rsidR="004F65E4" w:rsidRPr="00F31509" w:rsidRDefault="00040401" w:rsidP="004F65E4">
      <w:pPr>
        <w:keepNext/>
        <w:spacing w:before="100" w:beforeAutospacing="1" w:after="120"/>
        <w:jc w:val="both"/>
        <w:rPr>
          <w:rFonts w:asciiTheme="majorBidi" w:hAnsiTheme="majorBidi" w:cstheme="majorBidi"/>
          <w:color w:val="000000" w:themeColor="text1"/>
          <w:lang w:val="en-GB"/>
        </w:rPr>
      </w:pPr>
      <w:r w:rsidRPr="00F31509">
        <w:rPr>
          <w:rFonts w:asciiTheme="majorBidi" w:hAnsiTheme="majorBidi" w:cstheme="majorBidi"/>
          <w:noProof/>
          <w:color w:val="000000" w:themeColor="text1"/>
          <w:lang w:eastAsia="en-US"/>
        </w:rPr>
        <w:drawing>
          <wp:inline distT="0" distB="0" distL="0" distR="0">
            <wp:extent cx="5760085" cy="28530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853093"/>
                    </a:xfrm>
                    <a:prstGeom prst="rect">
                      <a:avLst/>
                    </a:prstGeom>
                    <a:noFill/>
                    <a:ln>
                      <a:noFill/>
                    </a:ln>
                  </pic:spPr>
                </pic:pic>
              </a:graphicData>
            </a:graphic>
          </wp:inline>
        </w:drawing>
      </w:r>
    </w:p>
    <w:p w14:paraId="65119045" w14:textId="433BC7B9" w:rsidR="004F65E4" w:rsidRPr="00B32AE6" w:rsidRDefault="004F65E4" w:rsidP="004F65E4">
      <w:pPr>
        <w:pStyle w:val="NoSpacing"/>
        <w:spacing w:line="276" w:lineRule="auto"/>
        <w:jc w:val="both"/>
        <w:rPr>
          <w:rFonts w:asciiTheme="majorBidi" w:hAnsiTheme="majorBidi"/>
          <w:color w:val="000000" w:themeColor="text1"/>
        </w:rPr>
      </w:pPr>
      <w:bookmarkStart w:id="7" w:name="_Ref420069127"/>
      <w:bookmarkStart w:id="8" w:name="_Toc420402182"/>
      <w:bookmarkStart w:id="9" w:name="_Toc420402582"/>
      <w:bookmarkStart w:id="10" w:name="_Toc421026212"/>
      <w:bookmarkStart w:id="11" w:name="_Toc428383855"/>
      <w:bookmarkStart w:id="12" w:name="_Toc430872506"/>
      <w:r w:rsidRPr="00B32AE6">
        <w:rPr>
          <w:rFonts w:asciiTheme="majorBidi" w:hAnsiTheme="majorBidi"/>
          <w:color w:val="000000" w:themeColor="text1"/>
        </w:rPr>
        <w:t xml:space="preserve">Figure </w:t>
      </w:r>
      <w:r w:rsidR="00846B16" w:rsidRPr="00B32AE6">
        <w:rPr>
          <w:rFonts w:asciiTheme="majorBidi" w:hAnsiTheme="majorBidi"/>
          <w:color w:val="000000" w:themeColor="text1"/>
        </w:rPr>
        <w:fldChar w:fldCharType="begin"/>
      </w:r>
      <w:r w:rsidRPr="00F31509">
        <w:rPr>
          <w:rFonts w:asciiTheme="majorBidi" w:hAnsiTheme="majorBidi" w:cstheme="majorBidi"/>
          <w:color w:val="000000" w:themeColor="text1"/>
        </w:rPr>
        <w:instrText xml:space="preserve"> SEQ Figure \* ARABIC </w:instrText>
      </w:r>
      <w:r w:rsidR="00846B16" w:rsidRPr="00B32AE6">
        <w:rPr>
          <w:rFonts w:asciiTheme="majorBidi" w:hAnsiTheme="majorBidi"/>
          <w:color w:val="000000" w:themeColor="text1"/>
        </w:rPr>
        <w:fldChar w:fldCharType="separate"/>
      </w:r>
      <w:r w:rsidR="000B360D" w:rsidRPr="00F31509">
        <w:rPr>
          <w:rFonts w:asciiTheme="majorBidi" w:hAnsiTheme="majorBidi" w:cstheme="majorBidi"/>
          <w:noProof/>
          <w:color w:val="000000" w:themeColor="text1"/>
        </w:rPr>
        <w:t>4</w:t>
      </w:r>
      <w:r w:rsidR="00846B16" w:rsidRPr="00B32AE6">
        <w:rPr>
          <w:rFonts w:asciiTheme="majorBidi" w:hAnsiTheme="majorBidi"/>
          <w:color w:val="000000" w:themeColor="text1"/>
        </w:rPr>
        <w:fldChar w:fldCharType="end"/>
      </w:r>
      <w:bookmarkEnd w:id="7"/>
      <w:r w:rsidRPr="00B32AE6">
        <w:rPr>
          <w:rFonts w:asciiTheme="majorBidi" w:hAnsiTheme="majorBidi"/>
          <w:color w:val="000000" w:themeColor="text1"/>
        </w:rPr>
        <w:t>: Trade processing, work flows</w:t>
      </w:r>
      <w:bookmarkEnd w:id="8"/>
      <w:bookmarkEnd w:id="9"/>
      <w:bookmarkEnd w:id="10"/>
      <w:bookmarkEnd w:id="11"/>
      <w:bookmarkEnd w:id="12"/>
    </w:p>
    <w:p w14:paraId="6DD885D9" w14:textId="77777777" w:rsidR="004F65E4" w:rsidRPr="00B32AE6" w:rsidRDefault="004F65E4" w:rsidP="004F65E4">
      <w:pPr>
        <w:spacing w:after="120"/>
        <w:jc w:val="both"/>
        <w:rPr>
          <w:rFonts w:asciiTheme="majorBidi" w:hAnsiTheme="majorBidi"/>
          <w:b/>
          <w:color w:val="000000" w:themeColor="text1"/>
          <w:highlight w:val="yellow"/>
          <w:lang w:val="en-GB"/>
        </w:rPr>
      </w:pPr>
    </w:p>
    <w:p w14:paraId="2693CD6B" w14:textId="5DD770DA" w:rsidR="004F65E4" w:rsidRPr="00B32AE6" w:rsidRDefault="004F65E4" w:rsidP="00B32AE6">
      <w:pPr>
        <w:pStyle w:val="Heading3"/>
        <w:rPr>
          <w:rFonts w:asciiTheme="majorBidi" w:hAnsiTheme="majorBidi"/>
          <w:lang w:val="en-GB"/>
        </w:rPr>
      </w:pPr>
      <w:bookmarkStart w:id="13" w:name="_Toc421025862"/>
      <w:r w:rsidRPr="00F31509">
        <w:rPr>
          <w:rFonts w:asciiTheme="majorBidi" w:hAnsiTheme="majorBidi" w:cstheme="majorBidi"/>
          <w:lang w:val="en-GB"/>
        </w:rPr>
        <w:t>Trade data</w:t>
      </w:r>
      <w:r w:rsidRPr="00B32AE6">
        <w:rPr>
          <w:rFonts w:asciiTheme="majorBidi" w:hAnsiTheme="majorBidi"/>
          <w:lang w:val="en-GB"/>
        </w:rPr>
        <w:t xml:space="preserve"> products</w:t>
      </w:r>
      <w:bookmarkEnd w:id="13"/>
    </w:p>
    <w:p w14:paraId="0F3C57D1" w14:textId="419DA1E2" w:rsidR="004F65E4" w:rsidRPr="00B32AE6" w:rsidRDefault="004F65E4" w:rsidP="60226960">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The processing </w:t>
      </w:r>
      <w:r w:rsidRPr="00F31509">
        <w:rPr>
          <w:rFonts w:asciiTheme="majorBidi" w:eastAsia="Times New Roman" w:hAnsiTheme="majorBidi" w:cstheme="majorBidi"/>
          <w:color w:val="000000" w:themeColor="text1"/>
          <w:lang w:val="en-GB"/>
        </w:rPr>
        <w:t xml:space="preserve">of trade data at FAO </w:t>
      </w:r>
      <w:r w:rsidRPr="00B32AE6">
        <w:rPr>
          <w:rFonts w:asciiTheme="majorBidi" w:hAnsiTheme="majorBidi"/>
          <w:color w:val="000000" w:themeColor="text1"/>
          <w:lang w:val="en-GB"/>
        </w:rPr>
        <w:t xml:space="preserve">ultimately </w:t>
      </w:r>
      <w:r w:rsidRPr="00F31509">
        <w:rPr>
          <w:rFonts w:asciiTheme="majorBidi" w:eastAsia="Times New Roman" w:hAnsiTheme="majorBidi" w:cstheme="majorBidi"/>
          <w:color w:val="000000" w:themeColor="text1"/>
          <w:lang w:val="en-GB"/>
        </w:rPr>
        <w:t>renders</w:t>
      </w:r>
      <w:r w:rsidRPr="00B32AE6">
        <w:rPr>
          <w:rFonts w:asciiTheme="majorBidi" w:hAnsiTheme="majorBidi"/>
          <w:color w:val="000000" w:themeColor="text1"/>
          <w:lang w:val="en-GB"/>
        </w:rPr>
        <w:t xml:space="preserve"> </w:t>
      </w:r>
      <w:r w:rsidRPr="00B32AE6">
        <w:rPr>
          <w:rFonts w:asciiTheme="majorBidi" w:hAnsiTheme="majorBidi"/>
          <w:b/>
          <w:color w:val="000000" w:themeColor="text1"/>
          <w:lang w:val="en-GB"/>
        </w:rPr>
        <w:t>six</w:t>
      </w:r>
      <w:r w:rsidRPr="00B32AE6">
        <w:rPr>
          <w:rFonts w:asciiTheme="majorBidi" w:hAnsiTheme="majorBidi"/>
          <w:color w:val="000000" w:themeColor="text1"/>
          <w:lang w:val="en-GB"/>
        </w:rPr>
        <w:t xml:space="preserve"> </w:t>
      </w:r>
      <w:r w:rsidRPr="00F31509">
        <w:rPr>
          <w:rFonts w:asciiTheme="majorBidi" w:eastAsia="Times New Roman" w:hAnsiTheme="majorBidi" w:cstheme="majorBidi"/>
          <w:color w:val="000000" w:themeColor="text1"/>
          <w:lang w:val="en-GB"/>
        </w:rPr>
        <w:t xml:space="preserve">different trade </w:t>
      </w:r>
      <w:r w:rsidRPr="00B32AE6">
        <w:rPr>
          <w:rFonts w:asciiTheme="majorBidi" w:hAnsiTheme="majorBidi"/>
          <w:color w:val="000000" w:themeColor="text1"/>
          <w:lang w:val="en-GB"/>
        </w:rPr>
        <w:t>datasets</w:t>
      </w:r>
      <w:r w:rsidRPr="00F31509">
        <w:rPr>
          <w:rFonts w:asciiTheme="majorBidi" w:eastAsia="Times New Roman" w:hAnsiTheme="majorBidi" w:cstheme="majorBidi"/>
          <w:color w:val="000000" w:themeColor="text1"/>
          <w:lang w:val="en-GB"/>
        </w:rPr>
        <w:t>, all of which will be made available</w:t>
      </w:r>
      <w:r w:rsidRPr="00B32AE6">
        <w:rPr>
          <w:rFonts w:asciiTheme="majorBidi" w:hAnsiTheme="majorBidi"/>
          <w:color w:val="000000" w:themeColor="text1"/>
          <w:lang w:val="en-GB"/>
        </w:rPr>
        <w:t xml:space="preserve"> through FAOSTAT</w:t>
      </w:r>
      <w:r w:rsidRPr="00F31509">
        <w:rPr>
          <w:rFonts w:asciiTheme="majorBidi" w:eastAsia="Times New Roman" w:hAnsiTheme="majorBidi" w:cstheme="majorBidi"/>
          <w:color w:val="000000" w:themeColor="text1"/>
          <w:lang w:val="en-GB"/>
        </w:rPr>
        <w:t>. They include</w:t>
      </w:r>
      <w:r w:rsidRPr="00B32AE6">
        <w:rPr>
          <w:rFonts w:asciiTheme="majorBidi" w:hAnsiTheme="majorBidi"/>
          <w:color w:val="000000" w:themeColor="text1"/>
          <w:lang w:val="en-GB"/>
        </w:rPr>
        <w:t xml:space="preserve"> three </w:t>
      </w:r>
      <w:r w:rsidRPr="00F31509">
        <w:rPr>
          <w:rFonts w:asciiTheme="majorBidi" w:eastAsia="Times New Roman" w:hAnsiTheme="majorBidi" w:cstheme="majorBidi"/>
          <w:color w:val="000000" w:themeColor="text1"/>
          <w:lang w:val="en-GB"/>
        </w:rPr>
        <w:t xml:space="preserve">types </w:t>
      </w:r>
      <w:r w:rsidRPr="00B32AE6">
        <w:rPr>
          <w:rFonts w:asciiTheme="majorBidi" w:hAnsiTheme="majorBidi"/>
          <w:color w:val="000000" w:themeColor="text1"/>
          <w:lang w:val="en-GB"/>
        </w:rPr>
        <w:t xml:space="preserve">of trade matrices, and another three files with total trade only. The various products are summarized in </w:t>
      </w:r>
      <w:r w:rsidR="00004804">
        <w:fldChar w:fldCharType="begin"/>
      </w:r>
      <w:r w:rsidR="00004804">
        <w:instrText xml:space="preserve"> REF _Ref420069487 \h  \* MERGEFORMAT </w:instrText>
      </w:r>
      <w:r w:rsidR="00004804">
        <w:fldChar w:fldCharType="separate"/>
      </w:r>
      <w:r w:rsidR="000B360D" w:rsidRPr="00B32AE6">
        <w:rPr>
          <w:rFonts w:asciiTheme="majorBidi" w:hAnsiTheme="majorBidi"/>
          <w:color w:val="000000" w:themeColor="text1"/>
          <w:lang w:val="en-GB"/>
        </w:rPr>
        <w:t xml:space="preserve">Table </w:t>
      </w:r>
      <w:r w:rsidR="000B360D" w:rsidRPr="00F31509">
        <w:rPr>
          <w:rFonts w:asciiTheme="majorBidi" w:eastAsia="Times New Roman" w:hAnsiTheme="majorBidi" w:cstheme="majorBidi"/>
          <w:color w:val="000000" w:themeColor="text1"/>
          <w:lang w:val="en-GB"/>
        </w:rPr>
        <w:t>4</w:t>
      </w:r>
      <w:r w:rsidR="00004804">
        <w:fldChar w:fldCharType="end"/>
      </w:r>
      <w:r w:rsidRPr="00B32AE6">
        <w:rPr>
          <w:rFonts w:asciiTheme="majorBidi" w:hAnsiTheme="majorBidi"/>
          <w:color w:val="000000" w:themeColor="text1"/>
          <w:lang w:val="en-GB"/>
        </w:rPr>
        <w:t xml:space="preserve"> below. </w:t>
      </w:r>
    </w:p>
    <w:p w14:paraId="1901AD84" w14:textId="77777777" w:rsidR="004F65E4" w:rsidRPr="00B32AE6" w:rsidRDefault="004F65E4" w:rsidP="004F65E4">
      <w:pPr>
        <w:widowControl w:val="0"/>
        <w:spacing w:before="100" w:beforeAutospacing="1" w:after="120"/>
        <w:jc w:val="both"/>
        <w:rPr>
          <w:rFonts w:asciiTheme="majorBidi" w:hAnsiTheme="majorBidi"/>
          <w:color w:val="000000" w:themeColor="text1"/>
          <w:lang w:val="en-GB"/>
        </w:rPr>
      </w:pPr>
    </w:p>
    <w:p w14:paraId="706A6A75" w14:textId="0D713C19" w:rsidR="004F65E4" w:rsidRPr="00B32AE6" w:rsidRDefault="004F65E4" w:rsidP="00B32AE6">
      <w:pPr>
        <w:pStyle w:val="Caption"/>
        <w:keepNext/>
        <w:jc w:val="both"/>
        <w:rPr>
          <w:rFonts w:asciiTheme="majorBidi" w:hAnsiTheme="majorBidi"/>
          <w:b/>
          <w:color w:val="000000" w:themeColor="text1"/>
          <w:lang w:val="en-GB"/>
        </w:rPr>
      </w:pPr>
      <w:bookmarkStart w:id="14" w:name="_Ref420069487"/>
      <w:bookmarkStart w:id="15" w:name="_Toc421026240"/>
      <w:bookmarkStart w:id="16" w:name="_Toc428423543"/>
      <w:r w:rsidRPr="00B32AE6">
        <w:rPr>
          <w:rFonts w:asciiTheme="majorBidi" w:hAnsiTheme="majorBidi"/>
          <w:color w:val="000000" w:themeColor="text1"/>
          <w:lang w:val="en-GB"/>
        </w:rPr>
        <w:lastRenderedPageBreak/>
        <w:t xml:space="preserve">Table </w:t>
      </w:r>
      <w:r w:rsidR="00846B16" w:rsidRPr="00B32AE6">
        <w:rPr>
          <w:rFonts w:asciiTheme="majorBidi" w:hAnsiTheme="majorBidi"/>
          <w:b/>
          <w:color w:val="000000" w:themeColor="text1"/>
          <w:lang w:val="en-GB"/>
        </w:rPr>
        <w:fldChar w:fldCharType="begin"/>
      </w:r>
      <w:r w:rsidRPr="00F31509">
        <w:rPr>
          <w:rFonts w:asciiTheme="majorBidi" w:hAnsiTheme="majorBidi" w:cstheme="majorBidi"/>
          <w:color w:val="000000" w:themeColor="text1"/>
          <w:lang w:val="en-GB"/>
        </w:rPr>
        <w:instrText xml:space="preserve"> SEQ Table \* ARABIC </w:instrText>
      </w:r>
      <w:r w:rsidR="00846B16" w:rsidRPr="00B32AE6">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4</w:t>
      </w:r>
      <w:r w:rsidR="00846B16" w:rsidRPr="00B32AE6">
        <w:rPr>
          <w:rFonts w:asciiTheme="majorBidi" w:hAnsiTheme="majorBidi"/>
          <w:b/>
          <w:color w:val="000000" w:themeColor="text1"/>
          <w:lang w:val="en-GB"/>
        </w:rPr>
        <w:fldChar w:fldCharType="end"/>
      </w:r>
      <w:bookmarkEnd w:id="14"/>
      <w:r w:rsidRPr="00B32AE6">
        <w:rPr>
          <w:rFonts w:asciiTheme="majorBidi" w:hAnsiTheme="majorBidi"/>
          <w:color w:val="000000" w:themeColor="text1"/>
          <w:lang w:val="en-GB"/>
        </w:rPr>
        <w:t>: Trade products</w:t>
      </w:r>
      <w:bookmarkEnd w:id="15"/>
      <w:bookmarkEnd w:id="16"/>
    </w:p>
    <w:tbl>
      <w:tblPr>
        <w:tblStyle w:val="TableClassic1"/>
        <w:tblW w:w="0" w:type="auto"/>
        <w:tblLook w:val="04A0" w:firstRow="1" w:lastRow="0" w:firstColumn="1" w:lastColumn="0" w:noHBand="0" w:noVBand="1"/>
      </w:tblPr>
      <w:tblGrid>
        <w:gridCol w:w="2309"/>
        <w:gridCol w:w="2312"/>
        <w:gridCol w:w="2310"/>
        <w:gridCol w:w="2311"/>
      </w:tblGrid>
      <w:tr w:rsidR="004F65E4" w:rsidRPr="00F31509" w14:paraId="7C01BD55" w14:textId="77777777" w:rsidTr="00B32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3D82EB9D" w14:textId="77777777" w:rsidR="004F65E4" w:rsidRPr="00B32AE6" w:rsidRDefault="004F65E4" w:rsidP="004F65E4">
            <w:pPr>
              <w:keepNext/>
              <w:spacing w:before="100" w:beforeAutospacing="1" w:after="120"/>
              <w:jc w:val="center"/>
              <w:rPr>
                <w:rFonts w:asciiTheme="majorBidi" w:hAnsiTheme="majorBidi"/>
                <w:b/>
                <w:color w:val="000000" w:themeColor="text1"/>
                <w:lang w:val="en-GB"/>
              </w:rPr>
            </w:pPr>
            <w:r w:rsidRPr="00B32AE6">
              <w:rPr>
                <w:rFonts w:asciiTheme="majorBidi" w:hAnsiTheme="majorBidi"/>
                <w:color w:val="000000" w:themeColor="text1"/>
                <w:lang w:val="en-GB"/>
              </w:rPr>
              <w:t>Dissemination products</w:t>
            </w:r>
          </w:p>
        </w:tc>
        <w:tc>
          <w:tcPr>
            <w:tcW w:w="2321" w:type="dxa"/>
          </w:tcPr>
          <w:p w14:paraId="6295A918" w14:textId="77777777" w:rsidR="004F65E4" w:rsidRPr="00B32AE6" w:rsidRDefault="004F65E4" w:rsidP="00B32AE6">
            <w:pPr>
              <w:pStyle w:val="ListParagraph"/>
              <w:keepNext/>
              <w:numPr>
                <w:ilvl w:val="0"/>
                <w:numId w:val="17"/>
              </w:numPr>
              <w:spacing w:before="100" w:beforeAutospacing="1" w:after="120" w:line="240" w:lineRule="auto"/>
              <w:ind w:left="513" w:hanging="425"/>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color w:val="000000" w:themeColor="text1"/>
              </w:rPr>
              <w:t xml:space="preserve">UN </w:t>
            </w:r>
            <w:proofErr w:type="spellStart"/>
            <w:r w:rsidRPr="00B32AE6">
              <w:rPr>
                <w:rFonts w:asciiTheme="majorBidi" w:hAnsiTheme="majorBidi"/>
                <w:color w:val="000000" w:themeColor="text1"/>
              </w:rPr>
              <w:t>Comtrade</w:t>
            </w:r>
            <w:proofErr w:type="spellEnd"/>
          </w:p>
        </w:tc>
        <w:tc>
          <w:tcPr>
            <w:tcW w:w="2322" w:type="dxa"/>
          </w:tcPr>
          <w:p w14:paraId="2284ED5D" w14:textId="77777777" w:rsidR="004F65E4" w:rsidRPr="00B32AE6" w:rsidRDefault="004F65E4" w:rsidP="00B32AE6">
            <w:pPr>
              <w:pStyle w:val="ListParagraph"/>
              <w:keepNext/>
              <w:numPr>
                <w:ilvl w:val="0"/>
                <w:numId w:val="17"/>
              </w:numPr>
              <w:spacing w:before="100" w:beforeAutospacing="1" w:after="120" w:line="240" w:lineRule="auto"/>
              <w:ind w:left="460" w:hanging="425"/>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color w:val="000000" w:themeColor="text1"/>
              </w:rPr>
              <w:t>Mirrored flows</w:t>
            </w:r>
          </w:p>
        </w:tc>
        <w:tc>
          <w:tcPr>
            <w:tcW w:w="2322" w:type="dxa"/>
          </w:tcPr>
          <w:p w14:paraId="6092D4FC" w14:textId="77777777" w:rsidR="004F65E4" w:rsidRPr="00B32AE6" w:rsidRDefault="004F65E4" w:rsidP="00B32AE6">
            <w:pPr>
              <w:pStyle w:val="ListParagraph"/>
              <w:keepNext/>
              <w:numPr>
                <w:ilvl w:val="0"/>
                <w:numId w:val="17"/>
              </w:numPr>
              <w:spacing w:before="100" w:beforeAutospacing="1" w:after="120" w:line="240" w:lineRule="auto"/>
              <w:ind w:left="406" w:hanging="283"/>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color w:val="000000" w:themeColor="text1"/>
              </w:rPr>
              <w:t>Balanced trade</w:t>
            </w:r>
          </w:p>
        </w:tc>
      </w:tr>
      <w:tr w:rsidR="004F65E4" w:rsidRPr="00F31509" w14:paraId="31F8DE0A"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69C95465" w14:textId="77777777" w:rsidR="004F65E4" w:rsidRPr="00B32AE6" w:rsidRDefault="004F65E4" w:rsidP="004F65E4">
            <w:pPr>
              <w:keepNext/>
              <w:spacing w:before="100" w:beforeAutospacing="1" w:after="120"/>
              <w:jc w:val="center"/>
              <w:rPr>
                <w:rFonts w:asciiTheme="majorBidi" w:hAnsiTheme="majorBidi"/>
                <w:b/>
                <w:color w:val="000000" w:themeColor="text1"/>
                <w:lang w:val="en-GB"/>
              </w:rPr>
            </w:pPr>
            <w:r w:rsidRPr="00B32AE6">
              <w:rPr>
                <w:rFonts w:asciiTheme="majorBidi" w:hAnsiTheme="majorBidi"/>
                <w:color w:val="000000" w:themeColor="text1"/>
                <w:lang w:val="en-GB"/>
              </w:rPr>
              <w:t>Matrixes of flows</w:t>
            </w:r>
          </w:p>
        </w:tc>
        <w:tc>
          <w:tcPr>
            <w:tcW w:w="2321" w:type="dxa"/>
          </w:tcPr>
          <w:p w14:paraId="6BB7A3E5"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Cleaned for errors and misreporting.</w:t>
            </w:r>
          </w:p>
        </w:tc>
        <w:tc>
          <w:tcPr>
            <w:tcW w:w="2322" w:type="dxa"/>
          </w:tcPr>
          <w:p w14:paraId="7F177608"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Cleaned for errors and misreporting</w:t>
            </w:r>
          </w:p>
        </w:tc>
        <w:tc>
          <w:tcPr>
            <w:tcW w:w="2322" w:type="dxa"/>
          </w:tcPr>
          <w:p w14:paraId="42181C0C"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Cleaned for errors and misreporting</w:t>
            </w:r>
          </w:p>
        </w:tc>
      </w:tr>
      <w:tr w:rsidR="004F65E4" w:rsidRPr="00F31509" w14:paraId="5BDB4D70"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336AEBC4"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27E398A5"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No data overwritten</w:t>
            </w:r>
          </w:p>
        </w:tc>
        <w:tc>
          <w:tcPr>
            <w:tcW w:w="2322" w:type="dxa"/>
          </w:tcPr>
          <w:p w14:paraId="6163AEA2" w14:textId="77777777" w:rsidR="00EA6005" w:rsidRPr="00B32AE6" w:rsidRDefault="00AA4884" w:rsidP="004C59F2">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Data gaps filled thru mirroring</w:t>
            </w:r>
          </w:p>
        </w:tc>
        <w:tc>
          <w:tcPr>
            <w:tcW w:w="2322" w:type="dxa"/>
          </w:tcPr>
          <w:p w14:paraId="482F5BA3" w14:textId="77777777" w:rsidR="00EA6005" w:rsidRPr="00B32AE6" w:rsidRDefault="00AA4884" w:rsidP="004C59F2">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Data gaps filled thru mirroring</w:t>
            </w:r>
          </w:p>
        </w:tc>
      </w:tr>
      <w:tr w:rsidR="004F65E4" w:rsidRPr="00F31509" w14:paraId="0030D9BB"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073697A2"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5463E270"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No data added</w:t>
            </w:r>
          </w:p>
        </w:tc>
        <w:tc>
          <w:tcPr>
            <w:tcW w:w="2322" w:type="dxa"/>
          </w:tcPr>
          <w:p w14:paraId="16F2D28F" w14:textId="77777777" w:rsidR="00EA6005" w:rsidRPr="00B32AE6" w:rsidRDefault="00AA4884" w:rsidP="004C59F2">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IUV/EUV calculated and data gaps filled thru imputation (Q/V and V/Q)</w:t>
            </w:r>
          </w:p>
        </w:tc>
        <w:tc>
          <w:tcPr>
            <w:tcW w:w="2322" w:type="dxa"/>
          </w:tcPr>
          <w:p w14:paraId="7C8472B1" w14:textId="77777777" w:rsidR="00EA6005" w:rsidRPr="00B32AE6" w:rsidRDefault="00AA4884" w:rsidP="004C59F2">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IUV/EUV calculated and data gaps filled thru imputation (Q/V and V/Q</w:t>
            </w:r>
          </w:p>
        </w:tc>
      </w:tr>
      <w:tr w:rsidR="004F65E4" w:rsidRPr="00F31509" w14:paraId="75F8273F"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6D1D7DEC"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1F74C046"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c>
          <w:tcPr>
            <w:tcW w:w="2322" w:type="dxa"/>
          </w:tcPr>
          <w:p w14:paraId="5D00F0C1"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Official data kept intact</w:t>
            </w:r>
          </w:p>
        </w:tc>
        <w:tc>
          <w:tcPr>
            <w:tcW w:w="2322" w:type="dxa"/>
          </w:tcPr>
          <w:p w14:paraId="08210637"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Official over-written, where necessary</w:t>
            </w:r>
          </w:p>
        </w:tc>
      </w:tr>
      <w:tr w:rsidR="004F65E4" w:rsidRPr="00F31509" w14:paraId="4B3C2E97"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4C068FBA"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32C4A55E"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c>
          <w:tcPr>
            <w:tcW w:w="2322" w:type="dxa"/>
          </w:tcPr>
          <w:p w14:paraId="3D08D5F9"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c>
          <w:tcPr>
            <w:tcW w:w="2322" w:type="dxa"/>
          </w:tcPr>
          <w:p w14:paraId="17058E99"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r w:rsidRPr="00B32AE6">
              <w:rPr>
                <w:rFonts w:asciiTheme="majorBidi" w:hAnsiTheme="majorBidi"/>
                <w:color w:val="000000" w:themeColor="text1"/>
                <w:lang w:val="en-GB"/>
              </w:rPr>
              <w:t>Balanced trade, endorsement factors</w:t>
            </w:r>
          </w:p>
        </w:tc>
      </w:tr>
      <w:tr w:rsidR="004F65E4" w:rsidRPr="00F31509" w14:paraId="02986978"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5ED43ABC" w14:textId="77777777" w:rsidR="004F65E4" w:rsidRPr="00B32AE6" w:rsidRDefault="004F65E4" w:rsidP="004F65E4">
            <w:pPr>
              <w:keepNext/>
              <w:spacing w:before="100" w:beforeAutospacing="1" w:after="120"/>
              <w:jc w:val="center"/>
              <w:rPr>
                <w:rFonts w:asciiTheme="majorBidi" w:hAnsiTheme="majorBidi"/>
                <w:b/>
                <w:color w:val="000000" w:themeColor="text1"/>
                <w:lang w:val="en-GB"/>
              </w:rPr>
            </w:pPr>
            <w:r w:rsidRPr="00B32AE6">
              <w:rPr>
                <w:rFonts w:asciiTheme="majorBidi" w:hAnsiTheme="majorBidi"/>
                <w:color w:val="000000" w:themeColor="text1"/>
                <w:lang w:val="en-GB"/>
              </w:rPr>
              <w:t>Total trade</w:t>
            </w:r>
          </w:p>
        </w:tc>
        <w:tc>
          <w:tcPr>
            <w:tcW w:w="2321" w:type="dxa"/>
          </w:tcPr>
          <w:p w14:paraId="0EDE1D02" w14:textId="77777777" w:rsidR="004F65E4" w:rsidRPr="00B32AE6" w:rsidRDefault="004F65E4" w:rsidP="00B32AE6">
            <w:pPr>
              <w:pStyle w:val="ListParagraph"/>
              <w:keepNext/>
              <w:numPr>
                <w:ilvl w:val="0"/>
                <w:numId w:val="17"/>
              </w:numPr>
              <w:spacing w:before="100" w:beforeAutospacing="1" w:after="120" w:line="240" w:lineRule="auto"/>
              <w:ind w:left="387"/>
              <w:jc w:val="center"/>
              <w:cnfStyle w:val="000000000000" w:firstRow="0"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b/>
                <w:color w:val="000000" w:themeColor="text1"/>
              </w:rPr>
              <w:t>Imbalanced official</w:t>
            </w:r>
          </w:p>
        </w:tc>
        <w:tc>
          <w:tcPr>
            <w:tcW w:w="2322" w:type="dxa"/>
          </w:tcPr>
          <w:p w14:paraId="7A0B9FFA" w14:textId="77777777" w:rsidR="004F65E4" w:rsidRPr="00B32AE6" w:rsidRDefault="004F65E4" w:rsidP="00B32AE6">
            <w:pPr>
              <w:pStyle w:val="ListParagraph"/>
              <w:keepNext/>
              <w:numPr>
                <w:ilvl w:val="0"/>
                <w:numId w:val="17"/>
              </w:numPr>
              <w:spacing w:before="100" w:beforeAutospacing="1" w:after="120" w:line="240" w:lineRule="auto"/>
              <w:ind w:left="319" w:hanging="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b/>
                <w:color w:val="000000" w:themeColor="text1"/>
              </w:rPr>
              <w:t>Mirrored and imputed, but still imbalanced</w:t>
            </w:r>
          </w:p>
        </w:tc>
        <w:tc>
          <w:tcPr>
            <w:tcW w:w="2322" w:type="dxa"/>
          </w:tcPr>
          <w:p w14:paraId="2B053A40" w14:textId="77777777" w:rsidR="004F65E4" w:rsidRPr="00B32AE6" w:rsidRDefault="004F65E4" w:rsidP="00B32AE6">
            <w:pPr>
              <w:pStyle w:val="ListParagraph"/>
              <w:keepNext/>
              <w:numPr>
                <w:ilvl w:val="0"/>
                <w:numId w:val="17"/>
              </w:numPr>
              <w:spacing w:before="100" w:beforeAutospacing="1" w:after="120" w:line="240" w:lineRule="auto"/>
              <w:ind w:left="265" w:hanging="265"/>
              <w:jc w:val="center"/>
              <w:cnfStyle w:val="000000000000" w:firstRow="0" w:lastRow="0" w:firstColumn="0" w:lastColumn="0" w:oddVBand="0" w:evenVBand="0" w:oddHBand="0" w:evenHBand="0" w:firstRowFirstColumn="0" w:firstRowLastColumn="0" w:lastRowFirstColumn="0" w:lastRowLastColumn="0"/>
              <w:rPr>
                <w:rFonts w:asciiTheme="majorBidi" w:hAnsiTheme="majorBidi"/>
                <w:b/>
                <w:color w:val="000000" w:themeColor="text1"/>
              </w:rPr>
            </w:pPr>
            <w:r w:rsidRPr="00B32AE6">
              <w:rPr>
                <w:rFonts w:asciiTheme="majorBidi" w:hAnsiTheme="majorBidi"/>
                <w:b/>
                <w:color w:val="000000" w:themeColor="text1"/>
              </w:rPr>
              <w:t>Balanced trade</w:t>
            </w:r>
          </w:p>
        </w:tc>
      </w:tr>
      <w:tr w:rsidR="004F65E4" w:rsidRPr="00F31509" w14:paraId="6116DB4F" w14:textId="77777777" w:rsidTr="00B32AE6">
        <w:trPr>
          <w:trHeight w:val="622"/>
        </w:trPr>
        <w:tc>
          <w:tcPr>
            <w:cnfStyle w:val="001000000000" w:firstRow="0" w:lastRow="0" w:firstColumn="1" w:lastColumn="0" w:oddVBand="0" w:evenVBand="0" w:oddHBand="0" w:evenHBand="0" w:firstRowFirstColumn="0" w:firstRowLastColumn="0" w:lastRowFirstColumn="0" w:lastRowLastColumn="0"/>
            <w:tcW w:w="2322" w:type="dxa"/>
          </w:tcPr>
          <w:p w14:paraId="2C12C742"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6772FE53" w14:textId="31FCF9A8" w:rsidR="004F65E4" w:rsidRPr="00F31509" w:rsidRDefault="004F65E4" w:rsidP="004F65E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sidRPr="00F31509">
              <w:rPr>
                <w:rFonts w:asciiTheme="majorBidi" w:hAnsiTheme="majorBidi" w:cstheme="majorBidi"/>
                <w:color w:val="000000" w:themeColor="text1"/>
                <w:lang w:val="en-GB"/>
              </w:rPr>
              <w:t>Total exports and imports are reported by country, but</w:t>
            </w:r>
          </w:p>
          <w:p w14:paraId="4193B4B5"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c>
          <w:tcPr>
            <w:tcW w:w="2322" w:type="dxa"/>
          </w:tcPr>
          <w:p w14:paraId="5A885593" w14:textId="32A5886B" w:rsidR="004F65E4" w:rsidRPr="00F31509" w:rsidRDefault="004F65E4" w:rsidP="004F65E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sidRPr="00F31509">
              <w:rPr>
                <w:rFonts w:asciiTheme="majorBidi" w:hAnsiTheme="majorBidi" w:cstheme="majorBidi"/>
                <w:color w:val="000000" w:themeColor="text1"/>
                <w:lang w:val="en-GB"/>
              </w:rPr>
              <w:t>Total exports and imports are reported by country, but</w:t>
            </w:r>
          </w:p>
          <w:p w14:paraId="3B47CFBB"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c>
          <w:tcPr>
            <w:tcW w:w="2322" w:type="dxa"/>
          </w:tcPr>
          <w:p w14:paraId="4CF8FEEB" w14:textId="7709BD5D" w:rsidR="004F65E4" w:rsidRPr="00F31509" w:rsidRDefault="004F65E4" w:rsidP="004F65E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GB"/>
              </w:rPr>
            </w:pPr>
            <w:r w:rsidRPr="00F31509">
              <w:rPr>
                <w:rFonts w:asciiTheme="majorBidi" w:hAnsiTheme="majorBidi" w:cstheme="majorBidi"/>
                <w:color w:val="000000" w:themeColor="text1"/>
                <w:lang w:val="en-GB"/>
              </w:rPr>
              <w:t>Total exports and imports are reported by country, and</w:t>
            </w:r>
          </w:p>
          <w:p w14:paraId="075849E0" w14:textId="77777777" w:rsidR="004F65E4" w:rsidRPr="00B32AE6" w:rsidRDefault="004F65E4"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w:p>
        </w:tc>
      </w:tr>
      <w:tr w:rsidR="004F65E4" w:rsidRPr="00F31509" w14:paraId="6CEFD106" w14:textId="77777777" w:rsidTr="00B32AE6">
        <w:tc>
          <w:tcPr>
            <w:cnfStyle w:val="001000000000" w:firstRow="0" w:lastRow="0" w:firstColumn="1" w:lastColumn="0" w:oddVBand="0" w:evenVBand="0" w:oddHBand="0" w:evenHBand="0" w:firstRowFirstColumn="0" w:firstRowLastColumn="0" w:lastRowFirstColumn="0" w:lastRowLastColumn="0"/>
            <w:tcW w:w="2322" w:type="dxa"/>
          </w:tcPr>
          <w:p w14:paraId="44E843BC" w14:textId="77777777" w:rsidR="004F65E4" w:rsidRPr="00B32AE6" w:rsidRDefault="004F65E4" w:rsidP="004F65E4">
            <w:pPr>
              <w:keepNext/>
              <w:spacing w:before="100" w:beforeAutospacing="1" w:after="120"/>
              <w:jc w:val="center"/>
              <w:rPr>
                <w:rFonts w:asciiTheme="majorBidi" w:hAnsiTheme="majorBidi"/>
                <w:color w:val="000000" w:themeColor="text1"/>
                <w:lang w:val="en-GB"/>
              </w:rPr>
            </w:pPr>
          </w:p>
        </w:tc>
        <w:tc>
          <w:tcPr>
            <w:tcW w:w="2321" w:type="dxa"/>
          </w:tcPr>
          <w:p w14:paraId="1D7B5B91" w14:textId="3B68ABF4" w:rsidR="004F65E4" w:rsidRPr="00B32AE6" w:rsidRDefault="00F13769"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m:oMathPara>
              <m:oMath>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X</m:t>
                        </m:r>
                      </m:e>
                      <m:sub>
                        <m:r>
                          <w:rPr>
                            <w:rFonts w:ascii="Cambria Math" w:hAnsi="Cambria Math" w:cstheme="majorBidi"/>
                            <w:color w:val="000000" w:themeColor="text1"/>
                            <w:lang w:val="en-GB"/>
                          </w:rPr>
                          <m:t>i</m:t>
                        </m:r>
                      </m:sub>
                    </m:sSub>
                  </m:e>
                </m:nary>
                <m:r>
                  <w:rPr>
                    <w:rFonts w:ascii="Cambria Math" w:hAnsi="Cambria Math" w:cstheme="majorBidi"/>
                    <w:color w:val="000000" w:themeColor="text1"/>
                    <w:lang w:val="en-GB"/>
                  </w:rPr>
                  <m:t>≠</m:t>
                </m:r>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I</m:t>
                        </m:r>
                      </m:e>
                      <m:sub>
                        <m:r>
                          <w:rPr>
                            <w:rFonts w:ascii="Cambria Math" w:hAnsi="Cambria Math" w:cstheme="majorBidi"/>
                            <w:color w:val="000000" w:themeColor="text1"/>
                            <w:lang w:val="en-GB"/>
                          </w:rPr>
                          <m:t>i</m:t>
                        </m:r>
                      </m:sub>
                    </m:sSub>
                  </m:e>
                </m:nary>
              </m:oMath>
            </m:oMathPara>
          </w:p>
        </w:tc>
        <w:tc>
          <w:tcPr>
            <w:tcW w:w="2322" w:type="dxa"/>
          </w:tcPr>
          <w:p w14:paraId="20747C1B" w14:textId="73B0D9C8" w:rsidR="004F65E4" w:rsidRPr="00B32AE6" w:rsidRDefault="00F13769"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m:oMathPara>
              <m:oMath>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X</m:t>
                        </m:r>
                      </m:e>
                      <m:sub>
                        <m:r>
                          <w:rPr>
                            <w:rFonts w:ascii="Cambria Math" w:hAnsi="Cambria Math" w:cstheme="majorBidi"/>
                            <w:color w:val="000000" w:themeColor="text1"/>
                            <w:lang w:val="en-GB"/>
                          </w:rPr>
                          <m:t>i</m:t>
                        </m:r>
                      </m:sub>
                    </m:sSub>
                  </m:e>
                </m:nary>
                <m:r>
                  <w:rPr>
                    <w:rFonts w:ascii="Cambria Math" w:hAnsi="Cambria Math" w:cstheme="majorBidi"/>
                    <w:color w:val="000000" w:themeColor="text1"/>
                    <w:lang w:val="en-GB"/>
                  </w:rPr>
                  <m:t>≠</m:t>
                </m:r>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I</m:t>
                        </m:r>
                      </m:e>
                      <m:sub>
                        <m:r>
                          <w:rPr>
                            <w:rFonts w:ascii="Cambria Math" w:hAnsi="Cambria Math" w:cstheme="majorBidi"/>
                            <w:color w:val="000000" w:themeColor="text1"/>
                            <w:lang w:val="en-GB"/>
                          </w:rPr>
                          <m:t>i</m:t>
                        </m:r>
                      </m:sub>
                    </m:sSub>
                  </m:e>
                </m:nary>
              </m:oMath>
            </m:oMathPara>
          </w:p>
        </w:tc>
        <w:tc>
          <w:tcPr>
            <w:tcW w:w="2322" w:type="dxa"/>
          </w:tcPr>
          <w:p w14:paraId="2FC9D4A7" w14:textId="0EE7661D" w:rsidR="004F65E4" w:rsidRPr="00B32AE6" w:rsidRDefault="00F13769" w:rsidP="004F65E4">
            <w:pPr>
              <w:keepNext/>
              <w:spacing w:before="100" w:beforeAutospacing="1" w:after="120"/>
              <w:jc w:val="center"/>
              <w:cnfStyle w:val="000000000000" w:firstRow="0" w:lastRow="0" w:firstColumn="0" w:lastColumn="0" w:oddVBand="0" w:evenVBand="0" w:oddHBand="0" w:evenHBand="0" w:firstRowFirstColumn="0" w:firstRowLastColumn="0" w:lastRowFirstColumn="0" w:lastRowLastColumn="0"/>
              <w:rPr>
                <w:rFonts w:asciiTheme="majorBidi" w:hAnsiTheme="majorBidi"/>
                <w:color w:val="000000" w:themeColor="text1"/>
                <w:lang w:val="en-GB"/>
              </w:rPr>
            </w:pPr>
            <m:oMathPara>
              <m:oMath>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X</m:t>
                        </m:r>
                      </m:e>
                      <m:sub>
                        <m:r>
                          <w:rPr>
                            <w:rFonts w:ascii="Cambria Math" w:hAnsi="Cambria Math" w:cstheme="majorBidi"/>
                            <w:color w:val="000000" w:themeColor="text1"/>
                            <w:lang w:val="en-GB"/>
                          </w:rPr>
                          <m:t>i</m:t>
                        </m:r>
                      </m:sub>
                    </m:sSub>
                  </m:e>
                </m:nary>
                <m:r>
                  <w:rPr>
                    <w:rFonts w:ascii="Cambria Math" w:hAnsi="Cambria Math" w:cstheme="majorBidi"/>
                    <w:color w:val="000000" w:themeColor="text1"/>
                    <w:lang w:val="en-GB"/>
                  </w:rPr>
                  <m:t>=</m:t>
                </m:r>
                <m:nary>
                  <m:naryPr>
                    <m:chr m:val="∑"/>
                    <m:limLoc m:val="undOvr"/>
                    <m:ctrlPr>
                      <w:rPr>
                        <w:rFonts w:ascii="Cambria Math" w:hAnsi="Cambria Math" w:cstheme="majorBidi"/>
                        <w:i/>
                        <w:color w:val="000000" w:themeColor="text1"/>
                        <w:lang w:val="en-GB"/>
                      </w:rPr>
                    </m:ctrlPr>
                  </m:naryPr>
                  <m:sub>
                    <m:r>
                      <w:rPr>
                        <w:rFonts w:ascii="Cambria Math" w:hAnsi="Cambria Math" w:cstheme="majorBidi"/>
                        <w:color w:val="000000" w:themeColor="text1"/>
                        <w:lang w:val="en-GB"/>
                      </w:rPr>
                      <m:t>i</m:t>
                    </m:r>
                  </m:sub>
                  <m:sup>
                    <m:r>
                      <w:rPr>
                        <w:rFonts w:ascii="Cambria Math" w:hAnsi="Cambria Math" w:cstheme="majorBidi"/>
                        <w:color w:val="000000" w:themeColor="text1"/>
                        <w:lang w:val="en-GB"/>
                      </w:rPr>
                      <m:t>n</m:t>
                    </m:r>
                  </m:sup>
                  <m:e>
                    <m:sSub>
                      <m:sSubPr>
                        <m:ctrlPr>
                          <w:rPr>
                            <w:rFonts w:ascii="Cambria Math" w:hAnsi="Cambria Math" w:cstheme="majorBidi"/>
                            <w:i/>
                            <w:color w:val="000000" w:themeColor="text1"/>
                            <w:lang w:val="en-GB"/>
                          </w:rPr>
                        </m:ctrlPr>
                      </m:sSubPr>
                      <m:e>
                        <m:r>
                          <w:rPr>
                            <w:rFonts w:ascii="Cambria Math" w:hAnsi="Cambria Math" w:cstheme="majorBidi"/>
                            <w:color w:val="000000" w:themeColor="text1"/>
                            <w:lang w:val="en-GB"/>
                          </w:rPr>
                          <m:t>I</m:t>
                        </m:r>
                      </m:e>
                      <m:sub>
                        <m:r>
                          <w:rPr>
                            <w:rFonts w:ascii="Cambria Math" w:hAnsi="Cambria Math" w:cstheme="majorBidi"/>
                            <w:color w:val="000000" w:themeColor="text1"/>
                            <w:lang w:val="en-GB"/>
                          </w:rPr>
                          <m:t>i</m:t>
                        </m:r>
                      </m:sub>
                    </m:sSub>
                  </m:e>
                </m:nary>
              </m:oMath>
            </m:oMathPara>
          </w:p>
        </w:tc>
      </w:tr>
    </w:tbl>
    <w:p w14:paraId="4732C286" w14:textId="77777777" w:rsidR="004F65E4" w:rsidRPr="00B32AE6" w:rsidRDefault="004F65E4" w:rsidP="004F65E4">
      <w:pPr>
        <w:rPr>
          <w:rFonts w:asciiTheme="majorBidi" w:hAnsiTheme="majorBidi"/>
          <w:b/>
          <w:color w:val="000000" w:themeColor="text1"/>
          <w:lang w:val="en-GB"/>
        </w:rPr>
      </w:pPr>
    </w:p>
    <w:p w14:paraId="015D6560" w14:textId="77777777" w:rsidR="004F65E4" w:rsidRPr="00B32AE6" w:rsidRDefault="004F65E4" w:rsidP="00B32AE6">
      <w:pPr>
        <w:pStyle w:val="Heading4"/>
        <w:rPr>
          <w:rFonts w:asciiTheme="majorBidi" w:hAnsiTheme="majorBidi"/>
          <w:lang w:val="en-GB"/>
        </w:rPr>
      </w:pPr>
      <w:r w:rsidRPr="00B32AE6">
        <w:rPr>
          <w:rFonts w:asciiTheme="majorBidi" w:hAnsiTheme="majorBidi"/>
          <w:lang w:val="en-GB"/>
        </w:rPr>
        <w:t>Calculating export and import unit values (EUV/IUV)</w:t>
      </w:r>
    </w:p>
    <w:p w14:paraId="7706CD6B" w14:textId="3890880E" w:rsidR="004F65E4" w:rsidRPr="00B32AE6" w:rsidRDefault="004F65E4" w:rsidP="60226960">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The overview provided in </w:t>
      </w:r>
      <w:r w:rsidR="00004804">
        <w:fldChar w:fldCharType="begin"/>
      </w:r>
      <w:r w:rsidR="00004804">
        <w:instrText xml:space="preserve"> REF _Ref420069487 \h  \* MERGEFORMAT </w:instrText>
      </w:r>
      <w:r w:rsidR="00004804">
        <w:fldChar w:fldCharType="separate"/>
      </w:r>
      <w:r w:rsidR="00AA4884" w:rsidRPr="00B32AE6">
        <w:rPr>
          <w:rFonts w:asciiTheme="majorBidi" w:hAnsiTheme="majorBidi"/>
          <w:color w:val="000000" w:themeColor="text1"/>
          <w:lang w:val="en-GB"/>
        </w:rPr>
        <w:t xml:space="preserve">Table </w:t>
      </w:r>
      <w:r w:rsidR="00AA4884" w:rsidRPr="00F31509">
        <w:rPr>
          <w:rFonts w:asciiTheme="majorBidi" w:eastAsia="Times New Roman" w:hAnsiTheme="majorBidi" w:cstheme="majorBidi"/>
          <w:color w:val="000000" w:themeColor="text1"/>
          <w:lang w:val="en-GB"/>
        </w:rPr>
        <w:t>4</w:t>
      </w:r>
      <w:r w:rsidR="00004804">
        <w:fldChar w:fldCharType="end"/>
      </w:r>
      <w:r w:rsidRPr="00B32AE6">
        <w:rPr>
          <w:rFonts w:asciiTheme="majorBidi" w:hAnsiTheme="majorBidi"/>
          <w:color w:val="000000" w:themeColor="text1"/>
          <w:lang w:val="en-GB"/>
        </w:rPr>
        <w:t xml:space="preserve"> identifies export unit values and import unit values as the key factors to impute missing quantities from existing value flows, or</w:t>
      </w:r>
      <w:r w:rsidR="009B6378" w:rsidRPr="00F31509">
        <w:rPr>
          <w:rFonts w:asciiTheme="majorBidi" w:eastAsia="Times New Roman" w:hAnsiTheme="majorBidi" w:cstheme="majorBidi"/>
          <w:color w:val="000000" w:themeColor="text1"/>
          <w:lang w:val="en-GB"/>
        </w:rPr>
        <w:t>, much less frequently,</w:t>
      </w:r>
      <w:r w:rsidRPr="00B32AE6">
        <w:rPr>
          <w:rFonts w:asciiTheme="majorBidi" w:hAnsiTheme="majorBidi"/>
          <w:color w:val="000000" w:themeColor="text1"/>
          <w:lang w:val="en-GB"/>
        </w:rPr>
        <w:t xml:space="preserve"> missing value flows from existing quantity flows. The process of imputing as such is straightforward; the choice of the most appropriate unit value is not. In theory, there are competing alternatives, their pros and cons can only be evaluated in an empirical/practical context and depend on the reliability of reported trade flows, number of products lumped together into a given </w:t>
      </w:r>
      <w:r w:rsidR="00C1637C" w:rsidRPr="00F31509">
        <w:rPr>
          <w:rFonts w:asciiTheme="majorBidi" w:eastAsia="Times New Roman" w:hAnsiTheme="majorBidi" w:cstheme="majorBidi"/>
          <w:color w:val="000000" w:themeColor="text1"/>
          <w:lang w:val="en-GB"/>
        </w:rPr>
        <w:t>CPC</w:t>
      </w:r>
      <w:r w:rsidR="00C1637C" w:rsidRPr="00B32AE6">
        <w:rPr>
          <w:rFonts w:asciiTheme="majorBidi" w:hAnsiTheme="majorBidi"/>
          <w:color w:val="000000" w:themeColor="text1"/>
          <w:lang w:val="en-GB"/>
        </w:rPr>
        <w:t xml:space="preserve"> </w:t>
      </w:r>
      <w:r w:rsidRPr="00B32AE6">
        <w:rPr>
          <w:rFonts w:asciiTheme="majorBidi" w:hAnsiTheme="majorBidi"/>
          <w:color w:val="000000" w:themeColor="text1"/>
          <w:lang w:val="en-GB"/>
        </w:rPr>
        <w:t xml:space="preserve">category, or the number of available trade flows over reporters/partners. </w:t>
      </w:r>
    </w:p>
    <w:p w14:paraId="5B036EE4" w14:textId="16987908" w:rsidR="004F65E4" w:rsidRPr="00B32AE6" w:rsidRDefault="004F65E4" w:rsidP="60226960">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The right choice is therefore the answer to an empirical question. Exposing various theoretical alternatives to practical tests resulted in the following procedure. Where the number of trade flows for a given product is low, typically 5 or less, a global </w:t>
      </w:r>
      <w:r w:rsidR="00C1637C" w:rsidRPr="00F31509">
        <w:rPr>
          <w:rFonts w:asciiTheme="majorBidi" w:eastAsia="Times New Roman" w:hAnsiTheme="majorBidi" w:cstheme="majorBidi"/>
          <w:color w:val="000000" w:themeColor="text1"/>
          <w:lang w:val="en-GB"/>
        </w:rPr>
        <w:t>median</w:t>
      </w:r>
      <w:r w:rsidRPr="00B32AE6">
        <w:rPr>
          <w:rFonts w:asciiTheme="majorBidi" w:hAnsiTheme="majorBidi"/>
          <w:color w:val="000000" w:themeColor="text1"/>
          <w:lang w:val="en-GB"/>
        </w:rPr>
        <w:t xml:space="preserve"> is taken as the basis to calculate the unit values. Conversely, where and when the number of flows is high, country-specific unit values are identified to calculate unit values. </w:t>
      </w:r>
      <w:r w:rsidR="00004804">
        <w:fldChar w:fldCharType="begin"/>
      </w:r>
      <w:r w:rsidR="00004804">
        <w:instrText xml:space="preserve"> REF _</w:instrText>
      </w:r>
      <w:r w:rsidR="00004804">
        <w:instrText>Ref421026002</w:instrText>
      </w:r>
      <w:r w:rsidR="00004804">
        <w:instrText xml:space="preserve"> \h  \* MERGEFORMAT </w:instrText>
      </w:r>
      <w:r w:rsidR="00004804">
        <w:fldChar w:fldCharType="separate"/>
      </w:r>
      <w:r w:rsidR="00AA4884" w:rsidRPr="00B32AE6">
        <w:rPr>
          <w:rFonts w:asciiTheme="majorBidi" w:hAnsiTheme="majorBidi"/>
          <w:lang w:val="en-GB"/>
        </w:rPr>
        <w:t xml:space="preserve">Figure </w:t>
      </w:r>
      <w:r w:rsidR="00AA4884" w:rsidRPr="00F31509">
        <w:rPr>
          <w:rFonts w:asciiTheme="majorBidi" w:eastAsia="Times New Roman" w:hAnsiTheme="majorBidi" w:cstheme="majorBidi"/>
          <w:lang w:val="en-GB"/>
        </w:rPr>
        <w:t>5</w:t>
      </w:r>
      <w:r w:rsidR="00004804">
        <w:fldChar w:fldCharType="end"/>
      </w:r>
      <w:r w:rsidRPr="00B32AE6">
        <w:rPr>
          <w:rFonts w:asciiTheme="majorBidi" w:hAnsiTheme="majorBidi"/>
          <w:color w:val="000000" w:themeColor="text1"/>
          <w:lang w:val="en-GB"/>
        </w:rPr>
        <w:t xml:space="preserve"> </w:t>
      </w:r>
      <w:proofErr w:type="gramStart"/>
      <w:r w:rsidRPr="00B32AE6">
        <w:rPr>
          <w:rFonts w:asciiTheme="majorBidi" w:hAnsiTheme="majorBidi"/>
          <w:color w:val="000000" w:themeColor="text1"/>
          <w:lang w:val="en-GB"/>
        </w:rPr>
        <w:t>depicts</w:t>
      </w:r>
      <w:proofErr w:type="gramEnd"/>
      <w:r w:rsidRPr="00B32AE6">
        <w:rPr>
          <w:rFonts w:asciiTheme="majorBidi" w:hAnsiTheme="majorBidi"/>
          <w:color w:val="000000" w:themeColor="text1"/>
          <w:lang w:val="en-GB"/>
        </w:rPr>
        <w:t xml:space="preserve"> the country-specific case.</w:t>
      </w:r>
    </w:p>
    <w:p w14:paraId="2DC21126" w14:textId="77777777" w:rsidR="004F65E4" w:rsidRPr="00F31509" w:rsidRDefault="00040401" w:rsidP="004F65E4">
      <w:pPr>
        <w:keepNext/>
        <w:widowControl w:val="0"/>
        <w:spacing w:before="100" w:beforeAutospacing="1" w:after="120"/>
        <w:jc w:val="both"/>
        <w:rPr>
          <w:rFonts w:asciiTheme="majorBidi" w:hAnsiTheme="majorBidi" w:cstheme="majorBidi"/>
          <w:lang w:val="en-GB"/>
        </w:rPr>
      </w:pPr>
      <w:r w:rsidRPr="00F31509">
        <w:rPr>
          <w:rFonts w:asciiTheme="majorBidi" w:hAnsiTheme="majorBidi" w:cstheme="majorBidi"/>
          <w:noProof/>
          <w:lang w:eastAsia="en-US"/>
        </w:rPr>
        <w:lastRenderedPageBreak/>
        <w:drawing>
          <wp:inline distT="0" distB="0" distL="0" distR="0">
            <wp:extent cx="5498881" cy="4553476"/>
            <wp:effectExtent l="19050" t="19050" r="25619" b="18524"/>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7913" cy="4560955"/>
                    </a:xfrm>
                    <a:prstGeom prst="rect">
                      <a:avLst/>
                    </a:prstGeom>
                    <a:noFill/>
                    <a:ln w="9525" cmpd="sng">
                      <a:solidFill>
                        <a:srgbClr val="000000"/>
                      </a:solidFill>
                      <a:miter lim="800000"/>
                      <a:headEnd/>
                      <a:tailEnd/>
                    </a:ln>
                    <a:effectLst/>
                  </pic:spPr>
                </pic:pic>
              </a:graphicData>
            </a:graphic>
          </wp:inline>
        </w:drawing>
      </w:r>
    </w:p>
    <w:p w14:paraId="09189D00" w14:textId="77777777" w:rsidR="004F65E4" w:rsidRPr="00F31509" w:rsidRDefault="004F65E4" w:rsidP="004F65E4">
      <w:pPr>
        <w:pStyle w:val="Caption"/>
        <w:jc w:val="both"/>
        <w:rPr>
          <w:rFonts w:asciiTheme="majorBidi" w:hAnsiTheme="majorBidi" w:cstheme="majorBidi"/>
          <w:b/>
          <w:bCs/>
          <w:sz w:val="22"/>
          <w:szCs w:val="22"/>
          <w:lang w:val="en-GB"/>
        </w:rPr>
      </w:pPr>
      <w:bookmarkStart w:id="17" w:name="_Ref421026002"/>
      <w:bookmarkStart w:id="18" w:name="_Toc421026213"/>
      <w:bookmarkStart w:id="19" w:name="_Toc428383856"/>
      <w:bookmarkStart w:id="20" w:name="_Toc430872507"/>
      <w:r w:rsidRPr="00F31509">
        <w:rPr>
          <w:rFonts w:asciiTheme="majorBidi" w:hAnsiTheme="majorBidi" w:cstheme="majorBidi"/>
          <w:sz w:val="22"/>
          <w:szCs w:val="22"/>
          <w:lang w:val="en-GB"/>
        </w:rPr>
        <w:t xml:space="preserve">Figure </w:t>
      </w:r>
      <w:r w:rsidR="00846B16" w:rsidRPr="00F31509">
        <w:rPr>
          <w:rFonts w:asciiTheme="majorBidi" w:hAnsiTheme="majorBidi" w:cstheme="majorBidi"/>
          <w:b/>
          <w:bCs/>
          <w:sz w:val="22"/>
          <w:szCs w:val="22"/>
          <w:lang w:val="en-GB"/>
        </w:rPr>
        <w:fldChar w:fldCharType="begin"/>
      </w:r>
      <w:r w:rsidRPr="00F31509">
        <w:rPr>
          <w:rFonts w:asciiTheme="majorBidi" w:hAnsiTheme="majorBidi" w:cstheme="majorBidi"/>
          <w:sz w:val="22"/>
          <w:szCs w:val="22"/>
          <w:lang w:val="en-GB"/>
        </w:rPr>
        <w:instrText xml:space="preserve"> SEQ Figure \* ARABIC </w:instrText>
      </w:r>
      <w:r w:rsidR="00846B16" w:rsidRPr="00F31509">
        <w:rPr>
          <w:rFonts w:asciiTheme="majorBidi" w:hAnsiTheme="majorBidi" w:cstheme="majorBidi"/>
          <w:b/>
          <w:bCs/>
          <w:sz w:val="22"/>
          <w:szCs w:val="22"/>
          <w:lang w:val="en-GB"/>
        </w:rPr>
        <w:fldChar w:fldCharType="separate"/>
      </w:r>
      <w:r w:rsidR="000B360D" w:rsidRPr="00F31509">
        <w:rPr>
          <w:rFonts w:asciiTheme="majorBidi" w:hAnsiTheme="majorBidi" w:cstheme="majorBidi"/>
          <w:noProof/>
          <w:sz w:val="22"/>
          <w:szCs w:val="22"/>
          <w:lang w:val="en-GB"/>
        </w:rPr>
        <w:t>5</w:t>
      </w:r>
      <w:r w:rsidR="00846B16" w:rsidRPr="00F31509">
        <w:rPr>
          <w:rFonts w:asciiTheme="majorBidi" w:hAnsiTheme="majorBidi" w:cstheme="majorBidi"/>
          <w:b/>
          <w:bCs/>
          <w:sz w:val="22"/>
          <w:szCs w:val="22"/>
          <w:lang w:val="en-GB"/>
        </w:rPr>
        <w:fldChar w:fldCharType="end"/>
      </w:r>
      <w:bookmarkEnd w:id="17"/>
      <w:r w:rsidRPr="00F31509">
        <w:rPr>
          <w:rFonts w:asciiTheme="majorBidi" w:hAnsiTheme="majorBidi" w:cstheme="majorBidi"/>
          <w:sz w:val="22"/>
          <w:szCs w:val="22"/>
          <w:lang w:val="en-GB"/>
        </w:rPr>
        <w:t>: Calculation of unit values based on trading partners</w:t>
      </w:r>
      <w:bookmarkEnd w:id="18"/>
      <w:bookmarkEnd w:id="19"/>
      <w:bookmarkEnd w:id="20"/>
    </w:p>
    <w:p w14:paraId="104BB356" w14:textId="28DB6EE6" w:rsidR="004F65E4" w:rsidRPr="00B32AE6" w:rsidRDefault="004F65E4" w:rsidP="60226960">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In the concrete case captured in </w:t>
      </w:r>
      <w:r w:rsidR="00004804">
        <w:fldChar w:fldCharType="begin"/>
      </w:r>
      <w:r w:rsidR="00004804">
        <w:instrText xml:space="preserve"> REF _Ref421026002 \h  \* MERGEFORMAT </w:instrText>
      </w:r>
      <w:r w:rsidR="00004804">
        <w:fldChar w:fldCharType="separate"/>
      </w:r>
      <w:r w:rsidR="00AA4884" w:rsidRPr="00F31509">
        <w:rPr>
          <w:rFonts w:asciiTheme="majorBidi" w:eastAsia="Times New Roman" w:hAnsiTheme="majorBidi" w:cstheme="majorBidi"/>
          <w:lang w:val="en-GB"/>
        </w:rPr>
        <w:t>Figure 5</w:t>
      </w:r>
      <w:r w:rsidR="00004804">
        <w:fldChar w:fldCharType="end"/>
      </w:r>
      <w:r w:rsidRPr="00B32AE6">
        <w:rPr>
          <w:rFonts w:asciiTheme="majorBidi" w:hAnsiTheme="majorBidi"/>
          <w:color w:val="000000" w:themeColor="text1"/>
          <w:lang w:val="en-GB"/>
        </w:rPr>
        <w:t xml:space="preserve">, country XX </w:t>
      </w:r>
      <w:r w:rsidRPr="00F31509">
        <w:rPr>
          <w:rFonts w:asciiTheme="majorBidi" w:eastAsia="Times New Roman" w:hAnsiTheme="majorBidi" w:cstheme="majorBidi"/>
          <w:color w:val="000000" w:themeColor="text1"/>
          <w:lang w:val="en-GB"/>
        </w:rPr>
        <w:t>import</w:t>
      </w:r>
      <w:r w:rsidR="00C1637C" w:rsidRPr="00F31509">
        <w:rPr>
          <w:rFonts w:asciiTheme="majorBidi" w:eastAsia="Times New Roman" w:hAnsiTheme="majorBidi" w:cstheme="majorBidi"/>
          <w:color w:val="000000" w:themeColor="text1"/>
          <w:lang w:val="en-GB"/>
        </w:rPr>
        <w:t>s</w:t>
      </w:r>
      <w:r w:rsidRPr="00B32AE6">
        <w:rPr>
          <w:rFonts w:asciiTheme="majorBidi" w:hAnsiTheme="majorBidi"/>
          <w:color w:val="000000" w:themeColor="text1"/>
          <w:lang w:val="en-GB"/>
        </w:rPr>
        <w:t xml:space="preserve"> wine from France, but without quantity or value information, is assumed to pay the same price as all other countries importing wine from France, i.e. $21/bottle on average. Likewise, if the same country XX imports wine from Italy, the underlying unit value is based on the one that other countries pay on average when importing wine from Italy, i.e. $3/bottle. </w:t>
      </w:r>
    </w:p>
    <w:p w14:paraId="432BB5C5" w14:textId="7538EBD4" w:rsidR="004F65E4" w:rsidRPr="00B32AE6" w:rsidRDefault="004F65E4" w:rsidP="004F65E4">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When enough flows are available, such a country-specific approach renders a more precise outcome than working with a global average, which would have been $12/bottle. In the example provided, it reflects the fact that France typically exports expensive wine and is therefore assumed to export also expensive wine to the country XX, where information is missing. Likewise, it also captures the fact that Italy typically exports “cheap” wine and thus assumed to sell the same quality to country XX, where that information is missing.</w:t>
      </w:r>
    </w:p>
    <w:p w14:paraId="7EE92400" w14:textId="77777777" w:rsidR="004F65E4" w:rsidRPr="00B32AE6" w:rsidRDefault="004F65E4" w:rsidP="00B32AE6">
      <w:pPr>
        <w:widowControl w:val="0"/>
        <w:spacing w:before="100" w:beforeAutospacing="1" w:after="120"/>
        <w:jc w:val="both"/>
        <w:rPr>
          <w:rFonts w:asciiTheme="majorBidi" w:hAnsiTheme="majorBidi"/>
          <w:b/>
          <w:color w:val="000000" w:themeColor="text1"/>
          <w:lang w:val="en-GB"/>
        </w:rPr>
      </w:pPr>
      <w:r w:rsidRPr="00B32AE6">
        <w:rPr>
          <w:rFonts w:asciiTheme="majorBidi" w:hAnsiTheme="majorBidi"/>
          <w:b/>
          <w:color w:val="000000" w:themeColor="text1"/>
          <w:lang w:val="en-GB"/>
        </w:rPr>
        <w:t xml:space="preserve">Path dependency of imputation routines </w:t>
      </w:r>
    </w:p>
    <w:p w14:paraId="5117013F" w14:textId="77777777" w:rsidR="004F65E4" w:rsidRPr="00B32AE6" w:rsidRDefault="004F65E4" w:rsidP="004F65E4">
      <w:pPr>
        <w:spacing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As outlined above, the process from “raw” trade data to published trade results encompasses several distinct steps. In general, these steps follow a logical and cogent sequence. For instance, cleaning data and weeding out errors is done before other processes such as imputation or balancing can take place. There is, however, also rationale for more ambiguity in the sequence of the various steps and not all steps follow a cogent and unequivocal logic. What is more, there is no a priori (conceptual) reason to </w:t>
      </w:r>
      <w:r w:rsidRPr="00B32AE6">
        <w:rPr>
          <w:rFonts w:asciiTheme="majorBidi" w:hAnsiTheme="majorBidi"/>
          <w:color w:val="000000" w:themeColor="text1"/>
          <w:lang w:val="en-GB"/>
        </w:rPr>
        <w:lastRenderedPageBreak/>
        <w:t xml:space="preserve">prefer one step over the other in the sequence of the implementation, e.g. to undertake the mirroring step before the unit value imputations or vice versa. </w:t>
      </w:r>
    </w:p>
    <w:p w14:paraId="7A97A147" w14:textId="15DBC961" w:rsidR="004F65E4" w:rsidRPr="00B32AE6" w:rsidRDefault="004F65E4" w:rsidP="004F65E4">
      <w:pPr>
        <w:spacing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Intuitively, one may be inclined to first mirror missing data so that the unit value calculations are being put on a broader footing. As </w:t>
      </w:r>
      <w:r w:rsidRPr="00F31509">
        <w:rPr>
          <w:rFonts w:asciiTheme="majorBidi" w:eastAsia="Times New Roman" w:hAnsiTheme="majorBidi" w:cstheme="majorBidi"/>
          <w:color w:val="000000" w:themeColor="text1"/>
          <w:lang w:val="en-GB"/>
        </w:rPr>
        <w:t>outline</w:t>
      </w:r>
      <w:r w:rsidR="00F81AE7" w:rsidRPr="00F31509">
        <w:rPr>
          <w:rFonts w:asciiTheme="majorBidi" w:eastAsia="Times New Roman" w:hAnsiTheme="majorBidi" w:cstheme="majorBidi"/>
          <w:color w:val="000000" w:themeColor="text1"/>
          <w:lang w:val="en-GB"/>
        </w:rPr>
        <w:t>d</w:t>
      </w:r>
      <w:r w:rsidRPr="00B32AE6">
        <w:rPr>
          <w:rFonts w:asciiTheme="majorBidi" w:hAnsiTheme="majorBidi"/>
          <w:color w:val="000000" w:themeColor="text1"/>
          <w:lang w:val="en-GB"/>
        </w:rPr>
        <w:t xml:space="preserve"> in the section on the use of unit values, such a decision would have direct implications on the choice of the unit value, whereby more observations will eventually lead to a decision as to whether country-specific or global unit values are employed in the imputation process. The intuition is likely to be confirmed when the mirrored data for a country are at about the same level as the average unit value of a given reporter/partner.  If, however, a mirrored flow is far out of the normal range, this will also affect and indeed distort the unit value used in the next step of the process and, as these unit values would be applied to all flows with missing information, many imputed data would be affected.</w:t>
      </w:r>
    </w:p>
    <w:p w14:paraId="2613275E" w14:textId="22A27C1B" w:rsidR="004F65E4" w:rsidRPr="00B32AE6" w:rsidRDefault="004F65E4" w:rsidP="004F65E4">
      <w:pPr>
        <w:spacing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Without prior knowledge of the correct sequence of steps, the final results become path-dependent on the sequence of imputation steps. To gauge the magnitude of the potential effect, a number of empirical tests have been conducted. The results suggest that, at least in general, the differences that arise from different imputation sequences are negligibly small. There are, however, a few commodity specific exceptions. Particularly where flows are characterized by large product quality differences across reporting countries, poor product differentiation in reporting, etc., path dependency can influence the results in a significant way. Overall, however, such commodity-specific differences were not deemed important enough to deviate from the proposed sequence of data processing steps outlined in </w:t>
      </w:r>
      <w:r w:rsidR="00004804" w:rsidRPr="00B32AE6">
        <w:fldChar w:fldCharType="begin"/>
      </w:r>
      <w:r w:rsidR="00004804" w:rsidRPr="00B32AE6">
        <w:instrText xml:space="preserve"> REF _Ref420069487 \h  \* MERGEFORMAT </w:instrText>
      </w:r>
      <w:r w:rsidR="00004804" w:rsidRPr="00B32AE6">
        <w:fldChar w:fldCharType="separate"/>
      </w:r>
      <w:r w:rsidR="000B360D" w:rsidRPr="00B32AE6">
        <w:rPr>
          <w:rFonts w:asciiTheme="majorBidi" w:hAnsiTheme="majorBidi"/>
          <w:color w:val="000000" w:themeColor="text1"/>
          <w:lang w:val="en-GB"/>
        </w:rPr>
        <w:t xml:space="preserve">Table </w:t>
      </w:r>
      <w:r w:rsidR="000B360D" w:rsidRPr="00F31509">
        <w:rPr>
          <w:rFonts w:asciiTheme="majorBidi" w:eastAsia="Times New Roman" w:hAnsiTheme="majorBidi" w:cstheme="majorBidi"/>
          <w:color w:val="000000" w:themeColor="text1"/>
          <w:lang w:val="en-GB"/>
        </w:rPr>
        <w:t>4</w:t>
      </w:r>
      <w:r w:rsidR="00004804" w:rsidRPr="00B32AE6">
        <w:fldChar w:fldCharType="end"/>
      </w:r>
      <w:r w:rsidRPr="00B32AE6">
        <w:rPr>
          <w:rFonts w:asciiTheme="majorBidi" w:hAnsiTheme="majorBidi"/>
          <w:color w:val="000000" w:themeColor="text1"/>
          <w:lang w:val="en-GB"/>
        </w:rPr>
        <w:t xml:space="preserve"> above. </w:t>
      </w:r>
    </w:p>
    <w:p w14:paraId="47D9FD51" w14:textId="77777777" w:rsidR="004F65E4" w:rsidRPr="00B32AE6" w:rsidRDefault="004F65E4" w:rsidP="00B32AE6">
      <w:pPr>
        <w:pStyle w:val="Heading4"/>
        <w:rPr>
          <w:rFonts w:asciiTheme="majorBidi" w:hAnsiTheme="majorBidi"/>
          <w:lang w:val="en-GB"/>
        </w:rPr>
      </w:pPr>
      <w:bookmarkStart w:id="21" w:name="_Toc421025863"/>
      <w:r w:rsidRPr="00B32AE6">
        <w:rPr>
          <w:rFonts w:asciiTheme="majorBidi" w:hAnsiTheme="majorBidi"/>
          <w:lang w:val="en-GB"/>
        </w:rPr>
        <w:t>Reliability index and endorsement factors</w:t>
      </w:r>
      <w:bookmarkEnd w:id="21"/>
    </w:p>
    <w:p w14:paraId="10D7E0CC" w14:textId="77777777" w:rsidR="004F65E4" w:rsidRPr="00B32AE6" w:rsidRDefault="004F65E4" w:rsidP="004F65E4">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Overwriting official data cannot be done on an arbitrary basis. It requires a rules-based and well informed process. The choice taken in the literature is to base this process on the reliability of reported trade data. The same approach is being pursued here in principle, however, with important modifications. </w:t>
      </w:r>
    </w:p>
    <w:p w14:paraId="44D7B9D1" w14:textId="77777777" w:rsidR="004F65E4" w:rsidRPr="00B32AE6" w:rsidRDefault="004F65E4" w:rsidP="004F65E4">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t xml:space="preserve">In order to quantify the reliability of a country's reported trade, we can utilize trade flow data, and in particular the level to which reported values agree with the reported values of trading partners.  However, this approach can be complicated. For example, suppose country </w:t>
      </w:r>
      <w:proofErr w:type="gramStart"/>
      <w:r w:rsidRPr="00B32AE6">
        <w:rPr>
          <w:rFonts w:asciiTheme="majorBidi" w:hAnsiTheme="majorBidi"/>
          <w:color w:val="000000" w:themeColor="text1"/>
          <w:lang w:val="en-GB"/>
        </w:rPr>
        <w:t>A</w:t>
      </w:r>
      <w:proofErr w:type="gramEnd"/>
      <w:r w:rsidRPr="00B32AE6">
        <w:rPr>
          <w:rFonts w:asciiTheme="majorBidi" w:hAnsiTheme="majorBidi"/>
          <w:color w:val="000000" w:themeColor="text1"/>
          <w:lang w:val="en-GB"/>
        </w:rPr>
        <w:t xml:space="preserve"> reports different values than two of its trading partners B and C.  Should A be penalized equally for both disagreements?  If B is a highly reliable reporter while C is a highly unreliable reporter, than we would want to penalize disagreement with B more than disagreement with A.</w:t>
      </w:r>
    </w:p>
    <w:p w14:paraId="23005A40" w14:textId="75273686" w:rsidR="004F65E4" w:rsidRPr="00F31509" w:rsidRDefault="004F65E4" w:rsidP="004F65E4">
      <w:pPr>
        <w:widowControl w:val="0"/>
        <w:spacing w:before="100" w:beforeAutospacing="1" w:after="120"/>
        <w:jc w:val="both"/>
        <w:rPr>
          <w:rFonts w:asciiTheme="majorBidi" w:hAnsiTheme="majorBidi" w:cstheme="majorBidi"/>
          <w:color w:val="000000" w:themeColor="text1"/>
          <w:lang w:val="en-GB"/>
        </w:rPr>
      </w:pPr>
      <w:r w:rsidRPr="00F31509">
        <w:rPr>
          <w:rFonts w:asciiTheme="majorBidi" w:hAnsiTheme="majorBidi" w:cstheme="majorBidi"/>
          <w:color w:val="000000" w:themeColor="text1"/>
          <w:lang w:val="en-GB"/>
        </w:rPr>
        <w:t>The proposed</w:t>
      </w:r>
      <w:r w:rsidRPr="00B32AE6">
        <w:rPr>
          <w:rFonts w:asciiTheme="majorBidi" w:hAnsiTheme="majorBidi"/>
          <w:color w:val="000000" w:themeColor="text1"/>
          <w:lang w:val="en-GB"/>
        </w:rPr>
        <w:t xml:space="preserve"> solution to this problem is as follows: </w:t>
      </w:r>
    </w:p>
    <w:p w14:paraId="5F92FC20" w14:textId="77777777" w:rsidR="004F65E4" w:rsidRPr="00B32AE6" w:rsidRDefault="004F65E4" w:rsidP="003C6AA5">
      <w:pPr>
        <w:pStyle w:val="ListParagraph"/>
        <w:widowControl w:val="0"/>
        <w:numPr>
          <w:ilvl w:val="0"/>
          <w:numId w:val="20"/>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Compute the level of agreement between each pair of countries as the proportion of trades on which they agree (within some tolerance).</w:t>
      </w:r>
    </w:p>
    <w:p w14:paraId="24DF3E47" w14:textId="77777777" w:rsidR="004F65E4" w:rsidRPr="00B32AE6" w:rsidRDefault="004F65E4" w:rsidP="003C6AA5">
      <w:pPr>
        <w:pStyle w:val="ListParagraph"/>
        <w:widowControl w:val="0"/>
        <w:numPr>
          <w:ilvl w:val="0"/>
          <w:numId w:val="20"/>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Initialize all countries to the same reliability score.</w:t>
      </w:r>
    </w:p>
    <w:p w14:paraId="2364FDCA" w14:textId="77777777" w:rsidR="004F65E4" w:rsidRPr="00B32AE6" w:rsidRDefault="004F65E4" w:rsidP="003C6AA5">
      <w:pPr>
        <w:pStyle w:val="ListParagraph"/>
        <w:widowControl w:val="0"/>
        <w:numPr>
          <w:ilvl w:val="0"/>
          <w:numId w:val="20"/>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Each country will now transfer its reliability score to all its partners in proportion to the level of agreement with these partners.  For example, suppose country A has a reliability score of 1 and trades with countries B and C only.  Suppose also that A and B agree 90% of the time while A and C agree only 30% of the time.  Then A will transfer 90% / (30% + 90%) = 75% of its score to country B and 25% to country C.</w:t>
      </w:r>
    </w:p>
    <w:p w14:paraId="7468F99C" w14:textId="77777777" w:rsidR="004F65E4" w:rsidRPr="00B32AE6" w:rsidRDefault="004F65E4" w:rsidP="003C6AA5">
      <w:pPr>
        <w:pStyle w:val="ListParagraph"/>
        <w:widowControl w:val="0"/>
        <w:numPr>
          <w:ilvl w:val="0"/>
          <w:numId w:val="20"/>
        </w:numPr>
        <w:spacing w:before="100" w:beforeAutospacing="1" w:after="120"/>
        <w:jc w:val="both"/>
        <w:rPr>
          <w:rFonts w:asciiTheme="majorBidi" w:hAnsiTheme="majorBidi"/>
          <w:color w:val="000000" w:themeColor="text1"/>
        </w:rPr>
      </w:pPr>
      <w:r w:rsidRPr="00B32AE6">
        <w:rPr>
          <w:rFonts w:asciiTheme="majorBidi" w:hAnsiTheme="majorBidi"/>
          <w:color w:val="000000" w:themeColor="text1"/>
        </w:rPr>
        <w:t>Step 3 is repeated until the change in the reliability scores becomes negligible.</w:t>
      </w:r>
    </w:p>
    <w:p w14:paraId="7A3CBD98" w14:textId="77777777" w:rsidR="004F65E4" w:rsidRPr="00B32AE6" w:rsidRDefault="004F65E4" w:rsidP="004F65E4">
      <w:pPr>
        <w:widowControl w:val="0"/>
        <w:spacing w:before="100" w:beforeAutospacing="1" w:after="120"/>
        <w:jc w:val="both"/>
        <w:rPr>
          <w:rFonts w:asciiTheme="majorBidi" w:hAnsiTheme="majorBidi"/>
          <w:color w:val="000000" w:themeColor="text1"/>
          <w:lang w:val="en-GB"/>
        </w:rPr>
      </w:pPr>
      <w:r w:rsidRPr="00B32AE6">
        <w:rPr>
          <w:rFonts w:asciiTheme="majorBidi" w:hAnsiTheme="majorBidi"/>
          <w:color w:val="000000" w:themeColor="text1"/>
          <w:lang w:val="en-GB"/>
        </w:rPr>
        <w:lastRenderedPageBreak/>
        <w:t>This algorithm assigns larger reliability scores to countries that tend to agree with their partners, and the score also accounts for the reliability of the partner country.  This algorithm is known to converge to a solution rapidly, and it is also used in many other applications for measuring quality within a network (most notably, perhaps, is Google's PageRank algorithm for determining quality of websites).</w:t>
      </w:r>
    </w:p>
    <w:p w14:paraId="07426E07" w14:textId="06316899" w:rsidR="004F65E4" w:rsidRPr="00F31509" w:rsidRDefault="004F65E4" w:rsidP="00312896">
      <w:pPr>
        <w:pStyle w:val="Heading4"/>
        <w:rPr>
          <w:rFonts w:asciiTheme="majorBidi" w:hAnsiTheme="majorBidi" w:cstheme="majorBidi"/>
          <w:lang w:val="en-GB"/>
        </w:rPr>
      </w:pPr>
      <w:r w:rsidRPr="00F31509">
        <w:rPr>
          <w:rFonts w:asciiTheme="majorBidi" w:hAnsiTheme="majorBidi" w:cstheme="majorBidi"/>
          <w:lang w:val="en-GB"/>
        </w:rPr>
        <w:t>Example of reliability scores</w:t>
      </w:r>
    </w:p>
    <w:p w14:paraId="1A83B51F" w14:textId="77777777" w:rsidR="004F65E4" w:rsidRPr="00F31509" w:rsidRDefault="00F13769" w:rsidP="60226960">
      <w:pPr>
        <w:widowControl w:val="0"/>
        <w:spacing w:before="100" w:beforeAutospacing="1" w:after="120"/>
        <w:jc w:val="both"/>
        <w:rPr>
          <w:rFonts w:asciiTheme="majorBidi" w:hAnsiTheme="majorBidi" w:cstheme="majorBidi"/>
          <w:color w:val="000000" w:themeColor="text1"/>
          <w:lang w:val="en-GB"/>
        </w:rPr>
      </w:pPr>
      <w:r>
        <w:rPr>
          <w:rFonts w:asciiTheme="majorBidi" w:hAnsiTheme="majorBidi" w:cstheme="majorBidi"/>
          <w:noProof/>
          <w:color w:val="000000" w:themeColor="text1"/>
          <w:lang w:eastAsia="zh-CN"/>
        </w:rPr>
        <w:pict>
          <v:shapetype id="_x0000_t202" coordsize="21600,21600" o:spt="202" path="m,l,21600r21600,l21600,xe">
            <v:stroke joinstyle="miter"/>
            <v:path gradientshapeok="t" o:connecttype="rect"/>
          </v:shapetype>
          <v:shape id="Text Box 36" o:spid="_x0000_s1026" type="#_x0000_t202" style="position:absolute;left:0;text-align:left;margin-left:-2.2pt;margin-top:195.6pt;width:468pt;height:146.7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" o:allowoverlap="f">
            <v:textbox>
              <w:txbxContent>
                <w:p w14:paraId="178CD4C2" w14:textId="77777777" w:rsidR="002D27E3" w:rsidRDefault="002D27E3" w:rsidP="004F65E4">
                  <w:r>
                    <w:rPr>
                      <w:noProof/>
                      <w:lang w:eastAsia="en-US"/>
                    </w:rPr>
                    <w:drawing>
                      <wp:inline distT="0" distB="0" distL="0" distR="0">
                        <wp:extent cx="1848789" cy="1920240"/>
                        <wp:effectExtent l="19050" t="0" r="0" b="0"/>
                        <wp:docPr id="39" name="Picture 5" descr="ATT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00001.png"/>
                                <pic:cNvPicPr/>
                              </pic:nvPicPr>
                              <pic:blipFill>
                                <a:blip r:embed="rId17"/>
                                <a:stretch>
                                  <a:fillRect/>
                                </a:stretch>
                              </pic:blipFill>
                              <pic:spPr>
                                <a:xfrm>
                                  <a:off x="0" y="0"/>
                                  <a:ext cx="1848789" cy="1920240"/>
                                </a:xfrm>
                                <a:prstGeom prst="rect">
                                  <a:avLst/>
                                </a:prstGeom>
                              </pic:spPr>
                            </pic:pic>
                          </a:graphicData>
                        </a:graphic>
                      </wp:inline>
                    </w:drawing>
                  </w:r>
                  <w:r>
                    <w:rPr>
                      <w:noProof/>
                      <w:lang w:eastAsia="en-US"/>
                    </w:rPr>
                    <w:drawing>
                      <wp:inline distT="0" distB="0" distL="0" distR="0">
                        <wp:extent cx="1848789" cy="1920240"/>
                        <wp:effectExtent l="19050" t="0" r="0" b="0"/>
                        <wp:docPr id="40" name="Picture 6" descr="ATT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00002.png"/>
                                <pic:cNvPicPr/>
                              </pic:nvPicPr>
                              <pic:blipFill>
                                <a:blip r:embed="rId18"/>
                                <a:stretch>
                                  <a:fillRect/>
                                </a:stretch>
                              </pic:blipFill>
                              <pic:spPr>
                                <a:xfrm>
                                  <a:off x="0" y="0"/>
                                  <a:ext cx="1848789" cy="1920240"/>
                                </a:xfrm>
                                <a:prstGeom prst="rect">
                                  <a:avLst/>
                                </a:prstGeom>
                              </pic:spPr>
                            </pic:pic>
                          </a:graphicData>
                        </a:graphic>
                      </wp:inline>
                    </w:drawing>
                  </w:r>
                  <w:r>
                    <w:rPr>
                      <w:noProof/>
                      <w:lang w:eastAsia="en-US"/>
                    </w:rPr>
                    <w:drawing>
                      <wp:inline distT="0" distB="0" distL="0" distR="0">
                        <wp:extent cx="1854743" cy="1920240"/>
                        <wp:effectExtent l="19050" t="0" r="0" b="0"/>
                        <wp:docPr id="41" name="Picture 41" descr="ATT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00003.png"/>
                                <pic:cNvPicPr/>
                              </pic:nvPicPr>
                              <pic:blipFill>
                                <a:blip r:embed="rId19"/>
                                <a:stretch>
                                  <a:fillRect/>
                                </a:stretch>
                              </pic:blipFill>
                              <pic:spPr>
                                <a:xfrm>
                                  <a:off x="0" y="0"/>
                                  <a:ext cx="1854743" cy="1920240"/>
                                </a:xfrm>
                                <a:prstGeom prst="rect">
                                  <a:avLst/>
                                </a:prstGeom>
                              </pic:spPr>
                            </pic:pic>
                          </a:graphicData>
                        </a:graphic>
                      </wp:inline>
                    </w:drawing>
                  </w:r>
                </w:p>
              </w:txbxContent>
            </v:textbox>
            <w10:wrap type="square"/>
          </v:shape>
        </w:pict>
      </w:r>
      <w:r>
        <w:rPr>
          <w:rFonts w:asciiTheme="majorBidi" w:hAnsiTheme="majorBidi" w:cstheme="majorBidi"/>
          <w:noProof/>
          <w:lang w:eastAsia="zh-CN"/>
        </w:rPr>
        <w:pict>
          <v:shape id="Text Box 37" o:spid="_x0000_s1027" type="#_x0000_t202" style="position:absolute;left:0;text-align:left;margin-left:-2.2pt;margin-top:182.2pt;width:468pt;height:27.2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" stroked="f">
            <v:textbox style="mso-fit-shape-to-text:t" inset="0,0,0,0">
              <w:txbxContent>
                <w:p w14:paraId="50A0D111" w14:textId="77777777" w:rsidR="002D27E3" w:rsidRPr="00163B18" w:rsidRDefault="002D27E3" w:rsidP="004F65E4">
                  <w:pPr>
                    <w:pStyle w:val="Caption"/>
                    <w:rPr>
                      <w:rFonts w:cs="Times New Roman"/>
                      <w:b/>
                      <w:bCs/>
                      <w:noProof/>
                      <w:sz w:val="32"/>
                      <w:szCs w:val="22"/>
                      <w:lang w:eastAsia="zh-TW"/>
                    </w:rPr>
                  </w:pPr>
                  <w:bookmarkStart w:id="22" w:name="_Toc430847352"/>
                  <w:bookmarkStart w:id="23" w:name="_Toc430847377"/>
                  <w:bookmarkStart w:id="24" w:name="_Toc430871548"/>
                  <w:bookmarkStart w:id="25" w:name="_Toc430872095"/>
                  <w:bookmarkStart w:id="26" w:name="_Toc430872121"/>
                  <w:bookmarkStart w:id="27" w:name="_Toc430872508"/>
                  <w:r w:rsidRPr="00163B18">
                    <w:rPr>
                      <w:sz w:val="22"/>
                      <w:szCs w:val="22"/>
                    </w:rPr>
                    <w:t xml:space="preserve">Figure </w:t>
                  </w:r>
                  <w:r w:rsidR="00846B16" w:rsidRPr="00163B18">
                    <w:rPr>
                      <w:b/>
                      <w:bCs/>
                      <w:sz w:val="22"/>
                      <w:szCs w:val="22"/>
                    </w:rPr>
                    <w:fldChar w:fldCharType="begin"/>
                  </w:r>
                  <w:r w:rsidRPr="00163B18">
                    <w:rPr>
                      <w:sz w:val="22"/>
                      <w:szCs w:val="22"/>
                    </w:rPr>
                    <w:instrText xml:space="preserve"> SEQ Figure \* ARABIC </w:instrText>
                  </w:r>
                  <w:r w:rsidR="00846B16" w:rsidRPr="00163B18">
                    <w:rPr>
                      <w:b/>
                      <w:bCs/>
                      <w:sz w:val="22"/>
                      <w:szCs w:val="22"/>
                    </w:rPr>
                    <w:fldChar w:fldCharType="separate"/>
                  </w:r>
                  <w:r>
                    <w:rPr>
                      <w:noProof/>
                      <w:sz w:val="22"/>
                      <w:szCs w:val="22"/>
                    </w:rPr>
                    <w:t>6</w:t>
                  </w:r>
                  <w:r w:rsidR="00846B16" w:rsidRPr="00163B18">
                    <w:rPr>
                      <w:b/>
                      <w:bCs/>
                      <w:sz w:val="22"/>
                      <w:szCs w:val="22"/>
                    </w:rPr>
                    <w:fldChar w:fldCharType="end"/>
                  </w:r>
                  <w:r w:rsidRPr="00163B18">
                    <w:rPr>
                      <w:sz w:val="22"/>
                      <w:szCs w:val="22"/>
                    </w:rPr>
                    <w:t>: Reliability index calculation</w:t>
                  </w:r>
                  <w:bookmarkStart w:id="28" w:name="_GoBack"/>
                  <w:bookmarkEnd w:id="22"/>
                  <w:bookmarkEnd w:id="23"/>
                  <w:bookmarkEnd w:id="24"/>
                  <w:bookmarkEnd w:id="25"/>
                  <w:bookmarkEnd w:id="26"/>
                  <w:bookmarkEnd w:id="27"/>
                  <w:bookmarkEnd w:id="28"/>
                </w:p>
              </w:txbxContent>
            </v:textbox>
            <w10:wrap type="square"/>
          </v:shape>
        </w:pict>
      </w:r>
      <w:r>
        <w:rPr>
          <w:rFonts w:asciiTheme="majorBidi" w:hAnsiTheme="majorBidi" w:cstheme="majorBidi"/>
          <w:noProof/>
          <w:lang w:eastAsia="zh-CN"/>
        </w:rPr>
        <w:pict>
          <v:shape id="_x0000_s1028" type="#_x0000_t202" style="position:absolute;left:0;text-align:left;margin-left:-2.2pt;margin-top:182.2pt;width:468pt;height:27.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" stroked="f">
            <v:textbox style="mso-fit-shape-to-text:t" inset="0,0,0,0">
              <w:txbxContent>
                <w:p w14:paraId="334BB03E" w14:textId="77777777" w:rsidR="002D27E3" w:rsidRPr="00163B18" w:rsidRDefault="002D27E3" w:rsidP="004F65E4">
                  <w:pPr>
                    <w:pStyle w:val="Caption"/>
                    <w:rPr>
                      <w:rFonts w:cs="Times New Roman"/>
                      <w:b/>
                      <w:bCs/>
                      <w:noProof/>
                      <w:sz w:val="32"/>
                      <w:szCs w:val="22"/>
                      <w:lang w:eastAsia="zh-TW"/>
                    </w:rPr>
                  </w:pPr>
                  <w:bookmarkStart w:id="29" w:name="_Ref421025223"/>
                  <w:bookmarkStart w:id="30" w:name="_Ref421017883"/>
                  <w:bookmarkStart w:id="31" w:name="_Toc421026214"/>
                  <w:bookmarkStart w:id="32" w:name="_Toc428383857"/>
                  <w:bookmarkStart w:id="33" w:name="_Toc430847353"/>
                  <w:bookmarkStart w:id="34" w:name="_Toc430847378"/>
                  <w:bookmarkStart w:id="35" w:name="_Toc430871549"/>
                  <w:bookmarkStart w:id="36" w:name="_Toc430872096"/>
                  <w:bookmarkStart w:id="37" w:name="_Toc430872122"/>
                  <w:bookmarkStart w:id="38" w:name="_Toc430872509"/>
                  <w:r w:rsidRPr="00163B18">
                    <w:rPr>
                      <w:sz w:val="22"/>
                      <w:szCs w:val="22"/>
                    </w:rPr>
                    <w:t xml:space="preserve">Figure </w:t>
                  </w:r>
                  <w:r w:rsidR="00846B16" w:rsidRPr="00163B18">
                    <w:rPr>
                      <w:b/>
                      <w:bCs/>
                      <w:sz w:val="22"/>
                      <w:szCs w:val="22"/>
                    </w:rPr>
                    <w:fldChar w:fldCharType="begin"/>
                  </w:r>
                  <w:r w:rsidRPr="00163B18">
                    <w:rPr>
                      <w:sz w:val="22"/>
                      <w:szCs w:val="22"/>
                    </w:rPr>
                    <w:instrText xml:space="preserve"> SEQ Figure \* ARABIC </w:instrText>
                  </w:r>
                  <w:r w:rsidR="00846B16" w:rsidRPr="00163B18">
                    <w:rPr>
                      <w:b/>
                      <w:bCs/>
                      <w:sz w:val="22"/>
                      <w:szCs w:val="22"/>
                    </w:rPr>
                    <w:fldChar w:fldCharType="separate"/>
                  </w:r>
                  <w:r>
                    <w:rPr>
                      <w:noProof/>
                      <w:sz w:val="22"/>
                      <w:szCs w:val="22"/>
                    </w:rPr>
                    <w:t>6</w:t>
                  </w:r>
                  <w:r w:rsidR="00846B16" w:rsidRPr="00163B18">
                    <w:rPr>
                      <w:b/>
                      <w:bCs/>
                      <w:sz w:val="22"/>
                      <w:szCs w:val="22"/>
                    </w:rPr>
                    <w:fldChar w:fldCharType="end"/>
                  </w:r>
                  <w:bookmarkEnd w:id="29"/>
                  <w:r w:rsidRPr="00163B18">
                    <w:rPr>
                      <w:sz w:val="22"/>
                      <w:szCs w:val="22"/>
                    </w:rPr>
                    <w:t>: Reliability index calculation</w:t>
                  </w:r>
                  <w:bookmarkEnd w:id="30"/>
                  <w:bookmarkEnd w:id="31"/>
                  <w:bookmarkEnd w:id="32"/>
                  <w:r>
                    <w:rPr>
                      <w:sz w:val="22"/>
                      <w:szCs w:val="22"/>
                    </w:rPr>
                    <w:t xml:space="preserve"> over two </w:t>
                  </w:r>
                  <w:proofErr w:type="spellStart"/>
                  <w:r>
                    <w:rPr>
                      <w:sz w:val="22"/>
                      <w:szCs w:val="22"/>
                    </w:rPr>
                    <w:t>iterations</w:t>
                  </w:r>
                  <w:r w:rsidRPr="00163B18">
                    <w:rPr>
                      <w:sz w:val="22"/>
                      <w:szCs w:val="22"/>
                    </w:rPr>
                    <w:t>Figure</w:t>
                  </w:r>
                  <w:proofErr w:type="spellEnd"/>
                  <w:r w:rsidRPr="00163B18">
                    <w:rPr>
                      <w:sz w:val="22"/>
                      <w:szCs w:val="22"/>
                    </w:rPr>
                    <w:t xml:space="preserve"> </w:t>
                  </w:r>
                  <w:r w:rsidR="00846B16" w:rsidRPr="00163B18">
                    <w:rPr>
                      <w:b/>
                      <w:bCs/>
                      <w:sz w:val="22"/>
                      <w:szCs w:val="22"/>
                    </w:rPr>
                    <w:fldChar w:fldCharType="begin"/>
                  </w:r>
                  <w:r w:rsidRPr="00163B18">
                    <w:rPr>
                      <w:sz w:val="22"/>
                      <w:szCs w:val="22"/>
                    </w:rPr>
                    <w:instrText xml:space="preserve"> SEQ Figure \* ARABIC </w:instrText>
                  </w:r>
                  <w:r w:rsidR="00846B16" w:rsidRPr="00163B18">
                    <w:rPr>
                      <w:b/>
                      <w:bCs/>
                      <w:sz w:val="22"/>
                      <w:szCs w:val="22"/>
                    </w:rPr>
                    <w:fldChar w:fldCharType="separate"/>
                  </w:r>
                  <w:r>
                    <w:rPr>
                      <w:noProof/>
                      <w:sz w:val="22"/>
                      <w:szCs w:val="22"/>
                    </w:rPr>
                    <w:t>8</w:t>
                  </w:r>
                  <w:r w:rsidR="00846B16" w:rsidRPr="00163B18">
                    <w:rPr>
                      <w:b/>
                      <w:bCs/>
                      <w:sz w:val="22"/>
                      <w:szCs w:val="22"/>
                    </w:rPr>
                    <w:fldChar w:fldCharType="end"/>
                  </w:r>
                  <w:r w:rsidRPr="00163B18">
                    <w:rPr>
                      <w:sz w:val="22"/>
                      <w:szCs w:val="22"/>
                    </w:rPr>
                    <w:t>: Reliability index calculation</w:t>
                  </w:r>
                  <w:bookmarkEnd w:id="33"/>
                  <w:bookmarkEnd w:id="34"/>
                  <w:bookmarkEnd w:id="35"/>
                  <w:bookmarkEnd w:id="36"/>
                  <w:bookmarkEnd w:id="37"/>
                  <w:bookmarkEnd w:id="38"/>
                </w:p>
              </w:txbxContent>
            </v:textbox>
            <w10:wrap type="square"/>
          </v:shape>
        </w:pict>
      </w:r>
      <w:r w:rsidR="004F65E4" w:rsidRPr="00F31509">
        <w:rPr>
          <w:rFonts w:asciiTheme="majorBidi" w:eastAsia="Times New Roman" w:hAnsiTheme="majorBidi" w:cstheme="majorBidi"/>
          <w:color w:val="000000" w:themeColor="text1"/>
          <w:lang w:val="en-GB"/>
        </w:rPr>
        <w:t xml:space="preserve">The reliability index calculations are depicted in </w:t>
      </w:r>
      <w:r w:rsidR="00004804">
        <w:fldChar w:fldCharType="begin"/>
      </w:r>
      <w:r w:rsidR="00004804">
        <w:instrText xml:space="preserve"> REF _Ref421025223 \h  \* MERGEFORMAT </w:instrText>
      </w:r>
      <w:r w:rsidR="00004804">
        <w:fldChar w:fldCharType="separate"/>
      </w:r>
      <w:r w:rsidR="00AA4884" w:rsidRPr="00F31509">
        <w:rPr>
          <w:rFonts w:asciiTheme="majorBidi" w:eastAsia="Times New Roman" w:hAnsiTheme="majorBidi" w:cstheme="majorBidi"/>
          <w:lang w:val="en-GB"/>
        </w:rPr>
        <w:t>Figure 6</w:t>
      </w:r>
      <w:r w:rsidR="00004804">
        <w:fldChar w:fldCharType="end"/>
      </w:r>
      <w:r w:rsidR="004F65E4" w:rsidRPr="00F31509">
        <w:rPr>
          <w:rFonts w:asciiTheme="majorBidi" w:eastAsia="Times New Roman" w:hAnsiTheme="majorBidi" w:cstheme="majorBidi"/>
          <w:color w:val="000000" w:themeColor="text1"/>
          <w:lang w:val="en-GB"/>
        </w:rPr>
        <w:t>.  The nodes (circles) represent different countries, and the thickness of the edges indicates the agreement between the corresponding countries (with thicker edges indicating stronger agreement).  In the first step of the algorithm (the leftmost plot) all countries have an equal reliability score.  After one iteration of the algorithm (the middle plot), the top nodes/countries have a higher than average reliability and the bottom two countries/nodes have a below-average reliability.  After the second iteration (the rightmost plot) the algorithm approximately converges: the top three countries all have high reliability scores (as they all agree with each other).  Country 4 has a slightly higher reliability than country 5 because country 4 and country 2 agree on some trades.  However, country 4 and 5 both receive low reliability scores, even though they happened to agree between themselves.</w:t>
      </w:r>
    </w:p>
    <w:p w14:paraId="49C8310A" w14:textId="77777777" w:rsidR="004F65E4" w:rsidRPr="00B32AE6" w:rsidRDefault="004F65E4" w:rsidP="00B32AE6">
      <w:pPr>
        <w:rPr>
          <w:rFonts w:asciiTheme="majorBidi" w:hAnsiTheme="majorBidi"/>
          <w:color w:val="000000" w:themeColor="text1"/>
          <w:lang w:val="en-GB"/>
        </w:rPr>
      </w:pPr>
    </w:p>
    <w:sectPr w:rsidR="004F65E4" w:rsidRPr="00B32AE6" w:rsidSect="00B32AE6">
      <w:footerReference w:type="default" r:id="rId20"/>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86D40" w14:textId="77777777" w:rsidR="00F13769" w:rsidRDefault="00F13769" w:rsidP="00DB6CDA">
      <w:pPr>
        <w:spacing w:after="0" w:line="240" w:lineRule="auto"/>
      </w:pPr>
      <w:r>
        <w:separator/>
      </w:r>
    </w:p>
  </w:endnote>
  <w:endnote w:type="continuationSeparator" w:id="0">
    <w:p w14:paraId="0065CD25" w14:textId="77777777" w:rsidR="00F13769" w:rsidRDefault="00F13769" w:rsidP="00DB6CDA">
      <w:pPr>
        <w:spacing w:after="0" w:line="240" w:lineRule="auto"/>
      </w:pPr>
      <w:r>
        <w:continuationSeparator/>
      </w:r>
    </w:p>
  </w:endnote>
  <w:endnote w:type="continuationNotice" w:id="1">
    <w:p w14:paraId="10B32AE7" w14:textId="77777777" w:rsidR="00F13769" w:rsidRDefault="00F13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EEF43" w14:textId="1B6CB630" w:rsidR="002D27E3" w:rsidRDefault="002D27E3">
    <w:pPr>
      <w:pStyle w:val="Footer"/>
    </w:pPr>
    <w:r>
      <w:tab/>
      <w:t xml:space="preserve">Page </w:t>
    </w:r>
    <w:r w:rsidR="00004804">
      <w:fldChar w:fldCharType="begin"/>
    </w:r>
    <w:r w:rsidR="00004804">
      <w:instrText xml:space="preserve"> PAGE </w:instrText>
    </w:r>
    <w:r w:rsidR="00004804">
      <w:fldChar w:fldCharType="separate"/>
    </w:r>
    <w:r w:rsidR="00B32AE6">
      <w:rPr>
        <w:noProof/>
      </w:rPr>
      <w:t>7</w:t>
    </w:r>
    <w:r w:rsidR="00004804">
      <w:rPr>
        <w:noProof/>
      </w:rPr>
      <w:fldChar w:fldCharType="end"/>
    </w:r>
    <w:r>
      <w:t xml:space="preserve"> of </w:t>
    </w:r>
    <w:r w:rsidR="00004804">
      <w:fldChar w:fldCharType="begin"/>
    </w:r>
    <w:r w:rsidR="00004804">
      <w:instrText xml:space="preserve"> NUMPAGES \*Arabic </w:instrText>
    </w:r>
    <w:r w:rsidR="00004804">
      <w:fldChar w:fldCharType="separate"/>
    </w:r>
    <w:r w:rsidR="00B32AE6">
      <w:rPr>
        <w:noProof/>
      </w:rPr>
      <w:t>7</w:t>
    </w:r>
    <w:r w:rsidR="00004804">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9380B" w14:textId="77777777" w:rsidR="00F13769" w:rsidRDefault="00F13769" w:rsidP="00DB6CDA">
      <w:pPr>
        <w:spacing w:after="0" w:line="240" w:lineRule="auto"/>
      </w:pPr>
      <w:r>
        <w:separator/>
      </w:r>
    </w:p>
  </w:footnote>
  <w:footnote w:type="continuationSeparator" w:id="0">
    <w:p w14:paraId="161C0F29" w14:textId="77777777" w:rsidR="00F13769" w:rsidRDefault="00F13769" w:rsidP="00DB6CDA">
      <w:pPr>
        <w:spacing w:after="0" w:line="240" w:lineRule="auto"/>
      </w:pPr>
      <w:r>
        <w:continuationSeparator/>
      </w:r>
    </w:p>
  </w:footnote>
  <w:footnote w:type="continuationNotice" w:id="1">
    <w:p w14:paraId="0046B6E3" w14:textId="77777777" w:rsidR="00F13769" w:rsidRDefault="00F13769">
      <w:pPr>
        <w:spacing w:after="0" w:line="240" w:lineRule="auto"/>
      </w:pPr>
    </w:p>
  </w:footnote>
  <w:footnote w:id="2">
    <w:p w14:paraId="200E311D" w14:textId="77777777" w:rsidR="002D27E3" w:rsidRPr="00B32AE6" w:rsidRDefault="002D27E3" w:rsidP="004F65E4">
      <w:pPr>
        <w:pStyle w:val="FootnoteText"/>
        <w:rPr>
          <w:rFonts w:ascii="Times New Roman" w:hAnsi="Times New Roman"/>
        </w:rPr>
      </w:pPr>
      <w:r w:rsidRPr="00B32AE6">
        <w:rPr>
          <w:rStyle w:val="FootnoteReference"/>
          <w:rFonts w:ascii="Times New Roman" w:hAnsi="Times New Roman"/>
        </w:rPr>
        <w:footnoteRef/>
      </w:r>
      <w:r w:rsidRPr="00B32AE6">
        <w:rPr>
          <w:rFonts w:ascii="Times New Roman" w:hAnsi="Times New Roman"/>
        </w:rPr>
        <w:t xml:space="preserve"> </w:t>
      </w:r>
      <w:hyperlink r:id="rId1" w:history="1">
        <w:r w:rsidRPr="00B32AE6">
          <w:rPr>
            <w:rStyle w:val="Hyperlink"/>
            <w:rFonts w:ascii="Times New Roman" w:hAnsi="Times New Roman"/>
            <w:sz w:val="20"/>
          </w:rPr>
          <w:t>http://www.wcoomd.org/en/topics/nomenclature/overview/what-is-the-harmonized-system.aspx</w:t>
        </w:r>
      </w:hyperlink>
      <w:r w:rsidRPr="00B32AE6">
        <w:rPr>
          <w:rFonts w:ascii="Times New Roman" w:hAnsi="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29653EB3"/>
    <w:multiLevelType w:val="hybridMultilevel"/>
    <w:tmpl w:val="3680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6">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1">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7F579E"/>
    <w:multiLevelType w:val="hybridMultilevel"/>
    <w:tmpl w:val="3E2A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3">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52"/>
  </w:num>
  <w:num w:numId="3">
    <w:abstractNumId w:val="19"/>
  </w:num>
  <w:num w:numId="4">
    <w:abstractNumId w:val="1"/>
  </w:num>
  <w:num w:numId="5">
    <w:abstractNumId w:val="26"/>
  </w:num>
  <w:num w:numId="6">
    <w:abstractNumId w:val="31"/>
  </w:num>
  <w:num w:numId="7">
    <w:abstractNumId w:val="59"/>
  </w:num>
  <w:num w:numId="8">
    <w:abstractNumId w:val="61"/>
  </w:num>
  <w:num w:numId="9">
    <w:abstractNumId w:val="65"/>
  </w:num>
  <w:num w:numId="10">
    <w:abstractNumId w:val="55"/>
  </w:num>
  <w:num w:numId="11">
    <w:abstractNumId w:val="35"/>
  </w:num>
  <w:num w:numId="12">
    <w:abstractNumId w:val="46"/>
  </w:num>
  <w:num w:numId="13">
    <w:abstractNumId w:val="57"/>
  </w:num>
  <w:num w:numId="14">
    <w:abstractNumId w:val="18"/>
  </w:num>
  <w:num w:numId="15">
    <w:abstractNumId w:val="24"/>
  </w:num>
  <w:num w:numId="16">
    <w:abstractNumId w:val="39"/>
  </w:num>
  <w:num w:numId="17">
    <w:abstractNumId w:val="42"/>
  </w:num>
  <w:num w:numId="18">
    <w:abstractNumId w:val="60"/>
  </w:num>
  <w:num w:numId="19">
    <w:abstractNumId w:val="20"/>
  </w:num>
  <w:num w:numId="20">
    <w:abstractNumId w:val="38"/>
  </w:num>
  <w:num w:numId="21">
    <w:abstractNumId w:val="56"/>
  </w:num>
  <w:num w:numId="22">
    <w:abstractNumId w:val="22"/>
  </w:num>
  <w:num w:numId="23">
    <w:abstractNumId w:val="37"/>
  </w:num>
  <w:num w:numId="24">
    <w:abstractNumId w:val="11"/>
  </w:num>
  <w:num w:numId="25">
    <w:abstractNumId w:val="63"/>
  </w:num>
  <w:num w:numId="26">
    <w:abstractNumId w:val="62"/>
  </w:num>
  <w:num w:numId="27">
    <w:abstractNumId w:val="17"/>
  </w:num>
  <w:num w:numId="28">
    <w:abstractNumId w:val="33"/>
  </w:num>
  <w:num w:numId="29">
    <w:abstractNumId w:val="58"/>
  </w:num>
  <w:num w:numId="30">
    <w:abstractNumId w:val="0"/>
  </w:num>
  <w:num w:numId="31">
    <w:abstractNumId w:val="32"/>
  </w:num>
  <w:num w:numId="32">
    <w:abstractNumId w:val="64"/>
  </w:num>
  <w:num w:numId="33">
    <w:abstractNumId w:val="15"/>
  </w:num>
  <w:num w:numId="34">
    <w:abstractNumId w:val="14"/>
  </w:num>
  <w:num w:numId="35">
    <w:abstractNumId w:val="23"/>
  </w:num>
  <w:num w:numId="36">
    <w:abstractNumId w:val="21"/>
  </w:num>
  <w:num w:numId="37">
    <w:abstractNumId w:val="16"/>
  </w:num>
  <w:num w:numId="38">
    <w:abstractNumId w:val="53"/>
  </w:num>
  <w:num w:numId="39">
    <w:abstractNumId w:val="30"/>
  </w:num>
  <w:num w:numId="40">
    <w:abstractNumId w:val="43"/>
  </w:num>
  <w:num w:numId="41">
    <w:abstractNumId w:val="45"/>
  </w:num>
  <w:num w:numId="42">
    <w:abstractNumId w:val="44"/>
  </w:num>
  <w:num w:numId="43">
    <w:abstractNumId w:val="12"/>
  </w:num>
  <w:num w:numId="44">
    <w:abstractNumId w:val="54"/>
  </w:num>
  <w:num w:numId="45">
    <w:abstractNumId w:val="13"/>
  </w:num>
  <w:num w:numId="46">
    <w:abstractNumId w:val="34"/>
  </w:num>
  <w:num w:numId="47">
    <w:abstractNumId w:val="48"/>
  </w:num>
  <w:num w:numId="48">
    <w:abstractNumId w:val="41"/>
  </w:num>
  <w:num w:numId="49">
    <w:abstractNumId w:val="36"/>
  </w:num>
  <w:num w:numId="50">
    <w:abstractNumId w:val="25"/>
  </w:num>
  <w:num w:numId="51">
    <w:abstractNumId w:val="50"/>
  </w:num>
  <w:num w:numId="52">
    <w:abstractNumId w:val="66"/>
  </w:num>
  <w:num w:numId="53">
    <w:abstractNumId w:val="51"/>
  </w:num>
  <w:num w:numId="54">
    <w:abstractNumId w:val="49"/>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 w:numId="60">
    <w:abstractNumId w:val="29"/>
  </w:num>
  <w:num w:numId="61">
    <w:abstractNumId w:val="4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4804"/>
    <w:rsid w:val="00006704"/>
    <w:rsid w:val="000070C7"/>
    <w:rsid w:val="000113E8"/>
    <w:rsid w:val="00012D72"/>
    <w:rsid w:val="00014970"/>
    <w:rsid w:val="000154A1"/>
    <w:rsid w:val="00022678"/>
    <w:rsid w:val="000264F4"/>
    <w:rsid w:val="00026618"/>
    <w:rsid w:val="00035558"/>
    <w:rsid w:val="00035AF3"/>
    <w:rsid w:val="00040401"/>
    <w:rsid w:val="000408C2"/>
    <w:rsid w:val="000412EE"/>
    <w:rsid w:val="000421CD"/>
    <w:rsid w:val="0004295B"/>
    <w:rsid w:val="00044544"/>
    <w:rsid w:val="00045F7A"/>
    <w:rsid w:val="00047794"/>
    <w:rsid w:val="00047C50"/>
    <w:rsid w:val="00051134"/>
    <w:rsid w:val="00056604"/>
    <w:rsid w:val="00057386"/>
    <w:rsid w:val="00060E39"/>
    <w:rsid w:val="000622DB"/>
    <w:rsid w:val="00062783"/>
    <w:rsid w:val="00065285"/>
    <w:rsid w:val="00067AD1"/>
    <w:rsid w:val="0007321F"/>
    <w:rsid w:val="0007539D"/>
    <w:rsid w:val="00082617"/>
    <w:rsid w:val="000854D5"/>
    <w:rsid w:val="000867EB"/>
    <w:rsid w:val="00090BA3"/>
    <w:rsid w:val="00093B2C"/>
    <w:rsid w:val="00096776"/>
    <w:rsid w:val="000A4BBB"/>
    <w:rsid w:val="000A5874"/>
    <w:rsid w:val="000A58EC"/>
    <w:rsid w:val="000A68BF"/>
    <w:rsid w:val="000B360D"/>
    <w:rsid w:val="000B5565"/>
    <w:rsid w:val="000C1376"/>
    <w:rsid w:val="000C27B0"/>
    <w:rsid w:val="000C402C"/>
    <w:rsid w:val="000C422B"/>
    <w:rsid w:val="000C4D1A"/>
    <w:rsid w:val="000C7BAF"/>
    <w:rsid w:val="000D222D"/>
    <w:rsid w:val="000D39E8"/>
    <w:rsid w:val="000D7CE4"/>
    <w:rsid w:val="000E13C3"/>
    <w:rsid w:val="000E2E21"/>
    <w:rsid w:val="000E3FFA"/>
    <w:rsid w:val="000E49A5"/>
    <w:rsid w:val="000E5990"/>
    <w:rsid w:val="000F0712"/>
    <w:rsid w:val="000F3E6C"/>
    <w:rsid w:val="000F4C64"/>
    <w:rsid w:val="001013B2"/>
    <w:rsid w:val="00102789"/>
    <w:rsid w:val="00102F01"/>
    <w:rsid w:val="00103DD9"/>
    <w:rsid w:val="0010677F"/>
    <w:rsid w:val="001068E3"/>
    <w:rsid w:val="00110114"/>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74C2"/>
    <w:rsid w:val="001417E9"/>
    <w:rsid w:val="00145DE3"/>
    <w:rsid w:val="001476EE"/>
    <w:rsid w:val="00147ACF"/>
    <w:rsid w:val="00147B0D"/>
    <w:rsid w:val="0015461D"/>
    <w:rsid w:val="00155602"/>
    <w:rsid w:val="00155B4D"/>
    <w:rsid w:val="001562E7"/>
    <w:rsid w:val="0015692F"/>
    <w:rsid w:val="00156C87"/>
    <w:rsid w:val="001621AC"/>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0C6"/>
    <w:rsid w:val="001B273F"/>
    <w:rsid w:val="001B56EC"/>
    <w:rsid w:val="001C04E0"/>
    <w:rsid w:val="001C1311"/>
    <w:rsid w:val="001C1A41"/>
    <w:rsid w:val="001C1D8B"/>
    <w:rsid w:val="001C2BE9"/>
    <w:rsid w:val="001C3696"/>
    <w:rsid w:val="001C45C7"/>
    <w:rsid w:val="001D084C"/>
    <w:rsid w:val="001D0D76"/>
    <w:rsid w:val="001D4DCC"/>
    <w:rsid w:val="001D6393"/>
    <w:rsid w:val="001E2220"/>
    <w:rsid w:val="001E58EB"/>
    <w:rsid w:val="001E5E13"/>
    <w:rsid w:val="001E6920"/>
    <w:rsid w:val="001F1472"/>
    <w:rsid w:val="001F1599"/>
    <w:rsid w:val="001F19C9"/>
    <w:rsid w:val="001F3217"/>
    <w:rsid w:val="001F5200"/>
    <w:rsid w:val="001F6212"/>
    <w:rsid w:val="00203A5F"/>
    <w:rsid w:val="00204903"/>
    <w:rsid w:val="00205C7A"/>
    <w:rsid w:val="00205D58"/>
    <w:rsid w:val="002200A7"/>
    <w:rsid w:val="0022317E"/>
    <w:rsid w:val="00223221"/>
    <w:rsid w:val="002243BE"/>
    <w:rsid w:val="0022537A"/>
    <w:rsid w:val="002267C6"/>
    <w:rsid w:val="0023197B"/>
    <w:rsid w:val="00232C5E"/>
    <w:rsid w:val="0023641B"/>
    <w:rsid w:val="002364FF"/>
    <w:rsid w:val="00242EDA"/>
    <w:rsid w:val="00245559"/>
    <w:rsid w:val="00245A2C"/>
    <w:rsid w:val="002515C7"/>
    <w:rsid w:val="00253A13"/>
    <w:rsid w:val="002609CC"/>
    <w:rsid w:val="00261901"/>
    <w:rsid w:val="00261AA2"/>
    <w:rsid w:val="00270698"/>
    <w:rsid w:val="002718B1"/>
    <w:rsid w:val="002744C3"/>
    <w:rsid w:val="002803E5"/>
    <w:rsid w:val="0028291D"/>
    <w:rsid w:val="00290A92"/>
    <w:rsid w:val="00290A95"/>
    <w:rsid w:val="00290B9B"/>
    <w:rsid w:val="00291B6A"/>
    <w:rsid w:val="00295276"/>
    <w:rsid w:val="00296DE8"/>
    <w:rsid w:val="002A057A"/>
    <w:rsid w:val="002A081E"/>
    <w:rsid w:val="002A1202"/>
    <w:rsid w:val="002A1563"/>
    <w:rsid w:val="002A46D7"/>
    <w:rsid w:val="002B0985"/>
    <w:rsid w:val="002B2395"/>
    <w:rsid w:val="002B7AE5"/>
    <w:rsid w:val="002C2022"/>
    <w:rsid w:val="002C42A7"/>
    <w:rsid w:val="002C59EF"/>
    <w:rsid w:val="002C700D"/>
    <w:rsid w:val="002C773C"/>
    <w:rsid w:val="002D27E3"/>
    <w:rsid w:val="002D546A"/>
    <w:rsid w:val="002D6712"/>
    <w:rsid w:val="002E1DFE"/>
    <w:rsid w:val="002E29DE"/>
    <w:rsid w:val="002F0887"/>
    <w:rsid w:val="002F0CB9"/>
    <w:rsid w:val="002F4CE0"/>
    <w:rsid w:val="002F55AF"/>
    <w:rsid w:val="00300017"/>
    <w:rsid w:val="00301414"/>
    <w:rsid w:val="00301CF0"/>
    <w:rsid w:val="0031095D"/>
    <w:rsid w:val="00311164"/>
    <w:rsid w:val="00312896"/>
    <w:rsid w:val="00312959"/>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2D8"/>
    <w:rsid w:val="00386635"/>
    <w:rsid w:val="00392A27"/>
    <w:rsid w:val="00392F3A"/>
    <w:rsid w:val="003A32A1"/>
    <w:rsid w:val="003A3DA5"/>
    <w:rsid w:val="003A5BFD"/>
    <w:rsid w:val="003A6BD0"/>
    <w:rsid w:val="003A6EDE"/>
    <w:rsid w:val="003B02AA"/>
    <w:rsid w:val="003B0542"/>
    <w:rsid w:val="003C00F7"/>
    <w:rsid w:val="003C1E56"/>
    <w:rsid w:val="003C239D"/>
    <w:rsid w:val="003C331D"/>
    <w:rsid w:val="003C4744"/>
    <w:rsid w:val="003C4E96"/>
    <w:rsid w:val="003C6AA5"/>
    <w:rsid w:val="003C6ACE"/>
    <w:rsid w:val="003D5D84"/>
    <w:rsid w:val="003D68F3"/>
    <w:rsid w:val="003D72DD"/>
    <w:rsid w:val="003D789C"/>
    <w:rsid w:val="003E2096"/>
    <w:rsid w:val="003E3A6D"/>
    <w:rsid w:val="003E6821"/>
    <w:rsid w:val="003F0B3E"/>
    <w:rsid w:val="003F13F0"/>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27AC1"/>
    <w:rsid w:val="00432156"/>
    <w:rsid w:val="00436000"/>
    <w:rsid w:val="00442B3E"/>
    <w:rsid w:val="00444F3D"/>
    <w:rsid w:val="00445CF2"/>
    <w:rsid w:val="00450A6B"/>
    <w:rsid w:val="00456395"/>
    <w:rsid w:val="004679B3"/>
    <w:rsid w:val="0047177D"/>
    <w:rsid w:val="00472224"/>
    <w:rsid w:val="004764C7"/>
    <w:rsid w:val="004766E8"/>
    <w:rsid w:val="004779A6"/>
    <w:rsid w:val="00477D1B"/>
    <w:rsid w:val="0048169D"/>
    <w:rsid w:val="00482D17"/>
    <w:rsid w:val="00483623"/>
    <w:rsid w:val="00485E01"/>
    <w:rsid w:val="00490230"/>
    <w:rsid w:val="00494A88"/>
    <w:rsid w:val="0049648D"/>
    <w:rsid w:val="00496AF6"/>
    <w:rsid w:val="0049747E"/>
    <w:rsid w:val="00497F56"/>
    <w:rsid w:val="004A0A69"/>
    <w:rsid w:val="004A2EB6"/>
    <w:rsid w:val="004A34BA"/>
    <w:rsid w:val="004A4BAC"/>
    <w:rsid w:val="004B2062"/>
    <w:rsid w:val="004B3819"/>
    <w:rsid w:val="004B63E2"/>
    <w:rsid w:val="004B7547"/>
    <w:rsid w:val="004C0D51"/>
    <w:rsid w:val="004C228B"/>
    <w:rsid w:val="004C2849"/>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167"/>
    <w:rsid w:val="0051469E"/>
    <w:rsid w:val="005146B9"/>
    <w:rsid w:val="00514A67"/>
    <w:rsid w:val="00520BD3"/>
    <w:rsid w:val="00523A4B"/>
    <w:rsid w:val="00525E97"/>
    <w:rsid w:val="0052743E"/>
    <w:rsid w:val="005321B7"/>
    <w:rsid w:val="00534A92"/>
    <w:rsid w:val="00536040"/>
    <w:rsid w:val="0053683D"/>
    <w:rsid w:val="005403A0"/>
    <w:rsid w:val="00542BD2"/>
    <w:rsid w:val="00543456"/>
    <w:rsid w:val="005474CD"/>
    <w:rsid w:val="0055399A"/>
    <w:rsid w:val="00561BC9"/>
    <w:rsid w:val="005630C6"/>
    <w:rsid w:val="005729D3"/>
    <w:rsid w:val="00573CF6"/>
    <w:rsid w:val="0057568A"/>
    <w:rsid w:val="005815EF"/>
    <w:rsid w:val="00582077"/>
    <w:rsid w:val="00583D15"/>
    <w:rsid w:val="00584C82"/>
    <w:rsid w:val="005852F8"/>
    <w:rsid w:val="00591CC7"/>
    <w:rsid w:val="005936C8"/>
    <w:rsid w:val="0059554E"/>
    <w:rsid w:val="005A0EA1"/>
    <w:rsid w:val="005A1036"/>
    <w:rsid w:val="005A7806"/>
    <w:rsid w:val="005C1715"/>
    <w:rsid w:val="005C18CA"/>
    <w:rsid w:val="005C19F3"/>
    <w:rsid w:val="005C2598"/>
    <w:rsid w:val="005C6648"/>
    <w:rsid w:val="005C6810"/>
    <w:rsid w:val="005D5720"/>
    <w:rsid w:val="005D6108"/>
    <w:rsid w:val="005D65CF"/>
    <w:rsid w:val="005E0F11"/>
    <w:rsid w:val="005E20EA"/>
    <w:rsid w:val="005E358F"/>
    <w:rsid w:val="005E5009"/>
    <w:rsid w:val="005E5103"/>
    <w:rsid w:val="005E7A59"/>
    <w:rsid w:val="005F0B36"/>
    <w:rsid w:val="005F16F6"/>
    <w:rsid w:val="005F1781"/>
    <w:rsid w:val="005F1BAD"/>
    <w:rsid w:val="005F4922"/>
    <w:rsid w:val="00600340"/>
    <w:rsid w:val="006029AA"/>
    <w:rsid w:val="006051F9"/>
    <w:rsid w:val="0060612E"/>
    <w:rsid w:val="00611663"/>
    <w:rsid w:val="006236F4"/>
    <w:rsid w:val="00630F5B"/>
    <w:rsid w:val="006325B8"/>
    <w:rsid w:val="0063355B"/>
    <w:rsid w:val="0063475E"/>
    <w:rsid w:val="006362A5"/>
    <w:rsid w:val="00640F83"/>
    <w:rsid w:val="00643841"/>
    <w:rsid w:val="0064744A"/>
    <w:rsid w:val="00653C56"/>
    <w:rsid w:val="00653FB4"/>
    <w:rsid w:val="00654A71"/>
    <w:rsid w:val="00657C93"/>
    <w:rsid w:val="00660C76"/>
    <w:rsid w:val="006676C4"/>
    <w:rsid w:val="00672541"/>
    <w:rsid w:val="00676EE2"/>
    <w:rsid w:val="006812BD"/>
    <w:rsid w:val="006861B4"/>
    <w:rsid w:val="0069308B"/>
    <w:rsid w:val="006A0525"/>
    <w:rsid w:val="006A1085"/>
    <w:rsid w:val="006A19C4"/>
    <w:rsid w:val="006A3C4A"/>
    <w:rsid w:val="006A7320"/>
    <w:rsid w:val="006B2B44"/>
    <w:rsid w:val="006C05AE"/>
    <w:rsid w:val="006C21C3"/>
    <w:rsid w:val="006C244D"/>
    <w:rsid w:val="006C28E2"/>
    <w:rsid w:val="006C327A"/>
    <w:rsid w:val="006C3830"/>
    <w:rsid w:val="006C454E"/>
    <w:rsid w:val="006C5510"/>
    <w:rsid w:val="006D0BE8"/>
    <w:rsid w:val="006D588E"/>
    <w:rsid w:val="006D6274"/>
    <w:rsid w:val="006D7B99"/>
    <w:rsid w:val="006E32A4"/>
    <w:rsid w:val="006E7119"/>
    <w:rsid w:val="006F0C9D"/>
    <w:rsid w:val="006F2F31"/>
    <w:rsid w:val="006F3003"/>
    <w:rsid w:val="006F58F3"/>
    <w:rsid w:val="006F7A09"/>
    <w:rsid w:val="00700058"/>
    <w:rsid w:val="00704369"/>
    <w:rsid w:val="007043CF"/>
    <w:rsid w:val="0070646C"/>
    <w:rsid w:val="00706B28"/>
    <w:rsid w:val="00711E0F"/>
    <w:rsid w:val="007156BD"/>
    <w:rsid w:val="00721FA3"/>
    <w:rsid w:val="00722C67"/>
    <w:rsid w:val="00726810"/>
    <w:rsid w:val="0074109B"/>
    <w:rsid w:val="00742863"/>
    <w:rsid w:val="007438AE"/>
    <w:rsid w:val="00743AF1"/>
    <w:rsid w:val="00746DB6"/>
    <w:rsid w:val="00761865"/>
    <w:rsid w:val="00764191"/>
    <w:rsid w:val="0077613B"/>
    <w:rsid w:val="00781EC2"/>
    <w:rsid w:val="00790A12"/>
    <w:rsid w:val="007912C4"/>
    <w:rsid w:val="007920B0"/>
    <w:rsid w:val="0079361F"/>
    <w:rsid w:val="007A5D8A"/>
    <w:rsid w:val="007A7332"/>
    <w:rsid w:val="007B0625"/>
    <w:rsid w:val="007B6164"/>
    <w:rsid w:val="007C28B1"/>
    <w:rsid w:val="007C50C2"/>
    <w:rsid w:val="007C57F5"/>
    <w:rsid w:val="007C6C51"/>
    <w:rsid w:val="007D3412"/>
    <w:rsid w:val="007D3DE0"/>
    <w:rsid w:val="007D4247"/>
    <w:rsid w:val="007D70A5"/>
    <w:rsid w:val="007E0482"/>
    <w:rsid w:val="007E04A5"/>
    <w:rsid w:val="007E09C4"/>
    <w:rsid w:val="007E3547"/>
    <w:rsid w:val="007F0981"/>
    <w:rsid w:val="007F2666"/>
    <w:rsid w:val="00805271"/>
    <w:rsid w:val="008066B5"/>
    <w:rsid w:val="00811253"/>
    <w:rsid w:val="008116E9"/>
    <w:rsid w:val="00817A9B"/>
    <w:rsid w:val="00820919"/>
    <w:rsid w:val="00823626"/>
    <w:rsid w:val="00824962"/>
    <w:rsid w:val="0083635F"/>
    <w:rsid w:val="00845049"/>
    <w:rsid w:val="00846B16"/>
    <w:rsid w:val="00846C4F"/>
    <w:rsid w:val="00851330"/>
    <w:rsid w:val="00852A27"/>
    <w:rsid w:val="008604DA"/>
    <w:rsid w:val="00862722"/>
    <w:rsid w:val="00862DC3"/>
    <w:rsid w:val="0086657D"/>
    <w:rsid w:val="00867820"/>
    <w:rsid w:val="00867AA1"/>
    <w:rsid w:val="008755A8"/>
    <w:rsid w:val="00875B8B"/>
    <w:rsid w:val="008772D1"/>
    <w:rsid w:val="008814B8"/>
    <w:rsid w:val="008815A1"/>
    <w:rsid w:val="0088229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3D26"/>
    <w:rsid w:val="008B66E4"/>
    <w:rsid w:val="008B731C"/>
    <w:rsid w:val="008C3E1E"/>
    <w:rsid w:val="008C46F9"/>
    <w:rsid w:val="008D27A5"/>
    <w:rsid w:val="008D3A03"/>
    <w:rsid w:val="008D7D48"/>
    <w:rsid w:val="008E0443"/>
    <w:rsid w:val="008E1789"/>
    <w:rsid w:val="008E18EB"/>
    <w:rsid w:val="008E2C5B"/>
    <w:rsid w:val="008E4F1C"/>
    <w:rsid w:val="008F0D3A"/>
    <w:rsid w:val="008F2704"/>
    <w:rsid w:val="008F35ED"/>
    <w:rsid w:val="008F4D73"/>
    <w:rsid w:val="008F4DED"/>
    <w:rsid w:val="008F76B4"/>
    <w:rsid w:val="0090296E"/>
    <w:rsid w:val="00907C2A"/>
    <w:rsid w:val="00913EB1"/>
    <w:rsid w:val="009175CC"/>
    <w:rsid w:val="009222D9"/>
    <w:rsid w:val="0092387E"/>
    <w:rsid w:val="00924712"/>
    <w:rsid w:val="00925E69"/>
    <w:rsid w:val="0092690C"/>
    <w:rsid w:val="00926B4A"/>
    <w:rsid w:val="00927570"/>
    <w:rsid w:val="00927EEC"/>
    <w:rsid w:val="00931520"/>
    <w:rsid w:val="00932E35"/>
    <w:rsid w:val="0093464A"/>
    <w:rsid w:val="00937D90"/>
    <w:rsid w:val="00940386"/>
    <w:rsid w:val="0094157A"/>
    <w:rsid w:val="009422A9"/>
    <w:rsid w:val="009430FB"/>
    <w:rsid w:val="00943822"/>
    <w:rsid w:val="009459DF"/>
    <w:rsid w:val="00951319"/>
    <w:rsid w:val="0095187E"/>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A4ECB"/>
    <w:rsid w:val="009B438F"/>
    <w:rsid w:val="009B5855"/>
    <w:rsid w:val="009B6378"/>
    <w:rsid w:val="009C087B"/>
    <w:rsid w:val="009C2CF8"/>
    <w:rsid w:val="009D32BB"/>
    <w:rsid w:val="009D4D5F"/>
    <w:rsid w:val="009E25F8"/>
    <w:rsid w:val="009E3D57"/>
    <w:rsid w:val="009E6E42"/>
    <w:rsid w:val="009F17CB"/>
    <w:rsid w:val="009F2072"/>
    <w:rsid w:val="009F2470"/>
    <w:rsid w:val="009F3A40"/>
    <w:rsid w:val="009F457A"/>
    <w:rsid w:val="00A02CEA"/>
    <w:rsid w:val="00A10B46"/>
    <w:rsid w:val="00A10D9D"/>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372F"/>
    <w:rsid w:val="00A54A6D"/>
    <w:rsid w:val="00A601C6"/>
    <w:rsid w:val="00A6272D"/>
    <w:rsid w:val="00A63B01"/>
    <w:rsid w:val="00A65712"/>
    <w:rsid w:val="00A67CF0"/>
    <w:rsid w:val="00A74724"/>
    <w:rsid w:val="00A750C0"/>
    <w:rsid w:val="00A800FF"/>
    <w:rsid w:val="00A80B1C"/>
    <w:rsid w:val="00A80E90"/>
    <w:rsid w:val="00A81CF8"/>
    <w:rsid w:val="00A8213A"/>
    <w:rsid w:val="00A8403F"/>
    <w:rsid w:val="00A95227"/>
    <w:rsid w:val="00A96307"/>
    <w:rsid w:val="00A9733C"/>
    <w:rsid w:val="00AA07CE"/>
    <w:rsid w:val="00AA17A3"/>
    <w:rsid w:val="00AA2701"/>
    <w:rsid w:val="00AA35DF"/>
    <w:rsid w:val="00AA4884"/>
    <w:rsid w:val="00AA4FEB"/>
    <w:rsid w:val="00AA5F53"/>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2AE6"/>
    <w:rsid w:val="00B35831"/>
    <w:rsid w:val="00B406F4"/>
    <w:rsid w:val="00B41244"/>
    <w:rsid w:val="00B445C5"/>
    <w:rsid w:val="00B44757"/>
    <w:rsid w:val="00B44A5A"/>
    <w:rsid w:val="00B45C2C"/>
    <w:rsid w:val="00B477D1"/>
    <w:rsid w:val="00B500A6"/>
    <w:rsid w:val="00B51EC9"/>
    <w:rsid w:val="00B5440F"/>
    <w:rsid w:val="00B60119"/>
    <w:rsid w:val="00B62580"/>
    <w:rsid w:val="00B70009"/>
    <w:rsid w:val="00B71383"/>
    <w:rsid w:val="00B76119"/>
    <w:rsid w:val="00B76A92"/>
    <w:rsid w:val="00B80079"/>
    <w:rsid w:val="00B808A4"/>
    <w:rsid w:val="00B80A8F"/>
    <w:rsid w:val="00B80EB9"/>
    <w:rsid w:val="00B81692"/>
    <w:rsid w:val="00B82154"/>
    <w:rsid w:val="00B836CF"/>
    <w:rsid w:val="00B877EE"/>
    <w:rsid w:val="00B90353"/>
    <w:rsid w:val="00B90D8D"/>
    <w:rsid w:val="00B93F44"/>
    <w:rsid w:val="00B96E1C"/>
    <w:rsid w:val="00BA0107"/>
    <w:rsid w:val="00BA19DC"/>
    <w:rsid w:val="00BA43AE"/>
    <w:rsid w:val="00BA43B6"/>
    <w:rsid w:val="00BA5A82"/>
    <w:rsid w:val="00BA6121"/>
    <w:rsid w:val="00BB22F5"/>
    <w:rsid w:val="00BB25C6"/>
    <w:rsid w:val="00BB64A5"/>
    <w:rsid w:val="00BB7D26"/>
    <w:rsid w:val="00BC2CDF"/>
    <w:rsid w:val="00BD01CF"/>
    <w:rsid w:val="00BD07CA"/>
    <w:rsid w:val="00BD08A9"/>
    <w:rsid w:val="00BD24CC"/>
    <w:rsid w:val="00BD3620"/>
    <w:rsid w:val="00BD5B80"/>
    <w:rsid w:val="00BE1E8B"/>
    <w:rsid w:val="00BE3BFA"/>
    <w:rsid w:val="00BE6D63"/>
    <w:rsid w:val="00BF097B"/>
    <w:rsid w:val="00BF3C09"/>
    <w:rsid w:val="00BF4262"/>
    <w:rsid w:val="00BF4697"/>
    <w:rsid w:val="00C0124C"/>
    <w:rsid w:val="00C017F7"/>
    <w:rsid w:val="00C01B71"/>
    <w:rsid w:val="00C04053"/>
    <w:rsid w:val="00C0574E"/>
    <w:rsid w:val="00C06DED"/>
    <w:rsid w:val="00C06EB9"/>
    <w:rsid w:val="00C07636"/>
    <w:rsid w:val="00C13467"/>
    <w:rsid w:val="00C1637C"/>
    <w:rsid w:val="00C22AAF"/>
    <w:rsid w:val="00C27F2D"/>
    <w:rsid w:val="00C32ED8"/>
    <w:rsid w:val="00C33537"/>
    <w:rsid w:val="00C35402"/>
    <w:rsid w:val="00C3747E"/>
    <w:rsid w:val="00C4241C"/>
    <w:rsid w:val="00C4334D"/>
    <w:rsid w:val="00C457A0"/>
    <w:rsid w:val="00C46C67"/>
    <w:rsid w:val="00C500F7"/>
    <w:rsid w:val="00C54184"/>
    <w:rsid w:val="00C62BEB"/>
    <w:rsid w:val="00C63982"/>
    <w:rsid w:val="00C67573"/>
    <w:rsid w:val="00C70D72"/>
    <w:rsid w:val="00C720F5"/>
    <w:rsid w:val="00C757FD"/>
    <w:rsid w:val="00C80973"/>
    <w:rsid w:val="00C80AD9"/>
    <w:rsid w:val="00C84C98"/>
    <w:rsid w:val="00C859EF"/>
    <w:rsid w:val="00C91925"/>
    <w:rsid w:val="00C91D55"/>
    <w:rsid w:val="00C9492D"/>
    <w:rsid w:val="00C949B0"/>
    <w:rsid w:val="00CA196B"/>
    <w:rsid w:val="00CA6796"/>
    <w:rsid w:val="00CA72F3"/>
    <w:rsid w:val="00CA7873"/>
    <w:rsid w:val="00CB0E24"/>
    <w:rsid w:val="00CB25B1"/>
    <w:rsid w:val="00CB37B9"/>
    <w:rsid w:val="00CB5AFF"/>
    <w:rsid w:val="00CB6E4A"/>
    <w:rsid w:val="00CB7427"/>
    <w:rsid w:val="00CC1D73"/>
    <w:rsid w:val="00CD4DCB"/>
    <w:rsid w:val="00CE0903"/>
    <w:rsid w:val="00CE0BF9"/>
    <w:rsid w:val="00CE2347"/>
    <w:rsid w:val="00CE6332"/>
    <w:rsid w:val="00CF14D1"/>
    <w:rsid w:val="00CF730D"/>
    <w:rsid w:val="00CF7F3A"/>
    <w:rsid w:val="00D00E82"/>
    <w:rsid w:val="00D01AE7"/>
    <w:rsid w:val="00D05BF4"/>
    <w:rsid w:val="00D06399"/>
    <w:rsid w:val="00D06B76"/>
    <w:rsid w:val="00D06DB1"/>
    <w:rsid w:val="00D11D89"/>
    <w:rsid w:val="00D15A87"/>
    <w:rsid w:val="00D205FD"/>
    <w:rsid w:val="00D20BF0"/>
    <w:rsid w:val="00D261DB"/>
    <w:rsid w:val="00D378F6"/>
    <w:rsid w:val="00D46A0C"/>
    <w:rsid w:val="00D52B86"/>
    <w:rsid w:val="00D54D64"/>
    <w:rsid w:val="00D57137"/>
    <w:rsid w:val="00D63B32"/>
    <w:rsid w:val="00D6465E"/>
    <w:rsid w:val="00D64F7A"/>
    <w:rsid w:val="00D6505F"/>
    <w:rsid w:val="00D65CF7"/>
    <w:rsid w:val="00D65E32"/>
    <w:rsid w:val="00D70D83"/>
    <w:rsid w:val="00D714EF"/>
    <w:rsid w:val="00D731B1"/>
    <w:rsid w:val="00D742CF"/>
    <w:rsid w:val="00D81076"/>
    <w:rsid w:val="00D84045"/>
    <w:rsid w:val="00D878A0"/>
    <w:rsid w:val="00D90CDF"/>
    <w:rsid w:val="00D9165B"/>
    <w:rsid w:val="00D94F6C"/>
    <w:rsid w:val="00D96749"/>
    <w:rsid w:val="00DA4268"/>
    <w:rsid w:val="00DA50AC"/>
    <w:rsid w:val="00DB3594"/>
    <w:rsid w:val="00DB43F6"/>
    <w:rsid w:val="00DB6CDA"/>
    <w:rsid w:val="00DC121F"/>
    <w:rsid w:val="00DC17C6"/>
    <w:rsid w:val="00DC2C77"/>
    <w:rsid w:val="00DC2C8B"/>
    <w:rsid w:val="00DC2C9A"/>
    <w:rsid w:val="00DC39BC"/>
    <w:rsid w:val="00DC462B"/>
    <w:rsid w:val="00DD2E9D"/>
    <w:rsid w:val="00DD47B4"/>
    <w:rsid w:val="00DE1E38"/>
    <w:rsid w:val="00DE37EA"/>
    <w:rsid w:val="00DE3D86"/>
    <w:rsid w:val="00DE5D89"/>
    <w:rsid w:val="00DE693A"/>
    <w:rsid w:val="00DF3975"/>
    <w:rsid w:val="00DF4A60"/>
    <w:rsid w:val="00DF4AA6"/>
    <w:rsid w:val="00DF7DBA"/>
    <w:rsid w:val="00E007AD"/>
    <w:rsid w:val="00E01500"/>
    <w:rsid w:val="00E019D0"/>
    <w:rsid w:val="00E02722"/>
    <w:rsid w:val="00E02775"/>
    <w:rsid w:val="00E0298F"/>
    <w:rsid w:val="00E0442E"/>
    <w:rsid w:val="00E05221"/>
    <w:rsid w:val="00E05E81"/>
    <w:rsid w:val="00E05ED8"/>
    <w:rsid w:val="00E11440"/>
    <w:rsid w:val="00E12A66"/>
    <w:rsid w:val="00E14B00"/>
    <w:rsid w:val="00E15B2D"/>
    <w:rsid w:val="00E16636"/>
    <w:rsid w:val="00E17F77"/>
    <w:rsid w:val="00E22F11"/>
    <w:rsid w:val="00E26435"/>
    <w:rsid w:val="00E2696F"/>
    <w:rsid w:val="00E304EE"/>
    <w:rsid w:val="00E32516"/>
    <w:rsid w:val="00E3463F"/>
    <w:rsid w:val="00E41780"/>
    <w:rsid w:val="00E41F39"/>
    <w:rsid w:val="00E4319E"/>
    <w:rsid w:val="00E444CD"/>
    <w:rsid w:val="00E46A6F"/>
    <w:rsid w:val="00E512F4"/>
    <w:rsid w:val="00E5297B"/>
    <w:rsid w:val="00E52F68"/>
    <w:rsid w:val="00E542CD"/>
    <w:rsid w:val="00E54FC6"/>
    <w:rsid w:val="00E566EB"/>
    <w:rsid w:val="00E605B3"/>
    <w:rsid w:val="00E62BF5"/>
    <w:rsid w:val="00E64906"/>
    <w:rsid w:val="00E673FD"/>
    <w:rsid w:val="00E70192"/>
    <w:rsid w:val="00E71069"/>
    <w:rsid w:val="00E72D64"/>
    <w:rsid w:val="00E73875"/>
    <w:rsid w:val="00E748D7"/>
    <w:rsid w:val="00E774B0"/>
    <w:rsid w:val="00E777BC"/>
    <w:rsid w:val="00E8132F"/>
    <w:rsid w:val="00E82B0F"/>
    <w:rsid w:val="00E8302D"/>
    <w:rsid w:val="00E83340"/>
    <w:rsid w:val="00E85A3D"/>
    <w:rsid w:val="00E90B28"/>
    <w:rsid w:val="00E91B78"/>
    <w:rsid w:val="00E93C3B"/>
    <w:rsid w:val="00E94EAD"/>
    <w:rsid w:val="00E964F3"/>
    <w:rsid w:val="00E97A3F"/>
    <w:rsid w:val="00EA1A21"/>
    <w:rsid w:val="00EA5966"/>
    <w:rsid w:val="00EA6005"/>
    <w:rsid w:val="00EA610D"/>
    <w:rsid w:val="00EB16E2"/>
    <w:rsid w:val="00EB1ABC"/>
    <w:rsid w:val="00EB2009"/>
    <w:rsid w:val="00EB2C30"/>
    <w:rsid w:val="00EB3FCC"/>
    <w:rsid w:val="00EB687B"/>
    <w:rsid w:val="00EB7AF1"/>
    <w:rsid w:val="00EC037A"/>
    <w:rsid w:val="00EC6D25"/>
    <w:rsid w:val="00ED14D6"/>
    <w:rsid w:val="00ED1B4C"/>
    <w:rsid w:val="00ED2B7B"/>
    <w:rsid w:val="00ED6095"/>
    <w:rsid w:val="00ED757B"/>
    <w:rsid w:val="00EE0695"/>
    <w:rsid w:val="00EE226A"/>
    <w:rsid w:val="00EE3B2D"/>
    <w:rsid w:val="00EF2733"/>
    <w:rsid w:val="00EF4286"/>
    <w:rsid w:val="00EF5F69"/>
    <w:rsid w:val="00EF6485"/>
    <w:rsid w:val="00EF7653"/>
    <w:rsid w:val="00F01C88"/>
    <w:rsid w:val="00F02494"/>
    <w:rsid w:val="00F05E30"/>
    <w:rsid w:val="00F13769"/>
    <w:rsid w:val="00F138A4"/>
    <w:rsid w:val="00F14413"/>
    <w:rsid w:val="00F150B3"/>
    <w:rsid w:val="00F17666"/>
    <w:rsid w:val="00F228AD"/>
    <w:rsid w:val="00F255D3"/>
    <w:rsid w:val="00F301CE"/>
    <w:rsid w:val="00F304D5"/>
    <w:rsid w:val="00F31509"/>
    <w:rsid w:val="00F3178F"/>
    <w:rsid w:val="00F31AAA"/>
    <w:rsid w:val="00F35597"/>
    <w:rsid w:val="00F360BA"/>
    <w:rsid w:val="00F37761"/>
    <w:rsid w:val="00F416D3"/>
    <w:rsid w:val="00F419F3"/>
    <w:rsid w:val="00F4359C"/>
    <w:rsid w:val="00F441D0"/>
    <w:rsid w:val="00F449C6"/>
    <w:rsid w:val="00F460C7"/>
    <w:rsid w:val="00F53012"/>
    <w:rsid w:val="00F5550E"/>
    <w:rsid w:val="00F573D0"/>
    <w:rsid w:val="00F5751E"/>
    <w:rsid w:val="00F5779A"/>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BE3"/>
    <w:rsid w:val="00FA3F98"/>
    <w:rsid w:val="00FA7BE2"/>
    <w:rsid w:val="00FB12DF"/>
    <w:rsid w:val="00FB13E7"/>
    <w:rsid w:val="00FB1802"/>
    <w:rsid w:val="00FB1C8E"/>
    <w:rsid w:val="00FB5DAD"/>
    <w:rsid w:val="00FB6315"/>
    <w:rsid w:val="00FC0360"/>
    <w:rsid w:val="00FC5A62"/>
    <w:rsid w:val="00FC5D04"/>
    <w:rsid w:val="00FC6477"/>
    <w:rsid w:val="00FD11AB"/>
    <w:rsid w:val="00FD1CAB"/>
    <w:rsid w:val="00FD2564"/>
    <w:rsid w:val="00FD2577"/>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32AE6"/>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32AE6"/>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autoRedefine/>
    <w:uiPriority w:val="9"/>
    <w:qFormat/>
    <w:rsid w:val="00C4334D"/>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32AE6"/>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uiPriority w:val="9"/>
    <w:rsid w:val="0093464A"/>
    <w:rPr>
      <w:rFonts w:ascii="Franklin Gothic Book" w:eastAsia="Times New Roman" w:hAnsi="Franklin Gothic Book" w:cs="Times New Roman"/>
      <w:b/>
      <w:bCs/>
      <w:i/>
      <w:iCs/>
      <w:sz w:val="28"/>
      <w:szCs w:val="28"/>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32AE6"/>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32AE6"/>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32AE6"/>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32AE6"/>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32AE6"/>
    <w:pPr>
      <w:spacing w:after="0" w:line="240" w:lineRule="auto"/>
    </w:pPr>
  </w:style>
  <w:style w:type="paragraph" w:styleId="Footer">
    <w:name w:val="footer"/>
    <w:basedOn w:val="Normal"/>
    <w:link w:val="FooterChar"/>
    <w:uiPriority w:val="99"/>
    <w:rsid w:val="00B32AE6"/>
    <w:pPr>
      <w:spacing w:after="0" w:line="240" w:lineRule="auto"/>
    </w:pPr>
  </w:style>
  <w:style w:type="paragraph" w:styleId="BalloonText">
    <w:name w:val="Balloon Text"/>
    <w:basedOn w:val="Normal"/>
    <w:link w:val="BalloonTextChar"/>
    <w:uiPriority w:val="99"/>
    <w:rsid w:val="00B32AE6"/>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32AE6"/>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32AE6"/>
    <w:rPr>
      <w:sz w:val="20"/>
      <w:szCs w:val="20"/>
    </w:rPr>
  </w:style>
  <w:style w:type="paragraph" w:styleId="CommentSubject">
    <w:name w:val="annotation subject"/>
    <w:basedOn w:val="CommentText"/>
    <w:next w:val="CommentText"/>
    <w:link w:val="CommentSubjectChar"/>
    <w:uiPriority w:val="99"/>
    <w:rsid w:val="00B32AE6"/>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32AE6"/>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32AE6"/>
    <w:rPr>
      <w:rFonts w:ascii="Calibri" w:eastAsia="SimSun" w:hAnsi="Calibri" w:cs="Arial"/>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32AE6"/>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32AE6"/>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autoRedefine/>
    <w:uiPriority w:val="9"/>
    <w:qFormat/>
    <w:rsid w:val="00C4334D"/>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32AE6"/>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uiPriority w:val="9"/>
    <w:rsid w:val="0093464A"/>
    <w:rPr>
      <w:rFonts w:ascii="Franklin Gothic Book" w:eastAsia="Times New Roman" w:hAnsi="Franklin Gothic Book" w:cs="Times New Roman"/>
      <w:b/>
      <w:bCs/>
      <w:i/>
      <w:iCs/>
      <w:sz w:val="28"/>
      <w:szCs w:val="28"/>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32AE6"/>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32AE6"/>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32AE6"/>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32AE6"/>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32AE6"/>
    <w:pPr>
      <w:spacing w:after="0" w:line="240" w:lineRule="auto"/>
    </w:pPr>
  </w:style>
  <w:style w:type="paragraph" w:styleId="Footer">
    <w:name w:val="footer"/>
    <w:basedOn w:val="Normal"/>
    <w:link w:val="FooterChar"/>
    <w:uiPriority w:val="99"/>
    <w:rsid w:val="00B32AE6"/>
    <w:pPr>
      <w:spacing w:after="0" w:line="240" w:lineRule="auto"/>
    </w:pPr>
  </w:style>
  <w:style w:type="paragraph" w:styleId="BalloonText">
    <w:name w:val="Balloon Text"/>
    <w:basedOn w:val="Normal"/>
    <w:link w:val="BalloonTextChar"/>
    <w:uiPriority w:val="99"/>
    <w:rsid w:val="00B32AE6"/>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32AE6"/>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32AE6"/>
    <w:rPr>
      <w:sz w:val="20"/>
      <w:szCs w:val="20"/>
    </w:rPr>
  </w:style>
  <w:style w:type="paragraph" w:styleId="CommentSubject">
    <w:name w:val="annotation subject"/>
    <w:basedOn w:val="CommentText"/>
    <w:next w:val="CommentText"/>
    <w:link w:val="CommentSubjectChar"/>
    <w:uiPriority w:val="99"/>
    <w:rsid w:val="00B32AE6"/>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32AE6"/>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32AE6"/>
    <w:rPr>
      <w:rFonts w:ascii="Calibri" w:eastAsia="SimSun" w:hAnsi="Calibri" w:cs="Arial"/>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6249385">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nstats.un.org/unsd/trade/methodology%20imts.htm" TargetMode="External"/><Relationship Id="rId18" Type="http://schemas.openxmlformats.org/officeDocument/2006/relationships/image" Target="media/image4.png"/><Relationship Id="Re862b6801c3e46d8" Type="http://schemas.microsoft.com/office/2011/relationships/people" Target="people.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comtrade.un.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unstats.un.org/unsd/trade/imts/imts_default.htm" TargetMode="External"/><Relationship Id="rId22" Type="http://schemas.openxmlformats.org/officeDocument/2006/relationships/theme" Target="theme/theme1.xml"/><Relationship Id="R253b5b2377a046ce"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wcoomd.org/en/topics/nomenclature/overview/what-is-the-harmonized-syste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E2D10-AC77-420D-A3CD-DBA291E57EE7}">
  <ds:schemaRefs>
    <ds:schemaRef ds:uri="http://schemas.openxmlformats.org/officeDocument/2006/bibliography"/>
  </ds:schemaRefs>
</ds:datastoreItem>
</file>

<file path=customXml/itemProps2.xml><?xml version="1.0" encoding="utf-8"?>
<ds:datastoreItem xmlns:ds="http://schemas.openxmlformats.org/officeDocument/2006/customXml" ds:itemID="{F0DFF5D3-9494-486E-A87B-F2F8ED23E24C}">
  <ds:schemaRefs>
    <ds:schemaRef ds:uri="http://schemas.openxmlformats.org/officeDocument/2006/bibliography"/>
  </ds:schemaRefs>
</ds:datastoreItem>
</file>

<file path=customXml/itemProps3.xml><?xml version="1.0" encoding="utf-8"?>
<ds:datastoreItem xmlns:ds="http://schemas.openxmlformats.org/officeDocument/2006/customXml" ds:itemID="{3241C80C-4E48-4403-B095-4F315B90C40F}">
  <ds:schemaRefs>
    <ds:schemaRef ds:uri="http://schemas.openxmlformats.org/officeDocument/2006/bibliography"/>
  </ds:schemaRefs>
</ds:datastoreItem>
</file>

<file path=customXml/itemProps4.xml><?xml version="1.0" encoding="utf-8"?>
<ds:datastoreItem xmlns:ds="http://schemas.openxmlformats.org/officeDocument/2006/customXml" ds:itemID="{8D635F7E-2323-47C6-8C52-FAD5C8A1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2015-10-22T12:14:00Z</dcterms:created>
  <dcterms:modified xsi:type="dcterms:W3CDTF">2015-10-23T08:11:00Z</dcterms:modified>
</cp:coreProperties>
</file>