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934D47" w14:textId="77777777" w:rsidR="004F65E4" w:rsidRPr="00E03A09" w:rsidRDefault="004F65E4" w:rsidP="00E03A09">
      <w:pPr>
        <w:pStyle w:val="Heading2"/>
      </w:pPr>
      <w:bookmarkStart w:id="0" w:name="_Toc421025877"/>
      <w:bookmarkStart w:id="1" w:name="_Toc428383840"/>
      <w:bookmarkStart w:id="2" w:name="_Toc428436062"/>
      <w:bookmarkStart w:id="3" w:name="_Toc428436363"/>
      <w:bookmarkStart w:id="4" w:name="_Toc428436489"/>
      <w:r w:rsidRPr="00E03A09">
        <w:t>Food</w:t>
      </w:r>
      <w:bookmarkEnd w:id="0"/>
      <w:bookmarkEnd w:id="1"/>
      <w:bookmarkEnd w:id="2"/>
      <w:bookmarkEnd w:id="3"/>
      <w:bookmarkEnd w:id="4"/>
    </w:p>
    <w:p w14:paraId="4A086D7E" w14:textId="77777777" w:rsidR="004F65E4" w:rsidRPr="00F31509" w:rsidRDefault="004F65E4" w:rsidP="004F65E4">
      <w:pPr>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 xml:space="preserve">The basic idea behind the Food Balance Sheets has always been to derive food as the balancing item between supply and </w:t>
      </w:r>
      <w:r w:rsidR="006C05AE" w:rsidRPr="00F31509">
        <w:rPr>
          <w:rFonts w:asciiTheme="majorBidi" w:eastAsia="Times New Roman" w:hAnsiTheme="majorBidi" w:cstheme="majorBidi"/>
          <w:color w:val="000000" w:themeColor="text1"/>
          <w:lang w:val="en-GB"/>
        </w:rPr>
        <w:t>all other forms of utilization</w:t>
      </w:r>
      <w:r w:rsidRPr="00F31509">
        <w:rPr>
          <w:rFonts w:asciiTheme="majorBidi" w:eastAsia="Times New Roman" w:hAnsiTheme="majorBidi" w:cstheme="majorBidi"/>
          <w:color w:val="000000" w:themeColor="text1"/>
          <w:lang w:val="en-GB"/>
        </w:rPr>
        <w:t>. This is still a valid approach and FBS compilers are encouraged to continue this approach, as long as certain conditions are met. Initial estimates</w:t>
      </w:r>
      <w:r w:rsidRPr="00F31509">
        <w:rPr>
          <w:rStyle w:val="FootnoteReference"/>
          <w:rFonts w:asciiTheme="majorBidi" w:eastAsia="Times New Roman" w:hAnsiTheme="majorBidi" w:cstheme="majorBidi"/>
          <w:color w:val="000000" w:themeColor="text1"/>
          <w:lang w:val="en-GB"/>
        </w:rPr>
        <w:footnoteReference w:id="2"/>
      </w:r>
      <w:r w:rsidR="004B2062" w:rsidRPr="00F31509">
        <w:rPr>
          <w:rFonts w:asciiTheme="majorBidi" w:eastAsia="Times New Roman" w:hAnsiTheme="majorBidi" w:cstheme="majorBidi"/>
          <w:color w:val="000000" w:themeColor="text1"/>
          <w:lang w:val="en-GB"/>
        </w:rPr>
        <w:t xml:space="preserve"> </w:t>
      </w:r>
      <w:r w:rsidRPr="00F31509">
        <w:rPr>
          <w:rFonts w:asciiTheme="majorBidi" w:eastAsia="Times New Roman" w:hAnsiTheme="majorBidi" w:cstheme="majorBidi"/>
          <w:color w:val="000000" w:themeColor="text1"/>
          <w:lang w:val="en-GB"/>
        </w:rPr>
        <w:t xml:space="preserve">for food as a balancing item can still be produced for products where food use is the only or at least the only major form of utilization. This is the case, for instance, for meats or eggs. It is also the case, albeit to a lesser extent, for milk and dairy products. Even where products such as skim or whole milk powder (SMP/WMP) are used for feed, FBS compilers will often have access to reliable information on feed use of these products. This will still allow them to arrive at a reliable food use estimate as a balancing item. Second, where all other variables of a balance are measured (rather than imputed) and where this is done with great accuracy, food as a balancing item would also provide a good basis for a reliable food estimate. </w:t>
      </w:r>
    </w:p>
    <w:p w14:paraId="405D464D" w14:textId="77777777" w:rsidR="004F65E4" w:rsidRPr="00F31509" w:rsidRDefault="004F65E4" w:rsidP="004F65E4">
      <w:pPr>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However, obtaining reliable food estimates from balances where non-food uses play an important role and in particular where many variables are imputed, an estimate based on a balancing approach is unlikely to render reliable results. Given the fact that food as a balancing item will have to absorb all measurement errors, the resulting time series is likely to exhibit considerable fluctuations and would thus run counter to economic theory which suggests that consumers will try to smooth consumption, at least for the total food basket</w:t>
      </w:r>
      <w:r w:rsidR="003664A6" w:rsidRPr="00F31509">
        <w:rPr>
          <w:rFonts w:asciiTheme="majorBidi" w:eastAsia="Times New Roman" w:hAnsiTheme="majorBidi" w:cstheme="majorBidi"/>
          <w:color w:val="000000" w:themeColor="text1"/>
          <w:lang w:val="en-GB"/>
        </w:rPr>
        <w:t>,</w:t>
      </w:r>
      <w:r w:rsidRPr="00F31509">
        <w:rPr>
          <w:rFonts w:asciiTheme="majorBidi" w:eastAsia="Times New Roman" w:hAnsiTheme="majorBidi" w:cstheme="majorBidi"/>
          <w:color w:val="000000" w:themeColor="text1"/>
          <w:lang w:val="en-GB"/>
        </w:rPr>
        <w:t xml:space="preserve"> and that they will adjust other forms of utilization such as stocks and feed use to achieve a smooth consumption path.</w:t>
      </w:r>
    </w:p>
    <w:p w14:paraId="555ED568" w14:textId="77777777" w:rsidR="004F65E4" w:rsidRPr="00F31509" w:rsidRDefault="004F65E4" w:rsidP="00312896">
      <w:pPr>
        <w:pStyle w:val="Heading3"/>
        <w:rPr>
          <w:rFonts w:asciiTheme="majorBidi" w:hAnsiTheme="majorBidi" w:cstheme="majorBidi"/>
          <w:lang w:val="en-GB"/>
        </w:rPr>
      </w:pPr>
      <w:r w:rsidRPr="00F31509">
        <w:rPr>
          <w:rFonts w:asciiTheme="majorBidi" w:hAnsiTheme="majorBidi" w:cstheme="majorBidi"/>
          <w:lang w:val="en-GB"/>
        </w:rPr>
        <w:t>Defining FBS food use</w:t>
      </w:r>
    </w:p>
    <w:p w14:paraId="322DE407" w14:textId="40AE73A7" w:rsidR="004F65E4" w:rsidRPr="00E03A09" w:rsidRDefault="004F65E4" w:rsidP="004F65E4">
      <w:pPr>
        <w:jc w:val="both"/>
        <w:rPr>
          <w:rFonts w:asciiTheme="majorBidi" w:hAnsiTheme="majorBidi"/>
          <w:color w:val="000000" w:themeColor="text1"/>
          <w:lang w:val="en-GB"/>
        </w:rPr>
      </w:pPr>
      <w:r w:rsidRPr="00E03A09">
        <w:rPr>
          <w:rFonts w:asciiTheme="majorBidi" w:hAnsiTheme="majorBidi"/>
          <w:color w:val="000000" w:themeColor="text1"/>
          <w:lang w:val="en-GB"/>
        </w:rPr>
        <w:t xml:space="preserve">Food use, in the definition of the FAO food balance sheets, covers food </w:t>
      </w:r>
      <w:r w:rsidR="00AA4884" w:rsidRPr="00E03A09">
        <w:rPr>
          <w:rFonts w:asciiTheme="majorBidi" w:hAnsiTheme="majorBidi"/>
          <w:i/>
          <w:color w:val="000000" w:themeColor="text1"/>
          <w:lang w:val="en-GB"/>
        </w:rPr>
        <w:t>availability</w:t>
      </w:r>
      <w:r w:rsidRPr="00E03A09">
        <w:rPr>
          <w:rFonts w:asciiTheme="majorBidi" w:hAnsiTheme="majorBidi"/>
          <w:color w:val="000000" w:themeColor="text1"/>
          <w:lang w:val="en-GB"/>
        </w:rPr>
        <w:t xml:space="preserve"> up to the retail </w:t>
      </w:r>
      <w:proofErr w:type="gramStart"/>
      <w:r w:rsidRPr="00E03A09">
        <w:rPr>
          <w:rFonts w:asciiTheme="majorBidi" w:hAnsiTheme="majorBidi"/>
          <w:color w:val="000000" w:themeColor="text1"/>
          <w:lang w:val="en-GB"/>
        </w:rPr>
        <w:t>level</w:t>
      </w:r>
      <w:proofErr w:type="gramEnd"/>
      <w:r w:rsidRPr="00E03A09">
        <w:rPr>
          <w:rFonts w:asciiTheme="majorBidi" w:hAnsiTheme="majorBidi"/>
          <w:color w:val="000000" w:themeColor="text1"/>
          <w:lang w:val="en-GB"/>
        </w:rPr>
        <w:t xml:space="preserve"> for a given reference period, i.e. typically one calendar year. This means that the FBS food variable is equivalent to the amount of food available for consumption at the retail level, rather than the amount consumed. It is typically considerably higher than actual consumption</w:t>
      </w:r>
      <w:r w:rsidR="003664A6" w:rsidRPr="00F31509">
        <w:rPr>
          <w:rFonts w:asciiTheme="majorBidi" w:eastAsia="Times New Roman" w:hAnsiTheme="majorBidi" w:cstheme="majorBidi"/>
          <w:color w:val="000000" w:themeColor="text1"/>
          <w:lang w:val="en-GB"/>
        </w:rPr>
        <w:t>;</w:t>
      </w:r>
      <w:r w:rsidRPr="00E03A09">
        <w:rPr>
          <w:rFonts w:asciiTheme="majorBidi" w:hAnsiTheme="majorBidi"/>
          <w:color w:val="000000" w:themeColor="text1"/>
          <w:lang w:val="en-GB"/>
        </w:rPr>
        <w:t xml:space="preserve"> in fact it exceeds consumption through food waste and losses at the retail and household level, i.e. food that ends up as table scraps, pet food, or is simply thrown away. </w:t>
      </w:r>
    </w:p>
    <w:p w14:paraId="2591B3F1" w14:textId="77777777" w:rsidR="004F65E4" w:rsidRPr="00E03A09" w:rsidRDefault="004F65E4" w:rsidP="004F65E4">
      <w:pPr>
        <w:jc w:val="both"/>
        <w:rPr>
          <w:rFonts w:asciiTheme="majorBidi" w:hAnsiTheme="majorBidi"/>
          <w:color w:val="000000" w:themeColor="text1"/>
          <w:lang w:val="en-GB"/>
        </w:rPr>
      </w:pPr>
      <w:r w:rsidRPr="00E03A09">
        <w:rPr>
          <w:rFonts w:asciiTheme="majorBidi" w:hAnsiTheme="majorBidi"/>
          <w:color w:val="000000" w:themeColor="text1"/>
          <w:lang w:val="en-GB"/>
        </w:rPr>
        <w:t xml:space="preserve">The FBS food consumption variable refers to the food available to the resident population of a country. The estimates for population come from the United Nations Population Division (UNPD) and include, to the extent known, also migrants, guest workers and refugees. However, they do not include tourists. This means that food consumed by tourists, or rather, food available to them, should not be included in food consumption. In the past, an ad hoc allowance of food consumed by tourists was included in other uses. The new approach makes this more transparent, as it estimates this directly and presents it as a separate variable. The methodology applied to estimate food available to tourists is presented separately in this document. </w:t>
      </w:r>
    </w:p>
    <w:p w14:paraId="61B0DE65" w14:textId="77777777" w:rsidR="004F65E4" w:rsidRPr="00E03A09" w:rsidRDefault="004F65E4" w:rsidP="00E03A09">
      <w:pPr>
        <w:pStyle w:val="Heading3"/>
        <w:rPr>
          <w:rFonts w:asciiTheme="majorBidi" w:hAnsiTheme="majorBidi"/>
          <w:lang w:val="en-GB"/>
        </w:rPr>
      </w:pPr>
      <w:bookmarkStart w:id="6" w:name="_Toc421025878"/>
      <w:r w:rsidRPr="00E03A09">
        <w:rPr>
          <w:rFonts w:asciiTheme="majorBidi" w:hAnsiTheme="majorBidi"/>
          <w:lang w:val="en-GB"/>
        </w:rPr>
        <w:t>Estimates of food use</w:t>
      </w:r>
      <w:bookmarkEnd w:id="6"/>
    </w:p>
    <w:p w14:paraId="5950AB39" w14:textId="77777777" w:rsidR="004F65E4" w:rsidRPr="00E03A09" w:rsidRDefault="004F65E4" w:rsidP="00E03A09">
      <w:pPr>
        <w:pStyle w:val="Heading4"/>
        <w:rPr>
          <w:rFonts w:asciiTheme="majorBidi" w:hAnsiTheme="majorBidi"/>
          <w:lang w:val="en-GB"/>
        </w:rPr>
      </w:pPr>
      <w:bookmarkStart w:id="7" w:name="_Toc421025879"/>
      <w:r w:rsidRPr="00E03A09">
        <w:rPr>
          <w:rFonts w:asciiTheme="majorBidi" w:hAnsiTheme="majorBidi"/>
          <w:lang w:val="en-GB"/>
        </w:rPr>
        <w:t>Harvesting and harnessing actual data</w:t>
      </w:r>
      <w:bookmarkEnd w:id="7"/>
    </w:p>
    <w:p w14:paraId="06C57E15" w14:textId="2B22D406" w:rsidR="004F65E4" w:rsidRPr="00E03A09" w:rsidRDefault="004F65E4" w:rsidP="004F65E4">
      <w:pPr>
        <w:jc w:val="both"/>
        <w:rPr>
          <w:rFonts w:asciiTheme="majorBidi" w:hAnsiTheme="majorBidi"/>
          <w:color w:val="000000" w:themeColor="text1"/>
          <w:lang w:val="en-GB"/>
        </w:rPr>
      </w:pPr>
      <w:r w:rsidRPr="00E03A09">
        <w:rPr>
          <w:rFonts w:asciiTheme="majorBidi" w:hAnsiTheme="majorBidi"/>
          <w:color w:val="000000" w:themeColor="text1"/>
          <w:lang w:val="en-GB"/>
        </w:rPr>
        <w:t xml:space="preserve">As for all </w:t>
      </w:r>
      <w:r w:rsidRPr="00F31509">
        <w:rPr>
          <w:rFonts w:asciiTheme="majorBidi" w:hAnsiTheme="majorBidi" w:cstheme="majorBidi"/>
          <w:color w:val="000000" w:themeColor="text1"/>
          <w:szCs w:val="24"/>
          <w:lang w:val="en-GB"/>
        </w:rPr>
        <w:t xml:space="preserve">FBS </w:t>
      </w:r>
      <w:r w:rsidRPr="00E03A09">
        <w:rPr>
          <w:rFonts w:asciiTheme="majorBidi" w:hAnsiTheme="majorBidi"/>
          <w:color w:val="000000" w:themeColor="text1"/>
          <w:lang w:val="en-GB"/>
        </w:rPr>
        <w:t xml:space="preserve">variables, estimates of food use should come from measured information. In the case of food, actual estimates are not only difficult to come by, but the empirically measured observations typically refer to a different definition. Most empirical estimates come from household surveys, and </w:t>
      </w:r>
      <w:r w:rsidRPr="00E03A09">
        <w:rPr>
          <w:rFonts w:asciiTheme="majorBidi" w:hAnsiTheme="majorBidi"/>
          <w:color w:val="000000" w:themeColor="text1"/>
          <w:lang w:val="en-GB"/>
        </w:rPr>
        <w:lastRenderedPageBreak/>
        <w:t xml:space="preserve">the majority of them come from household income and expenditure surveys (HIES). The information contained therein requires many steps of adjustment and even a comprehensive set of adjustments will not render a fully compatible definition. As the FBS cover all food disappearance in a country, they also include food consumption/disappearance in public households such as hospitals, prisons, the military, and so on. To make allowances for consumption in these entities is challenging, particularly when the adjustments go beyond the overall average levels, i.e. breaking consumption down for the </w:t>
      </w:r>
      <w:r w:rsidRPr="00F31509">
        <w:rPr>
          <w:rFonts w:asciiTheme="majorBidi" w:hAnsiTheme="majorBidi" w:cstheme="majorBidi"/>
          <w:color w:val="000000" w:themeColor="text1"/>
          <w:szCs w:val="24"/>
          <w:lang w:val="en-GB"/>
        </w:rPr>
        <w:t>more than 60 individual</w:t>
      </w:r>
      <w:r w:rsidRPr="00E03A09">
        <w:rPr>
          <w:rFonts w:asciiTheme="majorBidi" w:hAnsiTheme="majorBidi"/>
          <w:color w:val="000000" w:themeColor="text1"/>
          <w:lang w:val="en-GB"/>
        </w:rPr>
        <w:t xml:space="preserve"> commodities contained in the FBS.</w:t>
      </w:r>
      <w:r w:rsidRPr="00F31509">
        <w:rPr>
          <w:rFonts w:asciiTheme="majorBidi" w:hAnsiTheme="majorBidi" w:cstheme="majorBidi"/>
          <w:color w:val="000000" w:themeColor="text1"/>
          <w:szCs w:val="24"/>
          <w:lang w:val="en-GB"/>
        </w:rPr>
        <w:t xml:space="preserve"> If adjustments are made, they should include:</w:t>
      </w:r>
      <w:r w:rsidRPr="00E03A09">
        <w:rPr>
          <w:rFonts w:asciiTheme="majorBidi" w:hAnsiTheme="majorBidi"/>
          <w:color w:val="000000" w:themeColor="text1"/>
          <w:lang w:val="en-GB"/>
        </w:rPr>
        <w:t xml:space="preserve"> </w:t>
      </w:r>
    </w:p>
    <w:p w14:paraId="61828CF8" w14:textId="77777777" w:rsidR="004F65E4" w:rsidRPr="00E03A09" w:rsidRDefault="004F65E4" w:rsidP="00E03A09">
      <w:pPr>
        <w:pStyle w:val="ListParagraph"/>
        <w:numPr>
          <w:ilvl w:val="0"/>
          <w:numId w:val="24"/>
        </w:numPr>
        <w:spacing w:after="0"/>
        <w:jc w:val="both"/>
        <w:rPr>
          <w:rFonts w:asciiTheme="majorBidi" w:hAnsiTheme="majorBidi"/>
          <w:color w:val="000000" w:themeColor="text1"/>
        </w:rPr>
      </w:pPr>
      <w:r w:rsidRPr="00E03A09">
        <w:rPr>
          <w:rFonts w:asciiTheme="majorBidi" w:hAnsiTheme="majorBidi"/>
          <w:color w:val="000000" w:themeColor="text1"/>
        </w:rPr>
        <w:t>Adjustment of the reporting period to a calendar year</w:t>
      </w:r>
    </w:p>
    <w:p w14:paraId="6866FFC6" w14:textId="77777777" w:rsidR="004F65E4" w:rsidRPr="00E03A09" w:rsidRDefault="004F65E4" w:rsidP="00E03A09">
      <w:pPr>
        <w:pStyle w:val="ListParagraph"/>
        <w:numPr>
          <w:ilvl w:val="0"/>
          <w:numId w:val="24"/>
        </w:numPr>
        <w:spacing w:after="0"/>
        <w:jc w:val="both"/>
        <w:rPr>
          <w:rFonts w:asciiTheme="majorBidi" w:hAnsiTheme="majorBidi"/>
          <w:color w:val="000000" w:themeColor="text1"/>
        </w:rPr>
      </w:pPr>
      <w:r w:rsidRPr="00E03A09">
        <w:rPr>
          <w:rFonts w:asciiTheme="majorBidi" w:hAnsiTheme="majorBidi"/>
          <w:color w:val="000000" w:themeColor="text1"/>
        </w:rPr>
        <w:t>Adjustments of expenditures to quantities (applying appropriate prices)</w:t>
      </w:r>
    </w:p>
    <w:p w14:paraId="526F4E88" w14:textId="77777777" w:rsidR="004F65E4" w:rsidRPr="00E03A09" w:rsidRDefault="004F65E4" w:rsidP="00E03A09">
      <w:pPr>
        <w:pStyle w:val="ListParagraph"/>
        <w:numPr>
          <w:ilvl w:val="0"/>
          <w:numId w:val="24"/>
        </w:numPr>
        <w:spacing w:after="0"/>
        <w:jc w:val="both"/>
        <w:rPr>
          <w:rFonts w:asciiTheme="majorBidi" w:hAnsiTheme="majorBidi"/>
          <w:color w:val="000000" w:themeColor="text1"/>
        </w:rPr>
      </w:pPr>
      <w:r w:rsidRPr="00E03A09">
        <w:rPr>
          <w:rFonts w:asciiTheme="majorBidi" w:hAnsiTheme="majorBidi"/>
          <w:color w:val="000000" w:themeColor="text1"/>
        </w:rPr>
        <w:t>Intra-household distribution of consumption</w:t>
      </w:r>
    </w:p>
    <w:p w14:paraId="13249E10" w14:textId="77777777" w:rsidR="004F65E4" w:rsidRPr="00F31509" w:rsidRDefault="004F65E4" w:rsidP="003C4E96">
      <w:pPr>
        <w:pStyle w:val="ListParagraph"/>
        <w:numPr>
          <w:ilvl w:val="0"/>
          <w:numId w:val="24"/>
        </w:numPr>
        <w:spacing w:after="0"/>
        <w:jc w:val="both"/>
        <w:rPr>
          <w:rFonts w:asciiTheme="majorBidi" w:hAnsiTheme="majorBidi" w:cstheme="majorBidi"/>
          <w:color w:val="000000" w:themeColor="text1"/>
          <w:szCs w:val="24"/>
        </w:rPr>
      </w:pPr>
      <w:r w:rsidRPr="00F31509">
        <w:rPr>
          <w:rFonts w:asciiTheme="majorBidi" w:hAnsiTheme="majorBidi" w:cstheme="majorBidi"/>
          <w:color w:val="000000" w:themeColor="text1"/>
          <w:szCs w:val="24"/>
        </w:rPr>
        <w:t>Inclusion, of food consumed in public/collective households such as hospitals, prisons, the military, schools, and so on.</w:t>
      </w:r>
    </w:p>
    <w:p w14:paraId="7ED07971" w14:textId="77777777" w:rsidR="004F65E4" w:rsidRPr="00F31509" w:rsidRDefault="004F65E4" w:rsidP="003C6AA5">
      <w:pPr>
        <w:pStyle w:val="ListParagraph"/>
        <w:numPr>
          <w:ilvl w:val="0"/>
          <w:numId w:val="24"/>
        </w:numPr>
        <w:spacing w:after="0"/>
        <w:jc w:val="both"/>
        <w:rPr>
          <w:rFonts w:asciiTheme="majorBidi" w:hAnsiTheme="majorBidi" w:cstheme="majorBidi"/>
          <w:color w:val="000000" w:themeColor="text1"/>
          <w:szCs w:val="24"/>
        </w:rPr>
      </w:pPr>
      <w:r w:rsidRPr="00F31509">
        <w:rPr>
          <w:rFonts w:asciiTheme="majorBidi" w:hAnsiTheme="majorBidi" w:cstheme="majorBidi"/>
          <w:color w:val="000000" w:themeColor="text1"/>
          <w:szCs w:val="24"/>
        </w:rPr>
        <w:t>Inclusion, where necessary, of food consumed in non-collective households outside home, i.e. food consumed in restaurants, cafeterias, street food, etc.</w:t>
      </w:r>
    </w:p>
    <w:p w14:paraId="1ECFD5A5" w14:textId="77777777" w:rsidR="004F65E4" w:rsidRPr="00E03A09" w:rsidRDefault="004F65E4" w:rsidP="00E03A09">
      <w:pPr>
        <w:pStyle w:val="ListParagraph"/>
        <w:numPr>
          <w:ilvl w:val="0"/>
          <w:numId w:val="24"/>
        </w:numPr>
        <w:spacing w:after="0"/>
        <w:jc w:val="both"/>
        <w:rPr>
          <w:rFonts w:asciiTheme="majorBidi" w:hAnsiTheme="majorBidi"/>
          <w:color w:val="000000" w:themeColor="text1"/>
        </w:rPr>
      </w:pPr>
      <w:r w:rsidRPr="00E03A09">
        <w:rPr>
          <w:rFonts w:asciiTheme="majorBidi" w:hAnsiTheme="majorBidi"/>
          <w:color w:val="000000" w:themeColor="text1"/>
        </w:rPr>
        <w:t>Adjustments for waste at the retail level</w:t>
      </w:r>
    </w:p>
    <w:p w14:paraId="2643DC81" w14:textId="77777777" w:rsidR="004F65E4" w:rsidRPr="00E03A09" w:rsidRDefault="004F65E4" w:rsidP="004F65E4">
      <w:pPr>
        <w:jc w:val="both"/>
        <w:rPr>
          <w:rFonts w:asciiTheme="majorBidi" w:hAnsiTheme="majorBidi"/>
          <w:color w:val="000000" w:themeColor="text1"/>
          <w:lang w:val="en-GB"/>
        </w:rPr>
      </w:pPr>
    </w:p>
    <w:p w14:paraId="146F183C" w14:textId="77777777" w:rsidR="004F65E4" w:rsidRPr="00F31509" w:rsidRDefault="004F65E4" w:rsidP="00312896">
      <w:pPr>
        <w:pStyle w:val="Heading4"/>
        <w:rPr>
          <w:rFonts w:asciiTheme="majorBidi" w:hAnsiTheme="majorBidi" w:cstheme="majorBidi"/>
          <w:lang w:val="en-GB"/>
        </w:rPr>
      </w:pPr>
      <w:r w:rsidRPr="00F31509">
        <w:rPr>
          <w:rFonts w:asciiTheme="majorBidi" w:hAnsiTheme="majorBidi" w:cstheme="majorBidi"/>
          <w:lang w:val="en-GB"/>
        </w:rPr>
        <w:t>Information from food processors</w:t>
      </w:r>
    </w:p>
    <w:p w14:paraId="05016156" w14:textId="77777777" w:rsidR="004F65E4" w:rsidRPr="00F31509" w:rsidRDefault="004F65E4" w:rsidP="004F65E4">
      <w:pPr>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 xml:space="preserve">FBS-compatible food consumption information may also be available from food processors, at least under certain circumstances. If, for instance, the flour milling industry of a country keeps a good record of total flour produced in a year and a given country (which is the case in many developed countries) and if the flour milling industry is the main source of flour production, this estimate can serve as a basis to estimate total flour produced in a country. Adding flour imports and deducting flour exports as well as stock changes then allows </w:t>
      </w:r>
      <w:r w:rsidR="000C402C" w:rsidRPr="00F31509">
        <w:rPr>
          <w:rFonts w:asciiTheme="majorBidi" w:eastAsia="Times New Roman" w:hAnsiTheme="majorBidi" w:cstheme="majorBidi"/>
          <w:color w:val="000000" w:themeColor="text1"/>
          <w:lang w:val="en-GB"/>
        </w:rPr>
        <w:t xml:space="preserve">us </w:t>
      </w:r>
      <w:r w:rsidRPr="00F31509">
        <w:rPr>
          <w:rFonts w:asciiTheme="majorBidi" w:eastAsia="Times New Roman" w:hAnsiTheme="majorBidi" w:cstheme="majorBidi"/>
          <w:color w:val="000000" w:themeColor="text1"/>
          <w:lang w:val="en-GB"/>
        </w:rPr>
        <w:t xml:space="preserve">to arrive at flour availability for food. As flour is only destined for food use, applying an appropriate extraction rate (also available from the flour milling industry) allows </w:t>
      </w:r>
      <w:r w:rsidR="000C402C" w:rsidRPr="00F31509">
        <w:rPr>
          <w:rFonts w:asciiTheme="majorBidi" w:eastAsia="Times New Roman" w:hAnsiTheme="majorBidi" w:cstheme="majorBidi"/>
          <w:color w:val="000000" w:themeColor="text1"/>
          <w:lang w:val="en-GB"/>
        </w:rPr>
        <w:t xml:space="preserve">us </w:t>
      </w:r>
      <w:r w:rsidRPr="00F31509">
        <w:rPr>
          <w:rFonts w:asciiTheme="majorBidi" w:eastAsia="Times New Roman" w:hAnsiTheme="majorBidi" w:cstheme="majorBidi"/>
          <w:color w:val="000000" w:themeColor="text1"/>
          <w:lang w:val="en-GB"/>
        </w:rPr>
        <w:t>to produce an accurate and FBS-consistent primary wheat food estimate. As emphasized, this requires an industrialized flour milling sector. Where flour milling takes place at household level or is done in an artisanal milling environment with low reporting levels, such estimates would inevitably underestimate consumption levels of the primary product. But where first level processors (flour millers, oilseed crushers, abattoirs, sugar refinery/factories, dairies, etc.) represent a large share of domestic processing (bottleneck), processing statistics can serve as an excellent basis to generate FBS compatible food estimates</w:t>
      </w:r>
      <w:r w:rsidRPr="00F31509">
        <w:rPr>
          <w:rStyle w:val="FootnoteReference"/>
          <w:rFonts w:asciiTheme="majorBidi" w:eastAsia="Times New Roman" w:hAnsiTheme="majorBidi" w:cstheme="majorBidi"/>
          <w:color w:val="000000" w:themeColor="text1"/>
          <w:lang w:val="en-GB"/>
        </w:rPr>
        <w:footnoteReference w:id="3"/>
      </w:r>
      <w:r w:rsidRPr="00F31509">
        <w:rPr>
          <w:rFonts w:asciiTheme="majorBidi" w:eastAsia="Times New Roman" w:hAnsiTheme="majorBidi" w:cstheme="majorBidi"/>
          <w:color w:val="000000" w:themeColor="text1"/>
          <w:lang w:val="en-GB"/>
        </w:rPr>
        <w:t>.</w:t>
      </w:r>
    </w:p>
    <w:p w14:paraId="20FFC1D0" w14:textId="77777777" w:rsidR="004F65E4" w:rsidRPr="00E03A09" w:rsidRDefault="004F65E4" w:rsidP="00E03A09">
      <w:pPr>
        <w:pStyle w:val="Heading4"/>
        <w:rPr>
          <w:rFonts w:asciiTheme="majorBidi" w:hAnsiTheme="majorBidi"/>
          <w:lang w:val="en-GB"/>
        </w:rPr>
      </w:pPr>
      <w:bookmarkStart w:id="8" w:name="_Toc421025880"/>
      <w:r w:rsidRPr="00E03A09">
        <w:rPr>
          <w:rFonts w:asciiTheme="majorBidi" w:hAnsiTheme="majorBidi"/>
          <w:lang w:val="en-GB"/>
        </w:rPr>
        <w:t>Creating expected values for time t</w:t>
      </w:r>
      <w:bookmarkEnd w:id="8"/>
      <w:r w:rsidRPr="00E03A09">
        <w:rPr>
          <w:rFonts w:asciiTheme="majorBidi" w:hAnsiTheme="majorBidi"/>
          <w:lang w:val="en-GB"/>
        </w:rPr>
        <w:t xml:space="preserve"> </w:t>
      </w:r>
    </w:p>
    <w:p w14:paraId="0EBB0A6E" w14:textId="1AB50C6C" w:rsidR="004F65E4" w:rsidRPr="00E03A09" w:rsidRDefault="004F65E4" w:rsidP="004F65E4">
      <w:pPr>
        <w:jc w:val="both"/>
        <w:rPr>
          <w:rFonts w:asciiTheme="majorBidi" w:hAnsiTheme="majorBidi"/>
          <w:color w:val="000000" w:themeColor="text1"/>
          <w:lang w:val="en-GB"/>
        </w:rPr>
      </w:pPr>
      <w:r w:rsidRPr="00E03A09">
        <w:rPr>
          <w:rFonts w:asciiTheme="majorBidi" w:hAnsiTheme="majorBidi"/>
          <w:color w:val="000000" w:themeColor="text1"/>
          <w:lang w:val="en-GB"/>
        </w:rPr>
        <w:t xml:space="preserve">The basic idea of the previous FBS methodology was to derive food availability from the intersection of supply and utilization, i.e. food as a residual/balancing item. </w:t>
      </w:r>
      <w:r w:rsidRPr="00F31509">
        <w:rPr>
          <w:rFonts w:asciiTheme="majorBidi" w:eastAsia="Times New Roman" w:hAnsiTheme="majorBidi" w:cstheme="majorBidi"/>
          <w:color w:val="000000" w:themeColor="text1"/>
          <w:lang w:val="en-GB"/>
        </w:rPr>
        <w:t>As outlined above</w:t>
      </w:r>
      <w:r w:rsidRPr="00E03A09">
        <w:rPr>
          <w:rFonts w:asciiTheme="majorBidi" w:hAnsiTheme="majorBidi"/>
          <w:color w:val="000000" w:themeColor="text1"/>
          <w:lang w:val="en-GB"/>
        </w:rPr>
        <w:t xml:space="preserve">, </w:t>
      </w:r>
      <w:proofErr w:type="gramStart"/>
      <w:r w:rsidRPr="00E03A09">
        <w:rPr>
          <w:rFonts w:asciiTheme="majorBidi" w:hAnsiTheme="majorBidi"/>
          <w:color w:val="000000" w:themeColor="text1"/>
          <w:lang w:val="en-GB"/>
        </w:rPr>
        <w:t xml:space="preserve">this </w:t>
      </w:r>
      <w:r w:rsidRPr="00F31509">
        <w:rPr>
          <w:rFonts w:asciiTheme="majorBidi" w:eastAsia="Times New Roman" w:hAnsiTheme="majorBidi" w:cstheme="majorBidi"/>
          <w:color w:val="000000" w:themeColor="text1"/>
          <w:lang w:val="en-GB"/>
        </w:rPr>
        <w:t>will</w:t>
      </w:r>
      <w:r w:rsidRPr="00E03A09">
        <w:rPr>
          <w:rFonts w:asciiTheme="majorBidi" w:hAnsiTheme="majorBidi"/>
          <w:color w:val="000000" w:themeColor="text1"/>
          <w:lang w:val="en-GB"/>
        </w:rPr>
        <w:t xml:space="preserve"> not, or at least not always, </w:t>
      </w:r>
      <w:r w:rsidRPr="00F31509">
        <w:rPr>
          <w:rFonts w:asciiTheme="majorBidi" w:eastAsia="Times New Roman" w:hAnsiTheme="majorBidi" w:cstheme="majorBidi"/>
          <w:color w:val="000000" w:themeColor="text1"/>
          <w:lang w:val="en-GB"/>
        </w:rPr>
        <w:t>render</w:t>
      </w:r>
      <w:proofErr w:type="gramEnd"/>
      <w:r w:rsidRPr="00F31509">
        <w:rPr>
          <w:rFonts w:asciiTheme="majorBidi" w:eastAsia="Times New Roman" w:hAnsiTheme="majorBidi" w:cstheme="majorBidi"/>
          <w:color w:val="000000" w:themeColor="text1"/>
          <w:lang w:val="en-GB"/>
        </w:rPr>
        <w:t xml:space="preserve"> plausible results</w:t>
      </w:r>
      <w:r w:rsidRPr="00E03A09">
        <w:rPr>
          <w:rFonts w:asciiTheme="majorBidi" w:hAnsiTheme="majorBidi"/>
          <w:color w:val="000000" w:themeColor="text1"/>
          <w:lang w:val="en-GB"/>
        </w:rPr>
        <w:t xml:space="preserve"> in practice. </w:t>
      </w:r>
      <w:r w:rsidRPr="00F31509">
        <w:rPr>
          <w:rFonts w:asciiTheme="majorBidi" w:eastAsia="Times New Roman" w:hAnsiTheme="majorBidi" w:cstheme="majorBidi"/>
          <w:color w:val="000000" w:themeColor="text1"/>
          <w:lang w:val="en-GB"/>
        </w:rPr>
        <w:t>In</w:t>
      </w:r>
      <w:r w:rsidRPr="00E03A09">
        <w:rPr>
          <w:rFonts w:asciiTheme="majorBidi" w:hAnsiTheme="majorBidi"/>
          <w:color w:val="000000" w:themeColor="text1"/>
          <w:lang w:val="en-GB"/>
        </w:rPr>
        <w:t xml:space="preserve"> fact </w:t>
      </w:r>
      <w:r w:rsidRPr="00F31509">
        <w:rPr>
          <w:rFonts w:asciiTheme="majorBidi" w:eastAsia="Times New Roman" w:hAnsiTheme="majorBidi" w:cstheme="majorBidi"/>
          <w:color w:val="000000" w:themeColor="text1"/>
          <w:lang w:val="en-GB"/>
        </w:rPr>
        <w:t xml:space="preserve">it may </w:t>
      </w:r>
      <w:r w:rsidR="003664A6" w:rsidRPr="00F31509">
        <w:rPr>
          <w:rFonts w:asciiTheme="majorBidi" w:eastAsia="Times New Roman" w:hAnsiTheme="majorBidi" w:cstheme="majorBidi"/>
          <w:color w:val="000000" w:themeColor="text1"/>
          <w:lang w:val="en-GB"/>
        </w:rPr>
        <w:t xml:space="preserve">lead to </w:t>
      </w:r>
      <w:r w:rsidRPr="00F31509">
        <w:rPr>
          <w:rFonts w:asciiTheme="majorBidi" w:eastAsia="Times New Roman" w:hAnsiTheme="majorBidi" w:cstheme="majorBidi"/>
          <w:color w:val="000000" w:themeColor="text1"/>
          <w:lang w:val="en-GB"/>
        </w:rPr>
        <w:t>unintuitive</w:t>
      </w:r>
      <w:r w:rsidRPr="00E03A09">
        <w:rPr>
          <w:rFonts w:asciiTheme="majorBidi" w:hAnsiTheme="majorBidi"/>
          <w:color w:val="000000" w:themeColor="text1"/>
          <w:lang w:val="en-GB"/>
        </w:rPr>
        <w:t xml:space="preserve"> and </w:t>
      </w:r>
      <w:r w:rsidRPr="00F31509">
        <w:rPr>
          <w:rFonts w:asciiTheme="majorBidi" w:eastAsia="Times New Roman" w:hAnsiTheme="majorBidi" w:cstheme="majorBidi"/>
          <w:color w:val="000000" w:themeColor="text1"/>
          <w:lang w:val="en-GB"/>
        </w:rPr>
        <w:t>implausible results, inter alia, visible through large</w:t>
      </w:r>
      <w:r w:rsidRPr="00E03A09">
        <w:rPr>
          <w:rFonts w:asciiTheme="majorBidi" w:hAnsiTheme="majorBidi"/>
          <w:color w:val="000000" w:themeColor="text1"/>
          <w:lang w:val="en-GB"/>
        </w:rPr>
        <w:t xml:space="preserve"> year-to</w:t>
      </w:r>
      <w:r w:rsidR="00E03A09">
        <w:rPr>
          <w:rFonts w:asciiTheme="majorBidi" w:eastAsia="Times New Roman" w:hAnsiTheme="majorBidi" w:cstheme="majorBidi"/>
          <w:color w:val="000000" w:themeColor="text1"/>
          <w:lang w:val="en-GB"/>
        </w:rPr>
        <w:t>-</w:t>
      </w:r>
      <w:r w:rsidRPr="00E03A09">
        <w:rPr>
          <w:rFonts w:asciiTheme="majorBidi" w:hAnsiTheme="majorBidi"/>
          <w:color w:val="000000" w:themeColor="text1"/>
          <w:lang w:val="en-GB"/>
        </w:rPr>
        <w:t xml:space="preserve">year fluctuations in </w:t>
      </w:r>
      <w:r w:rsidRPr="00F31509">
        <w:rPr>
          <w:rFonts w:asciiTheme="majorBidi" w:eastAsia="Times New Roman" w:hAnsiTheme="majorBidi" w:cstheme="majorBidi"/>
          <w:color w:val="000000" w:themeColor="text1"/>
          <w:lang w:val="en-GB"/>
        </w:rPr>
        <w:t xml:space="preserve">per capita </w:t>
      </w:r>
      <w:r w:rsidRPr="00E03A09">
        <w:rPr>
          <w:rFonts w:asciiTheme="majorBidi" w:hAnsiTheme="majorBidi"/>
          <w:color w:val="000000" w:themeColor="text1"/>
          <w:lang w:val="en-GB"/>
        </w:rPr>
        <w:t>food consumption</w:t>
      </w:r>
      <w:r w:rsidRPr="00F31509">
        <w:rPr>
          <w:rFonts w:asciiTheme="majorBidi" w:eastAsia="Times New Roman" w:hAnsiTheme="majorBidi" w:cstheme="majorBidi"/>
          <w:color w:val="000000" w:themeColor="text1"/>
          <w:lang w:val="en-GB"/>
        </w:rPr>
        <w:t xml:space="preserve"> levels. At the same time, it is</w:t>
      </w:r>
      <w:r w:rsidRPr="00E03A09">
        <w:rPr>
          <w:rFonts w:asciiTheme="majorBidi" w:hAnsiTheme="majorBidi"/>
          <w:color w:val="000000" w:themeColor="text1"/>
          <w:lang w:val="en-GB"/>
        </w:rPr>
        <w:t xml:space="preserve"> not </w:t>
      </w:r>
      <w:r w:rsidRPr="00F31509">
        <w:rPr>
          <w:rFonts w:asciiTheme="majorBidi" w:eastAsia="Times New Roman" w:hAnsiTheme="majorBidi" w:cstheme="majorBidi"/>
          <w:color w:val="000000" w:themeColor="text1"/>
          <w:lang w:val="en-GB"/>
        </w:rPr>
        <w:t xml:space="preserve">always straightforward to derive FBS compatible food estimates from HH surveys; likewise, estimates from the food processing industry may not always reliable or </w:t>
      </w:r>
      <w:r w:rsidR="003664A6" w:rsidRPr="00F31509">
        <w:rPr>
          <w:rFonts w:asciiTheme="majorBidi" w:eastAsia="Times New Roman" w:hAnsiTheme="majorBidi" w:cstheme="majorBidi"/>
          <w:color w:val="000000" w:themeColor="text1"/>
          <w:lang w:val="en-GB"/>
        </w:rPr>
        <w:t xml:space="preserve">may </w:t>
      </w:r>
      <w:r w:rsidRPr="00E03A09">
        <w:rPr>
          <w:rFonts w:asciiTheme="majorBidi" w:hAnsiTheme="majorBidi"/>
          <w:color w:val="000000" w:themeColor="text1"/>
          <w:lang w:val="en-GB"/>
        </w:rPr>
        <w:t xml:space="preserve">only </w:t>
      </w:r>
      <w:r w:rsidR="003664A6" w:rsidRPr="00E03A09">
        <w:rPr>
          <w:rFonts w:asciiTheme="majorBidi" w:hAnsiTheme="majorBidi"/>
          <w:color w:val="000000" w:themeColor="text1"/>
          <w:lang w:val="en-GB"/>
        </w:rPr>
        <w:t xml:space="preserve">be </w:t>
      </w:r>
      <w:r w:rsidRPr="00E03A09">
        <w:rPr>
          <w:rFonts w:asciiTheme="majorBidi" w:hAnsiTheme="majorBidi"/>
          <w:color w:val="000000" w:themeColor="text1"/>
          <w:lang w:val="en-GB"/>
        </w:rPr>
        <w:t xml:space="preserve">available </w:t>
      </w:r>
      <w:r w:rsidRPr="00F31509">
        <w:rPr>
          <w:rFonts w:asciiTheme="majorBidi" w:eastAsia="Times New Roman" w:hAnsiTheme="majorBidi" w:cstheme="majorBidi"/>
          <w:color w:val="000000" w:themeColor="text1"/>
          <w:lang w:val="en-GB"/>
        </w:rPr>
        <w:t>sporadically. In these</w:t>
      </w:r>
      <w:r w:rsidRPr="00E03A09">
        <w:rPr>
          <w:rFonts w:asciiTheme="majorBidi" w:hAnsiTheme="majorBidi"/>
          <w:color w:val="000000" w:themeColor="text1"/>
          <w:lang w:val="en-GB"/>
        </w:rPr>
        <w:t xml:space="preserve"> cases, </w:t>
      </w:r>
      <w:r w:rsidRPr="00F31509">
        <w:rPr>
          <w:rFonts w:asciiTheme="majorBidi" w:eastAsia="Times New Roman" w:hAnsiTheme="majorBidi" w:cstheme="majorBidi"/>
          <w:color w:val="000000" w:themeColor="text1"/>
          <w:lang w:val="en-GB"/>
        </w:rPr>
        <w:t>there is a need to generate estimates through an imputation method</w:t>
      </w:r>
      <w:r w:rsidRPr="00E03A09">
        <w:rPr>
          <w:rFonts w:asciiTheme="majorBidi" w:hAnsiTheme="majorBidi"/>
          <w:color w:val="000000" w:themeColor="text1"/>
          <w:lang w:val="en-GB"/>
        </w:rPr>
        <w:t xml:space="preserve">. </w:t>
      </w:r>
    </w:p>
    <w:p w14:paraId="018BBC5A" w14:textId="77777777" w:rsidR="007501D5" w:rsidRDefault="007501D5" w:rsidP="00FA72A7">
      <w:pPr>
        <w:jc w:val="both"/>
        <w:rPr>
          <w:rFonts w:ascii="Times New Roman" w:hAnsi="Times New Roman" w:cs="Times New Roman"/>
          <w:sz w:val="24"/>
          <w:szCs w:val="24"/>
        </w:rPr>
      </w:pPr>
    </w:p>
    <w:p w14:paraId="68C567B7" w14:textId="77777777" w:rsidR="007501D5" w:rsidRDefault="007501D5" w:rsidP="00FA72A7">
      <w:pPr>
        <w:jc w:val="both"/>
        <w:rPr>
          <w:rFonts w:ascii="Times New Roman" w:hAnsi="Times New Roman" w:cs="Times New Roman"/>
          <w:sz w:val="24"/>
          <w:szCs w:val="24"/>
        </w:rPr>
      </w:pPr>
      <w:r>
        <w:rPr>
          <w:rFonts w:ascii="Times New Roman" w:hAnsi="Times New Roman" w:cs="Times New Roman"/>
          <w:sz w:val="24"/>
          <w:szCs w:val="24"/>
        </w:rPr>
        <w:t xml:space="preserve">This suggests that there are two main motivations for the new FBS food estimation procedure. First, food consumption should evolve gradually, ideally along economic variables such as changes in incomes and consumption patterns. Second, the FSB </w:t>
      </w:r>
      <w:r w:rsidRPr="00543E4E">
        <w:rPr>
          <w:rFonts w:ascii="Times New Roman" w:hAnsi="Times New Roman" w:cs="Times New Roman"/>
          <w:sz w:val="24"/>
          <w:szCs w:val="24"/>
        </w:rPr>
        <w:t xml:space="preserve">food </w:t>
      </w:r>
      <w:r>
        <w:rPr>
          <w:rFonts w:ascii="Times New Roman" w:hAnsi="Times New Roman" w:cs="Times New Roman"/>
          <w:sz w:val="24"/>
          <w:szCs w:val="24"/>
        </w:rPr>
        <w:t xml:space="preserve">classification seems to provide a good basis for such an </w:t>
      </w:r>
      <w:r w:rsidRPr="00543E4E">
        <w:rPr>
          <w:rFonts w:ascii="Times New Roman" w:hAnsi="Times New Roman" w:cs="Times New Roman"/>
          <w:sz w:val="24"/>
          <w:szCs w:val="24"/>
        </w:rPr>
        <w:t xml:space="preserve">economic </w:t>
      </w:r>
      <w:r>
        <w:rPr>
          <w:rFonts w:ascii="Times New Roman" w:hAnsi="Times New Roman" w:cs="Times New Roman"/>
          <w:sz w:val="24"/>
          <w:szCs w:val="24"/>
        </w:rPr>
        <w:t xml:space="preserve">approach; the example of distinguishing butter from </w:t>
      </w:r>
      <w:r w:rsidRPr="00543E4E">
        <w:rPr>
          <w:rFonts w:ascii="Times New Roman" w:hAnsi="Times New Roman" w:cs="Times New Roman"/>
          <w:sz w:val="24"/>
          <w:szCs w:val="24"/>
        </w:rPr>
        <w:t>solids-non-fat</w:t>
      </w:r>
      <w:r>
        <w:rPr>
          <w:rFonts w:ascii="Times New Roman" w:hAnsi="Times New Roman" w:cs="Times New Roman"/>
          <w:sz w:val="24"/>
          <w:szCs w:val="24"/>
        </w:rPr>
        <w:t xml:space="preserve"> is a good point in case. </w:t>
      </w:r>
    </w:p>
    <w:p w14:paraId="7828B8F6" w14:textId="77777777" w:rsidR="007501D5" w:rsidRDefault="007501D5" w:rsidP="00FA72A7">
      <w:pPr>
        <w:jc w:val="both"/>
        <w:rPr>
          <w:rFonts w:ascii="Times New Roman" w:hAnsi="Times New Roman" w:cs="Times New Roman"/>
          <w:sz w:val="24"/>
          <w:szCs w:val="24"/>
        </w:rPr>
      </w:pPr>
    </w:p>
    <w:p w14:paraId="388BC47A" w14:textId="060AA2EF" w:rsidR="004F65E4" w:rsidRPr="00E03A09" w:rsidRDefault="004F65E4" w:rsidP="004F65E4">
      <w:pPr>
        <w:jc w:val="both"/>
        <w:rPr>
          <w:rFonts w:asciiTheme="majorBidi" w:hAnsiTheme="majorBidi"/>
          <w:color w:val="000000" w:themeColor="text1"/>
          <w:lang w:val="en-GB"/>
        </w:rPr>
      </w:pPr>
      <w:r w:rsidRPr="00E03A09">
        <w:rPr>
          <w:rFonts w:asciiTheme="majorBidi" w:hAnsiTheme="majorBidi"/>
          <w:color w:val="000000" w:themeColor="text1"/>
          <w:lang w:val="en-GB"/>
        </w:rPr>
        <w:t xml:space="preserve">The approach </w:t>
      </w:r>
      <w:r w:rsidRPr="00F31509">
        <w:rPr>
          <w:rFonts w:asciiTheme="majorBidi" w:hAnsiTheme="majorBidi" w:cstheme="majorBidi"/>
          <w:color w:val="000000" w:themeColor="text1"/>
          <w:szCs w:val="24"/>
          <w:lang w:val="en-GB"/>
        </w:rPr>
        <w:t>proposed here</w:t>
      </w:r>
      <w:r w:rsidRPr="00E03A09">
        <w:rPr>
          <w:rFonts w:asciiTheme="majorBidi" w:hAnsiTheme="majorBidi"/>
          <w:color w:val="000000" w:themeColor="text1"/>
          <w:lang w:val="en-GB"/>
        </w:rPr>
        <w:t xml:space="preserve"> to </w:t>
      </w:r>
      <w:r w:rsidRPr="00F31509">
        <w:rPr>
          <w:rFonts w:asciiTheme="majorBidi" w:hAnsiTheme="majorBidi" w:cstheme="majorBidi"/>
          <w:color w:val="000000" w:themeColor="text1"/>
          <w:szCs w:val="24"/>
          <w:lang w:val="en-GB"/>
        </w:rPr>
        <w:t>impute</w:t>
      </w:r>
      <w:r w:rsidRPr="00E03A09">
        <w:rPr>
          <w:rFonts w:asciiTheme="majorBidi" w:hAnsiTheme="majorBidi"/>
          <w:color w:val="000000" w:themeColor="text1"/>
          <w:lang w:val="en-GB"/>
        </w:rPr>
        <w:t xml:space="preserve"> values for food consumption is rather straightforward. It rolls out food consumption in year t as a function of </w:t>
      </w:r>
      <w:r w:rsidRPr="00F31509">
        <w:rPr>
          <w:rFonts w:asciiTheme="majorBidi" w:hAnsiTheme="majorBidi" w:cstheme="majorBidi"/>
          <w:color w:val="000000" w:themeColor="text1"/>
          <w:szCs w:val="24"/>
          <w:lang w:val="en-GB"/>
        </w:rPr>
        <w:t xml:space="preserve">a known level of food consumption in the past, adjusted for </w:t>
      </w:r>
      <w:r w:rsidRPr="00E03A09">
        <w:rPr>
          <w:rFonts w:asciiTheme="majorBidi" w:hAnsiTheme="majorBidi"/>
          <w:color w:val="000000" w:themeColor="text1"/>
          <w:lang w:val="en-GB"/>
        </w:rPr>
        <w:t xml:space="preserve">changes </w:t>
      </w:r>
      <w:r w:rsidRPr="00F31509">
        <w:rPr>
          <w:rFonts w:asciiTheme="majorBidi" w:hAnsiTheme="majorBidi" w:cstheme="majorBidi"/>
          <w:color w:val="000000" w:themeColor="text1"/>
          <w:szCs w:val="24"/>
          <w:lang w:val="en-GB"/>
        </w:rPr>
        <w:t xml:space="preserve">due to income </w:t>
      </w:r>
      <w:r w:rsidRPr="00E03A09">
        <w:rPr>
          <w:rFonts w:asciiTheme="majorBidi" w:hAnsiTheme="majorBidi"/>
          <w:color w:val="000000" w:themeColor="text1"/>
          <w:lang w:val="en-GB"/>
        </w:rPr>
        <w:t xml:space="preserve">and </w:t>
      </w:r>
      <w:r w:rsidRPr="00F31509">
        <w:rPr>
          <w:rFonts w:asciiTheme="majorBidi" w:hAnsiTheme="majorBidi" w:cstheme="majorBidi"/>
          <w:color w:val="000000" w:themeColor="text1"/>
          <w:szCs w:val="24"/>
          <w:lang w:val="en-GB"/>
        </w:rPr>
        <w:t xml:space="preserve">other </w:t>
      </w:r>
      <w:r w:rsidRPr="00E03A09">
        <w:rPr>
          <w:rFonts w:asciiTheme="majorBidi" w:hAnsiTheme="majorBidi"/>
          <w:color w:val="000000" w:themeColor="text1"/>
          <w:lang w:val="en-GB"/>
        </w:rPr>
        <w:t>factors</w:t>
      </w:r>
      <w:r w:rsidRPr="00F31509">
        <w:rPr>
          <w:rFonts w:asciiTheme="majorBidi" w:hAnsiTheme="majorBidi" w:cstheme="majorBidi"/>
          <w:color w:val="000000" w:themeColor="text1"/>
          <w:szCs w:val="24"/>
          <w:lang w:val="en-GB"/>
        </w:rPr>
        <w:t xml:space="preserve"> (captured by a trend factor). Such other factors reflect</w:t>
      </w:r>
      <w:r w:rsidRPr="00E03A09">
        <w:rPr>
          <w:rFonts w:asciiTheme="majorBidi" w:hAnsiTheme="majorBidi"/>
          <w:color w:val="000000" w:themeColor="text1"/>
          <w:lang w:val="en-GB"/>
        </w:rPr>
        <w:t xml:space="preserve"> things such as changing preferences or known, sudden supply disruptions. </w:t>
      </w:r>
      <w:r w:rsidRPr="00F31509">
        <w:rPr>
          <w:rFonts w:asciiTheme="majorBidi" w:hAnsiTheme="majorBidi" w:cstheme="majorBidi"/>
          <w:color w:val="000000" w:themeColor="text1"/>
          <w:szCs w:val="24"/>
          <w:lang w:val="en-GB"/>
        </w:rPr>
        <w:t>In a stylized form, imputed food consumption is:</w:t>
      </w:r>
    </w:p>
    <w:p w14:paraId="64FD3DBB" w14:textId="77777777" w:rsidR="004F65E4" w:rsidRPr="00E03A09" w:rsidRDefault="004F65E4" w:rsidP="004F65E4">
      <w:pPr>
        <w:jc w:val="both"/>
        <w:rPr>
          <w:rFonts w:asciiTheme="majorBidi" w:hAnsiTheme="majorBidi"/>
          <w:color w:val="000000" w:themeColor="text1"/>
          <w:lang w:val="en-GB"/>
        </w:rPr>
      </w:pPr>
    </w:p>
    <w:p w14:paraId="62361EBA" w14:textId="4CD9A0D5" w:rsidR="00EA6005" w:rsidRPr="00E03A09" w:rsidRDefault="00B36B7E" w:rsidP="000C402C">
      <w:pPr>
        <w:jc w:val="cente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Food</m:t>
            </m:r>
          </m:e>
          <m:sub>
            <m:r>
              <w:rPr>
                <w:rFonts w:ascii="Cambria Math" w:hAnsi="Cambria Math"/>
                <w:color w:val="000000" w:themeColor="text1"/>
                <w:lang w:val="en-GB"/>
              </w:rPr>
              <m:t>t</m:t>
            </m:r>
          </m:sub>
        </m:sSub>
        <m:r>
          <w:rPr>
            <w:rFonts w:ascii="Cambria Math" w:hAnsi="Cambria Math"/>
            <w:color w:val="000000" w:themeColor="text1"/>
            <w:lang w:val="en-GB"/>
          </w:rPr>
          <m:t>=f(</m:t>
        </m:r>
        <m:sSub>
          <m:sSubPr>
            <m:ctrlPr>
              <w:rPr>
                <w:rFonts w:ascii="Cambria Math" w:hAnsi="Cambria Math"/>
                <w:i/>
                <w:color w:val="000000" w:themeColor="text1"/>
                <w:lang w:val="en-GB"/>
              </w:rPr>
            </m:ctrlPr>
          </m:sSubPr>
          <m:e>
            <m:r>
              <w:rPr>
                <w:rFonts w:ascii="Cambria Math" w:hAnsi="Cambria Math"/>
                <w:color w:val="000000" w:themeColor="text1"/>
                <w:lang w:val="en-GB"/>
              </w:rPr>
              <m:t>Food</m:t>
            </m:r>
          </m:e>
          <m:sub>
            <m:r>
              <w:rPr>
                <w:rFonts w:ascii="Cambria Math" w:hAnsi="Cambria Math"/>
                <w:color w:val="000000" w:themeColor="text1"/>
                <w:lang w:val="en-GB"/>
              </w:rPr>
              <m:t>t-1</m:t>
            </m:r>
          </m:sub>
        </m:sSub>
        <m:r>
          <w:rPr>
            <w:rFonts w:ascii="Cambria Math" w:hAnsi="Cambria Math"/>
            <w:color w:val="000000" w:themeColor="text1"/>
            <w:lang w:val="en-GB"/>
          </w:rPr>
          <m:t>, ∆Y,t)</m:t>
        </m:r>
      </m:oMath>
      <w:r w:rsidR="004F65E4" w:rsidRPr="00E03A09">
        <w:rPr>
          <w:rFonts w:asciiTheme="majorBidi" w:hAnsiTheme="majorBidi"/>
          <w:color w:val="000000" w:themeColor="text1"/>
          <w:lang w:val="en-GB"/>
        </w:rPr>
        <w:t xml:space="preserve">      (Equation </w:t>
      </w:r>
      <w:r w:rsidR="00846B16" w:rsidRPr="00E03A09">
        <w:rPr>
          <w:rFonts w:asciiTheme="majorBidi" w:hAnsiTheme="majorBidi"/>
          <w:color w:val="000000" w:themeColor="text1"/>
          <w:lang w:val="en-GB"/>
        </w:rPr>
        <w:fldChar w:fldCharType="begin"/>
      </w:r>
      <w:r w:rsidR="004F65E4" w:rsidRPr="00E03A09">
        <w:rPr>
          <w:rFonts w:asciiTheme="majorBidi" w:hAnsiTheme="majorBidi"/>
          <w:color w:val="000000" w:themeColor="text1"/>
          <w:lang w:val="en-GB"/>
        </w:rPr>
        <w:instrText xml:space="preserve"> SEQ Equation \* ARABIC </w:instrText>
      </w:r>
      <w:r w:rsidR="00846B16" w:rsidRPr="00E03A09">
        <w:rPr>
          <w:rFonts w:asciiTheme="majorBidi" w:hAnsiTheme="majorBidi"/>
          <w:color w:val="000000" w:themeColor="text1"/>
          <w:lang w:val="en-GB"/>
        </w:rPr>
        <w:fldChar w:fldCharType="separate"/>
      </w:r>
      <w:r w:rsidR="000B360D" w:rsidRPr="00F31509">
        <w:rPr>
          <w:rFonts w:asciiTheme="majorBidi" w:hAnsiTheme="majorBidi" w:cstheme="majorBidi"/>
          <w:noProof/>
          <w:color w:val="000000" w:themeColor="text1"/>
          <w:szCs w:val="24"/>
          <w:lang w:val="en-GB"/>
        </w:rPr>
        <w:t>17</w:t>
      </w:r>
      <w:r w:rsidR="00846B16" w:rsidRPr="00E03A09">
        <w:rPr>
          <w:rFonts w:asciiTheme="majorBidi" w:hAnsiTheme="majorBidi"/>
          <w:color w:val="000000" w:themeColor="text1"/>
          <w:lang w:val="en-GB"/>
        </w:rPr>
        <w:fldChar w:fldCharType="end"/>
      </w:r>
      <w:r w:rsidR="004F65E4" w:rsidRPr="00E03A09">
        <w:rPr>
          <w:rFonts w:asciiTheme="majorBidi" w:hAnsiTheme="majorBidi"/>
          <w:color w:val="000000" w:themeColor="text1"/>
          <w:lang w:val="en-GB"/>
        </w:rPr>
        <w:t>)</w:t>
      </w:r>
    </w:p>
    <w:p w14:paraId="51459FB5" w14:textId="6AAEEBC3" w:rsidR="004F65E4" w:rsidRPr="00E03A09" w:rsidRDefault="003664A6" w:rsidP="004F65E4">
      <w:pPr>
        <w:jc w:val="both"/>
        <w:rPr>
          <w:rFonts w:asciiTheme="majorBidi" w:hAnsiTheme="majorBidi"/>
          <w:color w:val="000000" w:themeColor="text1"/>
          <w:lang w:val="en-GB"/>
        </w:rPr>
      </w:pPr>
      <w:proofErr w:type="gramStart"/>
      <w:r w:rsidRPr="00F31509">
        <w:rPr>
          <w:rFonts w:asciiTheme="majorBidi" w:hAnsiTheme="majorBidi" w:cstheme="majorBidi"/>
          <w:color w:val="000000" w:themeColor="text1"/>
          <w:szCs w:val="24"/>
          <w:lang w:val="en-GB"/>
        </w:rPr>
        <w:t>where</w:t>
      </w:r>
      <w:proofErr w:type="gramEnd"/>
      <w:r w:rsidRPr="00E03A09">
        <w:rPr>
          <w:rFonts w:asciiTheme="majorBidi" w:hAnsiTheme="majorBidi"/>
          <w:color w:val="000000" w:themeColor="text1"/>
          <w:lang w:val="en-GB"/>
        </w:rPr>
        <w:t xml:space="preserve"> </w:t>
      </w:r>
      <m:oMath>
        <m:r>
          <w:rPr>
            <w:rFonts w:ascii="Cambria Math" w:hAnsi="Cambria Math"/>
            <w:color w:val="000000" w:themeColor="text1"/>
            <w:lang w:val="en-GB"/>
          </w:rPr>
          <m:t>∆Y</m:t>
        </m:r>
      </m:oMath>
      <w:r w:rsidR="004F65E4" w:rsidRPr="00E03A09">
        <w:rPr>
          <w:rFonts w:asciiTheme="majorBidi" w:hAnsiTheme="majorBidi"/>
          <w:color w:val="000000" w:themeColor="text1"/>
          <w:lang w:val="en-GB"/>
        </w:rPr>
        <w:t xml:space="preserve"> represents an average change in per capita income, and t </w:t>
      </w:r>
      <w:r w:rsidRPr="00F31509">
        <w:rPr>
          <w:rFonts w:asciiTheme="majorBidi" w:hAnsiTheme="majorBidi" w:cstheme="majorBidi"/>
          <w:color w:val="000000" w:themeColor="text1"/>
          <w:szCs w:val="24"/>
          <w:lang w:val="en-GB"/>
        </w:rPr>
        <w:t xml:space="preserve">is </w:t>
      </w:r>
      <w:r w:rsidR="004F65E4" w:rsidRPr="00E03A09">
        <w:rPr>
          <w:rFonts w:asciiTheme="majorBidi" w:hAnsiTheme="majorBidi"/>
          <w:color w:val="000000" w:themeColor="text1"/>
          <w:lang w:val="en-GB"/>
        </w:rPr>
        <w:t xml:space="preserve">the estimate for a simple time trend factor. </w:t>
      </w:r>
      <w:r w:rsidRPr="00F31509">
        <w:rPr>
          <w:rFonts w:asciiTheme="majorBidi" w:hAnsiTheme="majorBidi" w:cstheme="majorBidi"/>
          <w:color w:val="000000" w:themeColor="text1"/>
          <w:szCs w:val="24"/>
          <w:lang w:val="en-GB"/>
        </w:rPr>
        <w:t>Four</w:t>
      </w:r>
      <w:r w:rsidRPr="00E03A09">
        <w:rPr>
          <w:rFonts w:asciiTheme="majorBidi" w:hAnsiTheme="majorBidi"/>
          <w:color w:val="000000" w:themeColor="text1"/>
          <w:lang w:val="en-GB"/>
        </w:rPr>
        <w:t xml:space="preserve"> </w:t>
      </w:r>
      <w:r w:rsidR="004F65E4" w:rsidRPr="00E03A09">
        <w:rPr>
          <w:rFonts w:asciiTheme="majorBidi" w:hAnsiTheme="majorBidi"/>
          <w:color w:val="000000" w:themeColor="text1"/>
          <w:lang w:val="en-GB"/>
        </w:rPr>
        <w:t xml:space="preserve">different functional forms have been distinguished: a </w:t>
      </w:r>
      <w:r w:rsidR="0059554E" w:rsidRPr="00F31509">
        <w:rPr>
          <w:rFonts w:asciiTheme="majorBidi" w:hAnsiTheme="majorBidi" w:cstheme="majorBidi"/>
          <w:color w:val="000000" w:themeColor="text1"/>
          <w:szCs w:val="24"/>
          <w:lang w:val="en-GB"/>
        </w:rPr>
        <w:t>linear</w:t>
      </w:r>
      <w:r w:rsidR="004F65E4" w:rsidRPr="00E03A09">
        <w:rPr>
          <w:rFonts w:asciiTheme="majorBidi" w:hAnsiTheme="majorBidi"/>
          <w:color w:val="000000" w:themeColor="text1"/>
          <w:lang w:val="en-GB"/>
        </w:rPr>
        <w:t xml:space="preserve"> specification, </w:t>
      </w:r>
      <w:r w:rsidR="0059554E" w:rsidRPr="00E03A09">
        <w:rPr>
          <w:rFonts w:asciiTheme="majorBidi" w:hAnsiTheme="majorBidi"/>
          <w:color w:val="000000" w:themeColor="text1"/>
          <w:lang w:val="en-GB"/>
        </w:rPr>
        <w:t xml:space="preserve">a </w:t>
      </w:r>
      <w:r w:rsidR="0059554E" w:rsidRPr="00F31509">
        <w:rPr>
          <w:rFonts w:asciiTheme="majorBidi" w:hAnsiTheme="majorBidi" w:cstheme="majorBidi"/>
          <w:color w:val="000000" w:themeColor="text1"/>
          <w:szCs w:val="24"/>
          <w:lang w:val="en-GB"/>
        </w:rPr>
        <w:t xml:space="preserve">log-log, </w:t>
      </w:r>
      <w:r w:rsidR="004F65E4" w:rsidRPr="00F31509">
        <w:rPr>
          <w:rFonts w:asciiTheme="majorBidi" w:hAnsiTheme="majorBidi" w:cstheme="majorBidi"/>
          <w:color w:val="000000" w:themeColor="text1"/>
          <w:szCs w:val="24"/>
          <w:lang w:val="en-GB"/>
        </w:rPr>
        <w:t xml:space="preserve">a </w:t>
      </w:r>
      <w:r w:rsidR="004F65E4" w:rsidRPr="00E03A09">
        <w:rPr>
          <w:rFonts w:asciiTheme="majorBidi" w:hAnsiTheme="majorBidi"/>
          <w:color w:val="000000" w:themeColor="text1"/>
          <w:lang w:val="en-GB"/>
        </w:rPr>
        <w:t xml:space="preserve">semi-log, </w:t>
      </w:r>
      <w:r w:rsidR="0059554E" w:rsidRPr="00E03A09">
        <w:rPr>
          <w:rFonts w:asciiTheme="majorBidi" w:hAnsiTheme="majorBidi"/>
          <w:color w:val="000000" w:themeColor="text1"/>
          <w:lang w:val="en-GB"/>
        </w:rPr>
        <w:t xml:space="preserve">and </w:t>
      </w:r>
      <w:r w:rsidR="004F65E4" w:rsidRPr="00E03A09">
        <w:rPr>
          <w:rFonts w:asciiTheme="majorBidi" w:hAnsiTheme="majorBidi"/>
          <w:color w:val="000000" w:themeColor="text1"/>
          <w:lang w:val="en-GB"/>
        </w:rPr>
        <w:t xml:space="preserve">a log-inverse function. The choice of the functional form was taken in line with the functional form that was used for the estimation of the underlying income </w:t>
      </w:r>
      <w:proofErr w:type="spellStart"/>
      <w:r w:rsidR="004F65E4" w:rsidRPr="00E03A09">
        <w:rPr>
          <w:rFonts w:asciiTheme="majorBidi" w:hAnsiTheme="majorBidi"/>
          <w:color w:val="000000" w:themeColor="text1"/>
          <w:lang w:val="en-GB"/>
        </w:rPr>
        <w:t>elasticities</w:t>
      </w:r>
      <w:proofErr w:type="spellEnd"/>
      <w:r w:rsidR="004F65E4" w:rsidRPr="00E03A09">
        <w:rPr>
          <w:rFonts w:asciiTheme="majorBidi" w:hAnsiTheme="majorBidi"/>
          <w:color w:val="000000" w:themeColor="text1"/>
          <w:lang w:val="en-GB"/>
        </w:rPr>
        <w:t xml:space="preserve">. All equations for all commodities and all countries have been parameterized with an income elasticity </w:t>
      </w:r>
      <m:oMath>
        <m:sSub>
          <m:sSubPr>
            <m:ctrlPr>
              <w:rPr>
                <w:rFonts w:ascii="Cambria Math" w:hAnsi="Cambria Math"/>
                <w:i/>
                <w:color w:val="000000" w:themeColor="text1"/>
                <w:lang w:val="en-GB"/>
              </w:rPr>
            </m:ctrlPr>
          </m:sSubPr>
          <m:e>
            <m:r>
              <w:rPr>
                <w:rFonts w:ascii="Cambria Math" w:hAnsi="Cambria Math"/>
                <w:color w:val="000000" w:themeColor="text1"/>
                <w:lang w:val="en-GB"/>
              </w:rPr>
              <m:t>ε</m:t>
            </m:r>
          </m:e>
          <m:sub>
            <m:r>
              <w:rPr>
                <w:rFonts w:ascii="Cambria Math" w:hAnsi="Cambria Math"/>
                <w:color w:val="000000" w:themeColor="text1"/>
                <w:lang w:val="en-GB"/>
              </w:rPr>
              <m:t>j</m:t>
            </m:r>
          </m:sub>
        </m:sSub>
      </m:oMath>
      <w:r w:rsidR="004F65E4" w:rsidRPr="00E03A09">
        <w:rPr>
          <w:rFonts w:asciiTheme="majorBidi" w:hAnsiTheme="majorBidi"/>
          <w:color w:val="000000" w:themeColor="text1"/>
          <w:lang w:val="en-GB"/>
        </w:rPr>
        <w:t xml:space="preserve"> for every commodity j, country i, and a trend </w:t>
      </w:r>
      <w:proofErr w:type="gramStart"/>
      <w:r w:rsidR="004F65E4" w:rsidRPr="00E03A09">
        <w:rPr>
          <w:rFonts w:asciiTheme="majorBidi" w:hAnsiTheme="majorBidi"/>
          <w:color w:val="000000" w:themeColor="text1"/>
          <w:lang w:val="en-GB"/>
        </w:rPr>
        <w:t xml:space="preserve">factor </w:t>
      </w:r>
      <w:proofErr w:type="gramEnd"/>
      <m:oMath>
        <m:sSub>
          <m:sSubPr>
            <m:ctrlPr>
              <w:rPr>
                <w:rFonts w:ascii="Cambria Math" w:hAnsi="Cambria Math"/>
                <w:i/>
                <w:color w:val="000000" w:themeColor="text1"/>
                <w:lang w:val="en-GB"/>
              </w:rPr>
            </m:ctrlPr>
          </m:sSubPr>
          <m:e>
            <m:r>
              <w:rPr>
                <w:rFonts w:ascii="Cambria Math" w:hAnsi="Cambria Math"/>
                <w:color w:val="000000" w:themeColor="text1"/>
                <w:lang w:val="en-GB"/>
              </w:rPr>
              <m:t>t</m:t>
            </m:r>
          </m:e>
          <m:sub>
            <m:r>
              <w:rPr>
                <w:rFonts w:ascii="Cambria Math" w:hAnsi="Cambria Math"/>
                <w:color w:val="000000" w:themeColor="text1"/>
                <w:lang w:val="en-GB"/>
              </w:rPr>
              <m:t>j</m:t>
            </m:r>
          </m:sub>
        </m:sSub>
      </m:oMath>
      <w:r w:rsidR="004F65E4" w:rsidRPr="00E03A09">
        <w:rPr>
          <w:rFonts w:asciiTheme="majorBidi" w:hAnsiTheme="majorBidi"/>
          <w:color w:val="000000" w:themeColor="text1"/>
          <w:lang w:val="en-GB"/>
        </w:rPr>
        <w:t xml:space="preserve">. </w:t>
      </w:r>
    </w:p>
    <w:p w14:paraId="770CD04C" w14:textId="77777777" w:rsidR="004F65E4" w:rsidRPr="00E03A09" w:rsidRDefault="004F65E4" w:rsidP="004F65E4">
      <w:pPr>
        <w:jc w:val="both"/>
        <w:rPr>
          <w:rFonts w:asciiTheme="majorBidi" w:hAnsiTheme="majorBidi"/>
          <w:color w:val="000000" w:themeColor="text1"/>
          <w:lang w:val="en-GB"/>
        </w:rPr>
      </w:pPr>
    </w:p>
    <w:p w14:paraId="419FE2E1" w14:textId="6D068416" w:rsidR="00EA6005" w:rsidRPr="00E03A09" w:rsidRDefault="001C04E0" w:rsidP="00E03A09">
      <w:pPr>
        <w:rPr>
          <w:rFonts w:asciiTheme="majorBidi" w:hAnsiTheme="majorBidi"/>
          <w:color w:val="000000" w:themeColor="text1"/>
          <w:lang w:val="en-GB"/>
        </w:rPr>
      </w:pPr>
      <w:r w:rsidRPr="00F31509">
        <w:rPr>
          <w:rFonts w:asciiTheme="majorBidi" w:eastAsia="Times New Roman" w:hAnsiTheme="majorBidi" w:cstheme="majorBidi"/>
          <w:color w:val="000000" w:themeColor="text1"/>
          <w:lang w:val="en-GB"/>
        </w:rPr>
        <w:t>L</w:t>
      </w:r>
      <w:r w:rsidR="0059554E" w:rsidRPr="00F31509">
        <w:rPr>
          <w:rFonts w:asciiTheme="majorBidi" w:eastAsia="Times New Roman" w:hAnsiTheme="majorBidi" w:cstheme="majorBidi"/>
          <w:color w:val="000000" w:themeColor="text1"/>
          <w:lang w:val="en-GB"/>
        </w:rPr>
        <w:t>inear</w:t>
      </w:r>
      <w:r w:rsidR="0059554E" w:rsidRPr="00E03A09">
        <w:rPr>
          <w:rFonts w:asciiTheme="majorBidi" w:hAnsiTheme="majorBidi"/>
          <w:color w:val="000000" w:themeColor="text1"/>
          <w:lang w:val="en-GB"/>
        </w:rPr>
        <w:t xml:space="preserve"> specification:</w:t>
      </w:r>
    </w:p>
    <w:p w14:paraId="2DCFA18A" w14:textId="500114CD" w:rsidR="00EA6005" w:rsidRPr="00E03A09" w:rsidRDefault="00322C46" w:rsidP="000C402C">
      <w:pPr>
        <w:jc w:val="center"/>
        <w:rPr>
          <w:rFonts w:asciiTheme="majorBidi" w:hAnsiTheme="majorBidi"/>
          <w:color w:val="000000" w:themeColor="text1"/>
          <w:lang w:val="en-GB"/>
        </w:rPr>
      </w:p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FoodPC</m:t>
            </m:r>
          </m:e>
          <m:sub>
            <m:r>
              <m:rPr>
                <m:sty m:val="p"/>
              </m:rPr>
              <w:rPr>
                <w:rFonts w:ascii="Cambria Math" w:hAnsi="Cambria Math"/>
                <w:color w:val="000000" w:themeColor="text1"/>
                <w:lang w:val="en-GB"/>
              </w:rPr>
              <m:t>t,ij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FoodPC</m:t>
            </m:r>
          </m:e>
          <m:sub>
            <m:r>
              <m:rPr>
                <m:sty m:val="p"/>
              </m:rPr>
              <w:rPr>
                <w:rFonts w:ascii="Cambria Math" w:hAnsi="Cambria Math"/>
                <w:color w:val="000000" w:themeColor="text1"/>
                <w:lang w:val="en-GB"/>
              </w:rPr>
              <m:t>t-1,ij</m:t>
            </m:r>
          </m:sub>
        </m:sSub>
      </m:oMath>
      <w:r w:rsidRPr="00322C46">
        <w:rPr>
          <w:rFonts w:asciiTheme="majorBidi" w:hAnsiTheme="majorBidi" w:cstheme="majorBidi"/>
          <w:color w:val="000000" w:themeColor="text1"/>
          <w:lang w:val="en-GB"/>
        </w:rPr>
        <w:t xml:space="preserve"> (</w:t>
      </w:r>
      <w:r w:rsidR="0059554E" w:rsidRPr="00322C46">
        <w:rPr>
          <w:rFonts w:asciiTheme="majorBidi" w:hAnsiTheme="majorBidi" w:cstheme="majorBidi"/>
          <w:iCs/>
          <w:lang w:val="en-GB"/>
        </w:rPr>
        <w:t xml:space="preserve">Equation </w:t>
      </w:r>
      <w:r w:rsidR="00846B16" w:rsidRPr="00322C46">
        <w:rPr>
          <w:rFonts w:asciiTheme="majorBidi" w:hAnsiTheme="majorBidi" w:cstheme="majorBidi"/>
          <w:lang w:val="en-GB"/>
        </w:rPr>
        <w:fldChar w:fldCharType="begin"/>
      </w:r>
      <w:r w:rsidR="0059554E" w:rsidRPr="00322C46">
        <w:rPr>
          <w:rFonts w:asciiTheme="majorBidi" w:hAnsiTheme="majorBidi" w:cstheme="majorBidi"/>
          <w:lang w:val="en-GB"/>
        </w:rPr>
        <w:instrText xml:space="preserve"> SEQ Equation \* ARABIC </w:instrText>
      </w:r>
      <w:r w:rsidR="00846B16" w:rsidRPr="00322C46">
        <w:rPr>
          <w:rFonts w:asciiTheme="majorBidi" w:hAnsiTheme="majorBidi" w:cstheme="majorBidi"/>
          <w:lang w:val="en-GB"/>
        </w:rPr>
        <w:fldChar w:fldCharType="separate"/>
      </w:r>
      <w:r w:rsidR="000B360D" w:rsidRPr="00322C46">
        <w:rPr>
          <w:rFonts w:asciiTheme="majorBidi" w:hAnsiTheme="majorBidi" w:cstheme="majorBidi"/>
          <w:iCs/>
          <w:noProof/>
          <w:lang w:val="en-GB"/>
        </w:rPr>
        <w:t>18</w:t>
      </w:r>
      <w:r w:rsidR="00846B16" w:rsidRPr="00322C46">
        <w:rPr>
          <w:rFonts w:asciiTheme="majorBidi" w:hAnsiTheme="majorBidi" w:cstheme="majorBidi"/>
          <w:lang w:val="en-GB"/>
        </w:rPr>
        <w:fldChar w:fldCharType="end"/>
      </w:r>
      <w:r w:rsidR="00846B16" w:rsidRPr="00322C46">
        <w:rPr>
          <w:rFonts w:asciiTheme="majorBidi" w:hAnsiTheme="majorBidi" w:cstheme="majorBidi"/>
          <w:lang w:val="en-GB"/>
        </w:rPr>
        <w:fldChar w:fldCharType="begin"/>
      </w:r>
      <w:r w:rsidR="0059554E" w:rsidRPr="00322C46">
        <w:rPr>
          <w:rFonts w:asciiTheme="majorBidi" w:hAnsiTheme="majorBidi" w:cstheme="majorBidi"/>
          <w:color w:val="000000" w:themeColor="text1"/>
          <w:lang w:val="en-GB"/>
        </w:rPr>
        <w:instrText xml:space="preserve"> EQ </w:instrText>
      </w:r>
      <w:r w:rsidR="00846B16" w:rsidRPr="00322C46">
        <w:rPr>
          <w:rFonts w:asciiTheme="majorBidi" w:hAnsiTheme="majorBidi" w:cstheme="majorBidi"/>
          <w:color w:val="000000" w:themeColor="text1"/>
          <w:lang w:val="en-GB"/>
        </w:rPr>
        <w:fldChar w:fldCharType="end"/>
      </w:r>
      <w:r w:rsidR="0059554E" w:rsidRPr="00322C46">
        <w:rPr>
          <w:rFonts w:asciiTheme="majorBidi" w:hAnsiTheme="majorBidi" w:cstheme="majorBidi"/>
          <w:color w:val="000000" w:themeColor="text1"/>
          <w:lang w:val="en-GB"/>
        </w:rPr>
        <w:t>)</w:t>
      </w:r>
    </w:p>
    <w:p w14:paraId="4E1F1ABA" w14:textId="2AFDC870" w:rsidR="00EA6005" w:rsidRPr="00E03A09" w:rsidRDefault="00B877EE" w:rsidP="00E03A09">
      <w:pPr>
        <w:rPr>
          <w:rFonts w:asciiTheme="majorBidi" w:hAnsiTheme="majorBidi"/>
          <w:color w:val="000000" w:themeColor="text1"/>
          <w:lang w:val="en-GB"/>
        </w:rPr>
      </w:pPr>
      <w:r w:rsidRPr="00F31509">
        <w:rPr>
          <w:rFonts w:asciiTheme="majorBidi" w:eastAsia="Times New Roman" w:hAnsiTheme="majorBidi" w:cstheme="majorBidi"/>
          <w:color w:val="000000" w:themeColor="text1"/>
          <w:lang w:val="en-GB"/>
        </w:rPr>
        <w:t>Log</w:t>
      </w:r>
      <w:r w:rsidR="004F65E4" w:rsidRPr="00E03A09">
        <w:rPr>
          <w:rFonts w:asciiTheme="majorBidi" w:hAnsiTheme="majorBidi"/>
          <w:color w:val="000000" w:themeColor="text1"/>
          <w:lang w:val="en-GB"/>
        </w:rPr>
        <w:t>-log specification:</w:t>
      </w:r>
    </w:p>
    <w:p w14:paraId="1A513A53" w14:textId="28D90B4F" w:rsidR="00EA6005" w:rsidRPr="00E03A09" w:rsidRDefault="00B36B7E" w:rsidP="000C402C">
      <w:pPr>
        <w:jc w:val="center"/>
        <w:rPr>
          <w:rFonts w:asciiTheme="majorBidi" w:hAnsiTheme="majorBidi"/>
          <w:color w:val="000000" w:themeColor="text1"/>
          <w:lang w:val="en-GB"/>
        </w:rPr>
      </w:pPr>
      <m:oMath>
        <m:func>
          <m:funcPr>
            <m:ctrlPr>
              <w:rPr>
                <w:rFonts w:ascii="Cambria Math" w:hAnsi="Cambria Math" w:cstheme="majorBidi"/>
                <w:i/>
                <w:color w:val="000000" w:themeColor="text1"/>
                <w:szCs w:val="24"/>
                <w:lang w:val="en-GB"/>
              </w:rPr>
            </m:ctrlPr>
          </m:funcPr>
          <m:fName>
            <m:r>
              <w:rPr>
                <w:rFonts w:ascii="Cambria Math" w:hAnsi="Cambria Math" w:cstheme="majorBidi"/>
                <w:color w:val="000000" w:themeColor="text1"/>
                <w:szCs w:val="24"/>
                <w:lang w:val="en-GB"/>
              </w:rPr>
              <m:t>log</m:t>
            </m:r>
          </m:fName>
          <m:e>
            <m:d>
              <m:dPr>
                <m:ctrlPr>
                  <w:rPr>
                    <w:rFonts w:ascii="Cambria Math" w:hAnsi="Cambria Math" w:cstheme="majorBidi"/>
                    <w:i/>
                    <w:color w:val="000000" w:themeColor="text1"/>
                    <w:szCs w:val="24"/>
                    <w:lang w:val="en-GB"/>
                  </w:rPr>
                </m:ctrlPr>
              </m:dPr>
              <m:e>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t,ij</m:t>
                    </m:r>
                  </m:sub>
                </m:sSub>
              </m:e>
            </m:d>
          </m:e>
        </m:func>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t-1,ij</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ε</m:t>
            </m:r>
          </m:e>
          <m:sub>
            <m:r>
              <w:rPr>
                <w:rFonts w:ascii="Cambria Math" w:hAnsi="Cambria Math" w:cstheme="majorBidi"/>
                <w:color w:val="000000" w:themeColor="text1"/>
                <w:szCs w:val="24"/>
                <w:lang w:val="en-GB"/>
              </w:rPr>
              <m:t>ij</m:t>
            </m:r>
          </m:sub>
        </m:sSub>
        <m:r>
          <w:rPr>
            <w:rFonts w:ascii="Cambria Math" w:hAnsi="Cambria Math" w:cstheme="majorBidi"/>
            <w:color w:val="000000" w:themeColor="text1"/>
            <w:szCs w:val="24"/>
            <w:lang w:val="en-GB"/>
          </w:rPr>
          <m:t xml:space="preserve"> </m:t>
        </m:r>
        <m:func>
          <m:funcPr>
            <m:ctrlPr>
              <w:rPr>
                <w:rFonts w:ascii="Cambria Math" w:hAnsi="Cambria Math" w:cstheme="majorBidi"/>
                <w:i/>
                <w:color w:val="000000" w:themeColor="text1"/>
                <w:szCs w:val="24"/>
                <w:lang w:val="en-GB"/>
              </w:rPr>
            </m:ctrlPr>
          </m:funcPr>
          <m:fName>
            <m:r>
              <w:rPr>
                <w:rFonts w:ascii="Cambria Math" w:hAnsi="Cambria Math" w:cstheme="majorBidi"/>
                <w:color w:val="000000" w:themeColor="text1"/>
                <w:szCs w:val="24"/>
                <w:lang w:val="en-GB"/>
              </w:rPr>
              <m:t>log</m:t>
            </m:r>
          </m:fName>
          <m:e>
            <m:d>
              <m:dPr>
                <m:ctrlPr>
                  <w:rPr>
                    <w:rFonts w:ascii="Cambria Math" w:hAnsi="Cambria Math" w:cstheme="majorBidi"/>
                    <w:i/>
                    <w:color w:val="000000" w:themeColor="text1"/>
                    <w:szCs w:val="24"/>
                    <w:lang w:val="en-GB"/>
                  </w:rPr>
                </m:ctrlPr>
              </m:dPr>
              <m:e>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∆Y</m:t>
                    </m:r>
                  </m:e>
                  <m:sub>
                    <m:r>
                      <w:rPr>
                        <w:rFonts w:ascii="Cambria Math" w:hAnsi="Cambria Math" w:cstheme="majorBidi"/>
                        <w:color w:val="000000" w:themeColor="text1"/>
                        <w:szCs w:val="24"/>
                        <w:lang w:val="en-GB"/>
                      </w:rPr>
                      <m:t>i,j</m:t>
                    </m:r>
                  </m:sub>
                </m:sSub>
              </m:e>
            </m:d>
          </m:e>
        </m:func>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t</m:t>
            </m:r>
          </m:e>
          <m:sub>
            <m:r>
              <w:rPr>
                <w:rFonts w:ascii="Cambria Math" w:hAnsi="Cambria Math" w:cstheme="majorBidi"/>
                <w:color w:val="000000" w:themeColor="text1"/>
                <w:szCs w:val="24"/>
                <w:lang w:val="en-GB"/>
              </w:rPr>
              <m:t>i</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t-1,ij</m:t>
            </m:r>
          </m:sub>
        </m:sSub>
        <m:r>
          <w:rPr>
            <w:rFonts w:ascii="Cambria Math" w:hAnsi="Cambria Math" w:cstheme="majorBidi"/>
            <w:color w:val="000000" w:themeColor="text1"/>
            <w:szCs w:val="24"/>
            <w:lang w:val="en-GB"/>
          </w:rPr>
          <m:t xml:space="preserve"> </m:t>
        </m:r>
      </m:oMath>
      <w:r w:rsidR="004F65E4" w:rsidRPr="00E03A09">
        <w:rPr>
          <w:rFonts w:asciiTheme="majorBidi" w:hAnsiTheme="majorBidi"/>
          <w:color w:val="000000" w:themeColor="text1"/>
          <w:lang w:val="en-GB"/>
        </w:rPr>
        <w:t xml:space="preserve">(Equation </w:t>
      </w:r>
      <w:r w:rsidR="00846B16" w:rsidRPr="00E03A09">
        <w:rPr>
          <w:rFonts w:asciiTheme="majorBidi" w:hAnsiTheme="majorBidi"/>
          <w:lang w:val="en-GB"/>
        </w:rPr>
        <w:fldChar w:fldCharType="begin"/>
      </w:r>
      <w:r w:rsidR="004F65E4" w:rsidRPr="00E03A09">
        <w:rPr>
          <w:rFonts w:asciiTheme="majorBidi" w:hAnsiTheme="majorBidi"/>
          <w:color w:val="000000" w:themeColor="text1"/>
          <w:lang w:val="en-GB"/>
        </w:rPr>
        <w:instrText xml:space="preserve"> SEQ Equation \* ARABIC </w:instrText>
      </w:r>
      <w:r w:rsidR="00846B16" w:rsidRPr="00E03A09">
        <w:rPr>
          <w:rFonts w:asciiTheme="majorBidi" w:hAnsiTheme="majorBidi"/>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20</w:t>
      </w:r>
      <w:r w:rsidR="00846B16" w:rsidRPr="00E03A09">
        <w:rPr>
          <w:rFonts w:asciiTheme="majorBidi" w:hAnsiTheme="majorBidi"/>
          <w:lang w:val="en-GB"/>
        </w:rPr>
        <w:fldChar w:fldCharType="end"/>
      </w:r>
      <w:r w:rsidR="004F65E4" w:rsidRPr="00E03A09">
        <w:rPr>
          <w:rFonts w:asciiTheme="majorBidi" w:hAnsiTheme="majorBidi"/>
          <w:color w:val="000000" w:themeColor="text1"/>
          <w:lang w:val="en-GB"/>
        </w:rPr>
        <w:t>)</w:t>
      </w:r>
    </w:p>
    <w:p w14:paraId="39373315" w14:textId="77777777" w:rsidR="004F65E4" w:rsidRPr="00F31509" w:rsidRDefault="004F65E4" w:rsidP="004F65E4">
      <w:pPr>
        <w:jc w:val="center"/>
        <w:rPr>
          <w:rFonts w:asciiTheme="majorBidi" w:hAnsiTheme="majorBidi" w:cstheme="majorBidi"/>
          <w:color w:val="000000" w:themeColor="text1"/>
          <w:szCs w:val="24"/>
          <w:lang w:val="en-GB"/>
        </w:rPr>
      </w:pPr>
    </w:p>
    <w:p w14:paraId="15AF778F" w14:textId="77777777" w:rsidR="00EA6005" w:rsidRPr="00F31509" w:rsidRDefault="001C04E0" w:rsidP="000C402C">
      <w:pPr>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Semi</w:t>
      </w:r>
      <w:r w:rsidR="004F65E4" w:rsidRPr="00F31509">
        <w:rPr>
          <w:rFonts w:asciiTheme="majorBidi" w:eastAsia="Times New Roman" w:hAnsiTheme="majorBidi" w:cstheme="majorBidi"/>
          <w:color w:val="000000" w:themeColor="text1"/>
          <w:lang w:val="en-GB"/>
        </w:rPr>
        <w:t>-log specification:</w:t>
      </w:r>
    </w:p>
    <w:p w14:paraId="078A7501" w14:textId="77777777" w:rsidR="004F65E4" w:rsidRPr="00F31509" w:rsidRDefault="00B36B7E" w:rsidP="001C04E0">
      <w:pPr>
        <w:jc w:val="center"/>
        <w:rPr>
          <w:rFonts w:asciiTheme="majorBidi" w:hAnsiTheme="majorBidi" w:cstheme="majorBidi"/>
          <w:color w:val="000000" w:themeColor="text1"/>
          <w:szCs w:val="24"/>
          <w:lang w:val="en-GB"/>
        </w:rPr>
      </w:pPr>
      <m:oMath>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t,ij</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t-1,ij</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ε</m:t>
            </m:r>
          </m:e>
          <m:sub>
            <m:r>
              <w:rPr>
                <w:rFonts w:ascii="Cambria Math" w:hAnsi="Cambria Math" w:cstheme="majorBidi"/>
                <w:color w:val="000000" w:themeColor="text1"/>
                <w:szCs w:val="24"/>
                <w:lang w:val="en-GB"/>
              </w:rPr>
              <m:t>i</m:t>
            </m:r>
          </m:sub>
        </m:sSub>
        <m:r>
          <w:rPr>
            <w:rFonts w:ascii="Cambria Math" w:hAnsi="Cambria Math" w:cstheme="majorBidi"/>
            <w:color w:val="000000" w:themeColor="text1"/>
            <w:szCs w:val="24"/>
            <w:lang w:val="en-GB"/>
          </w:rPr>
          <m:t xml:space="preserve"> </m:t>
        </m:r>
        <m:func>
          <m:funcPr>
            <m:ctrlPr>
              <w:rPr>
                <w:rFonts w:ascii="Cambria Math" w:hAnsi="Cambria Math" w:cstheme="majorBidi"/>
                <w:i/>
                <w:color w:val="000000" w:themeColor="text1"/>
                <w:szCs w:val="24"/>
                <w:lang w:val="en-GB"/>
              </w:rPr>
            </m:ctrlPr>
          </m:funcPr>
          <m:fName>
            <m:r>
              <w:rPr>
                <w:rFonts w:ascii="Cambria Math" w:hAnsi="Cambria Math" w:cstheme="majorBidi"/>
                <w:color w:val="000000" w:themeColor="text1"/>
                <w:szCs w:val="24"/>
                <w:lang w:val="en-GB"/>
              </w:rPr>
              <m:t>log</m:t>
            </m:r>
          </m:fName>
          <m:e>
            <m:d>
              <m:dPr>
                <m:ctrlPr>
                  <w:rPr>
                    <w:rFonts w:ascii="Cambria Math" w:hAnsi="Cambria Math" w:cstheme="majorBidi"/>
                    <w:i/>
                    <w:color w:val="000000" w:themeColor="text1"/>
                    <w:szCs w:val="24"/>
                    <w:lang w:val="en-GB"/>
                  </w:rPr>
                </m:ctrlPr>
              </m:dPr>
              <m:e>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∆Y</m:t>
                    </m:r>
                  </m:e>
                  <m:sub>
                    <m:r>
                      <w:rPr>
                        <w:rFonts w:ascii="Cambria Math" w:hAnsi="Cambria Math" w:cstheme="majorBidi"/>
                        <w:color w:val="000000" w:themeColor="text1"/>
                        <w:szCs w:val="24"/>
                        <w:lang w:val="en-GB"/>
                      </w:rPr>
                      <m:t>i,j</m:t>
                    </m:r>
                  </m:sub>
                </m:sSub>
              </m:e>
            </m:d>
          </m:e>
        </m:func>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t</m:t>
            </m:r>
          </m:e>
          <m:sub>
            <m:r>
              <w:rPr>
                <w:rFonts w:ascii="Cambria Math" w:hAnsi="Cambria Math" w:cstheme="majorBidi"/>
                <w:color w:val="000000" w:themeColor="text1"/>
                <w:szCs w:val="24"/>
                <w:lang w:val="en-GB"/>
              </w:rPr>
              <m:t>i</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FoodPC</m:t>
            </m:r>
          </m:e>
          <m:sub>
            <m:r>
              <w:rPr>
                <w:rFonts w:ascii="Cambria Math" w:hAnsi="Cambria Math" w:cstheme="majorBidi"/>
                <w:color w:val="000000" w:themeColor="text1"/>
                <w:szCs w:val="24"/>
                <w:lang w:val="en-GB"/>
              </w:rPr>
              <m:t>t-1,ij</m:t>
            </m:r>
          </m:sub>
        </m:sSub>
      </m:oMath>
      <w:r w:rsidR="004F65E4" w:rsidRPr="00F31509">
        <w:rPr>
          <w:rFonts w:asciiTheme="majorBidi" w:eastAsia="Times New Roman" w:hAnsiTheme="majorBidi" w:cstheme="majorBidi"/>
          <w:color w:val="000000" w:themeColor="text1"/>
          <w:lang w:val="en-GB"/>
        </w:rPr>
        <w:t xml:space="preserve">(Equation </w:t>
      </w:r>
      <w:r w:rsidR="00846B16" w:rsidRPr="00F31509">
        <w:rPr>
          <w:rFonts w:asciiTheme="majorBidi" w:hAnsiTheme="majorBidi" w:cstheme="majorBidi"/>
          <w:lang w:val="en-GB"/>
        </w:rPr>
        <w:fldChar w:fldCharType="begin"/>
      </w:r>
      <w:r w:rsidR="004F65E4" w:rsidRPr="00F31509">
        <w:rPr>
          <w:rFonts w:asciiTheme="majorBidi" w:hAnsiTheme="majorBidi" w:cstheme="majorBidi"/>
          <w:color w:val="000000" w:themeColor="text1"/>
          <w:szCs w:val="24"/>
          <w:lang w:val="en-GB"/>
        </w:rPr>
        <w:instrText xml:space="preserve"> SEQ Equation \* ARABIC </w:instrText>
      </w:r>
      <w:r w:rsidR="00846B16" w:rsidRPr="00F31509">
        <w:rPr>
          <w:rFonts w:asciiTheme="majorBidi" w:hAnsiTheme="majorBidi" w:cstheme="majorBidi"/>
          <w:color w:val="000000" w:themeColor="text1"/>
          <w:szCs w:val="24"/>
          <w:lang w:val="en-GB"/>
        </w:rPr>
        <w:fldChar w:fldCharType="separate"/>
      </w:r>
      <w:r w:rsidR="000B360D" w:rsidRPr="00F31509">
        <w:rPr>
          <w:rFonts w:asciiTheme="majorBidi" w:eastAsia="Times New Roman" w:hAnsiTheme="majorBidi" w:cstheme="majorBidi"/>
          <w:noProof/>
          <w:color w:val="000000" w:themeColor="text1"/>
          <w:lang w:val="en-GB"/>
        </w:rPr>
        <w:t>21</w:t>
      </w:r>
      <w:r w:rsidR="00846B16" w:rsidRPr="00F31509">
        <w:rPr>
          <w:rFonts w:asciiTheme="majorBidi" w:hAnsiTheme="majorBidi" w:cstheme="majorBidi"/>
          <w:lang w:val="en-GB"/>
        </w:rPr>
        <w:fldChar w:fldCharType="end"/>
      </w:r>
      <w:r w:rsidR="004F65E4" w:rsidRPr="00F31509">
        <w:rPr>
          <w:rFonts w:asciiTheme="majorBidi" w:eastAsia="Times New Roman" w:hAnsiTheme="majorBidi" w:cstheme="majorBidi"/>
          <w:color w:val="000000" w:themeColor="text1"/>
          <w:lang w:val="en-GB"/>
        </w:rPr>
        <w:t>)</w:t>
      </w:r>
    </w:p>
    <w:p w14:paraId="65B768D9" w14:textId="77777777" w:rsidR="004F65E4" w:rsidRPr="00E03A09" w:rsidRDefault="004F65E4" w:rsidP="004F65E4">
      <w:pPr>
        <w:jc w:val="center"/>
        <w:rPr>
          <w:rFonts w:asciiTheme="majorBidi" w:hAnsiTheme="majorBidi"/>
          <w:color w:val="000000" w:themeColor="text1"/>
          <w:lang w:val="en-GB"/>
        </w:rPr>
      </w:pPr>
    </w:p>
    <w:p w14:paraId="483E4398" w14:textId="77777777" w:rsidR="00EA6005" w:rsidRPr="00E03A09" w:rsidRDefault="004F65E4" w:rsidP="00E03A09">
      <w:pPr>
        <w:rPr>
          <w:rFonts w:asciiTheme="majorBidi" w:hAnsiTheme="majorBidi"/>
          <w:color w:val="000000" w:themeColor="text1"/>
          <w:lang w:val="en-GB"/>
        </w:rPr>
      </w:pPr>
      <w:r w:rsidRPr="00E03A09">
        <w:rPr>
          <w:rFonts w:asciiTheme="majorBidi" w:hAnsiTheme="majorBidi"/>
          <w:color w:val="000000" w:themeColor="text1"/>
          <w:lang w:val="en-GB"/>
        </w:rPr>
        <w:t>Log-Inverse specification:</w:t>
      </w:r>
    </w:p>
    <w:p w14:paraId="17B3F43D" w14:textId="6FE18965" w:rsidR="004F65E4" w:rsidRPr="00E03A09" w:rsidRDefault="00B36B7E" w:rsidP="00322C46">
      <w:pPr>
        <w:jc w:val="center"/>
        <w:rPr>
          <w:rFonts w:asciiTheme="majorBidi" w:hAnsiTheme="majorBidi"/>
          <w:color w:val="000000" w:themeColor="text1"/>
          <w:lang w:val="en-GB"/>
        </w:rPr>
      </w:p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log⁡(FoodPC</m:t>
            </m:r>
          </m:e>
          <m:sub>
            <m:r>
              <m:rPr>
                <m:sty m:val="p"/>
              </m:rPr>
              <w:rPr>
                <w:rFonts w:ascii="Cambria Math" w:hAnsi="Cambria Math"/>
                <w:color w:val="000000" w:themeColor="text1"/>
                <w:lang w:val="en-GB"/>
              </w:rPr>
              <m:t>t,ij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FoodPC</m:t>
            </m:r>
          </m:e>
          <m:sub>
            <m:r>
              <m:rPr>
                <m:sty m:val="p"/>
              </m:rPr>
              <w:rPr>
                <w:rFonts w:ascii="Cambria Math" w:hAnsi="Cambria Math"/>
                <w:color w:val="000000" w:themeColor="text1"/>
                <w:lang w:val="en-GB"/>
              </w:rPr>
              <m:t>t-1,ij</m:t>
            </m:r>
          </m:sub>
        </m:sSub>
        <m:r>
          <m:rPr>
            <m:sty m:val="p"/>
          </m:rPr>
          <w:rPr>
            <w:rFonts w:ascii="Cambria Math" w:hAnsi="Cambria Math"/>
            <w:color w:val="000000" w:themeColor="text1"/>
            <w:lang w:val="en-GB"/>
          </w:rPr>
          <m:t xml:space="preserve">+ </m:t>
        </m:r>
        <m:f>
          <m:fPr>
            <m:type m:val="skw"/>
            <m:ctrlPr>
              <w:rPr>
                <w:rFonts w:ascii="Cambria Math" w:hAnsi="Cambria Math"/>
                <w:color w:val="000000" w:themeColor="text1"/>
                <w:lang w:val="en-GB"/>
              </w:rPr>
            </m:ctrlPr>
          </m:fPr>
          <m:num>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ε</m:t>
                </m:r>
              </m:e>
              <m:sub>
                <m:r>
                  <m:rPr>
                    <m:sty m:val="p"/>
                  </m:rPr>
                  <w:rPr>
                    <w:rFonts w:ascii="Cambria Math" w:hAnsi="Cambria Math"/>
                    <w:color w:val="000000" w:themeColor="text1"/>
                    <w:lang w:val="en-GB"/>
                  </w:rPr>
                  <m:t>i,j</m:t>
                </m:r>
              </m:sub>
            </m:sSub>
          </m:num>
          <m:den>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∆Y</m:t>
                </m:r>
              </m:e>
              <m:sub>
                <m:r>
                  <m:rPr>
                    <m:sty m:val="p"/>
                  </m:rPr>
                  <w:rPr>
                    <w:rFonts w:ascii="Cambria Math" w:hAnsi="Cambria Math"/>
                    <w:color w:val="000000" w:themeColor="text1"/>
                    <w:lang w:val="en-GB"/>
                  </w:rPr>
                  <m:t>i,j</m:t>
                </m:r>
              </m:sub>
            </m:sSub>
          </m:den>
        </m:f>
      </m:oMath>
      <w:r w:rsidR="004F65E4" w:rsidRPr="00E03A09">
        <w:rPr>
          <w:rFonts w:asciiTheme="majorBidi" w:hAnsiTheme="majorBidi"/>
          <w:color w:val="000000" w:themeColor="text1"/>
          <w:lang w:val="en-GB"/>
        </w:rPr>
        <w:t xml:space="preserve"> </w:t>
      </w:r>
      <m:oMath>
        <m:r>
          <m:rPr>
            <m:sty m:val="p"/>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t</m:t>
            </m:r>
          </m:e>
          <m:sub>
            <m:r>
              <m:rPr>
                <m:sty m:val="p"/>
              </m:rPr>
              <w:rPr>
                <w:rFonts w:ascii="Cambria Math" w:hAnsi="Cambria Math"/>
                <w:color w:val="000000" w:themeColor="text1"/>
                <w:lang w:val="en-GB"/>
              </w:rPr>
              <m:t>i</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FoodPC</m:t>
            </m:r>
          </m:e>
          <m:sub>
            <m:r>
              <m:rPr>
                <m:sty m:val="p"/>
              </m:rPr>
              <w:rPr>
                <w:rFonts w:ascii="Cambria Math" w:hAnsi="Cambria Math"/>
                <w:color w:val="000000" w:themeColor="text1"/>
                <w:lang w:val="en-GB"/>
              </w:rPr>
              <m:t>t-1,ij</m:t>
            </m:r>
          </m:sub>
        </m:sSub>
      </m:oMath>
      <w:r w:rsidR="00322C46">
        <w:rPr>
          <w:rFonts w:asciiTheme="majorBidi" w:hAnsiTheme="majorBidi"/>
          <w:color w:val="000000" w:themeColor="text1"/>
          <w:lang w:val="en-GB"/>
        </w:rPr>
        <w:t xml:space="preserve"> </w:t>
      </w:r>
      <w:r w:rsidR="00322C46" w:rsidRPr="00F31509">
        <w:rPr>
          <w:rFonts w:asciiTheme="majorBidi" w:eastAsia="Times New Roman" w:hAnsiTheme="majorBidi" w:cstheme="majorBidi"/>
          <w:color w:val="000000" w:themeColor="text1"/>
          <w:lang w:val="en-GB"/>
        </w:rPr>
        <w:t xml:space="preserve"> </w:t>
      </w:r>
      <w:r w:rsidR="004F65E4" w:rsidRPr="00F31509">
        <w:rPr>
          <w:rFonts w:asciiTheme="majorBidi" w:eastAsia="Times New Roman" w:hAnsiTheme="majorBidi" w:cstheme="majorBidi"/>
          <w:color w:val="000000" w:themeColor="text1"/>
          <w:lang w:val="en-GB"/>
        </w:rPr>
        <w:t xml:space="preserve">(Equation </w:t>
      </w:r>
      <w:r w:rsidR="00846B16" w:rsidRPr="00F31509">
        <w:rPr>
          <w:rFonts w:asciiTheme="majorBidi" w:hAnsiTheme="majorBidi" w:cstheme="majorBidi"/>
          <w:lang w:val="en-GB"/>
        </w:rPr>
        <w:fldChar w:fldCharType="begin"/>
      </w:r>
      <w:r w:rsidR="004F65E4" w:rsidRPr="00F31509">
        <w:rPr>
          <w:rFonts w:asciiTheme="majorBidi" w:hAnsiTheme="majorBidi" w:cstheme="majorBidi"/>
          <w:color w:val="000000" w:themeColor="text1"/>
          <w:szCs w:val="24"/>
          <w:lang w:val="en-GB"/>
        </w:rPr>
        <w:instrText xml:space="preserve"> SEQ Equation \* ARABIC </w:instrText>
      </w:r>
      <w:r w:rsidR="00846B16" w:rsidRPr="00F31509">
        <w:rPr>
          <w:rFonts w:asciiTheme="majorBidi" w:hAnsiTheme="majorBidi" w:cstheme="majorBidi"/>
          <w:color w:val="000000" w:themeColor="text1"/>
          <w:szCs w:val="24"/>
          <w:lang w:val="en-GB"/>
        </w:rPr>
        <w:fldChar w:fldCharType="separate"/>
      </w:r>
      <w:r w:rsidR="000B360D" w:rsidRPr="00F31509">
        <w:rPr>
          <w:rFonts w:asciiTheme="majorBidi" w:eastAsia="Times New Roman" w:hAnsiTheme="majorBidi" w:cstheme="majorBidi"/>
          <w:noProof/>
          <w:color w:val="000000" w:themeColor="text1"/>
          <w:lang w:val="en-GB"/>
        </w:rPr>
        <w:t>22</w:t>
      </w:r>
      <w:r w:rsidR="00846B16" w:rsidRPr="00F31509">
        <w:rPr>
          <w:rFonts w:asciiTheme="majorBidi" w:hAnsiTheme="majorBidi" w:cstheme="majorBidi"/>
          <w:lang w:val="en-GB"/>
        </w:rPr>
        <w:fldChar w:fldCharType="end"/>
      </w:r>
      <w:r w:rsidR="004F65E4" w:rsidRPr="00F31509">
        <w:rPr>
          <w:rFonts w:asciiTheme="majorBidi" w:eastAsia="Times New Roman" w:hAnsiTheme="majorBidi" w:cstheme="majorBidi"/>
          <w:color w:val="000000" w:themeColor="text1"/>
          <w:lang w:val="en-GB"/>
        </w:rPr>
        <w:t>)</w:t>
      </w:r>
    </w:p>
    <w:p w14:paraId="6DAD8FB7" w14:textId="77777777" w:rsidR="004F65E4" w:rsidRPr="00322C46" w:rsidRDefault="004F65E4" w:rsidP="004F65E4">
      <w:pPr>
        <w:jc w:val="center"/>
        <w:rPr>
          <w:rFonts w:asciiTheme="majorBidi" w:hAnsiTheme="majorBidi"/>
          <w:color w:val="000000" w:themeColor="text1"/>
          <w:lang w:val="en-GB"/>
        </w:rPr>
      </w:pPr>
    </w:p>
    <w:p w14:paraId="14B0B250" w14:textId="77777777" w:rsidR="007501D5" w:rsidRPr="00523E7E" w:rsidRDefault="004F65E4" w:rsidP="00FA72A7">
      <w:pPr>
        <w:jc w:val="center"/>
        <w:rPr>
          <w:rFonts w:ascii="Times New Roman" w:hAnsi="Times New Roman" w:cs="Times New Roman"/>
          <w:bCs/>
          <w:sz w:val="24"/>
          <w:szCs w:val="24"/>
        </w:rPr>
      </w:pPr>
      <w:proofErr w:type="gramStart"/>
      <w:r w:rsidRPr="00E03A09">
        <w:rPr>
          <w:rFonts w:asciiTheme="majorBidi" w:hAnsiTheme="majorBidi"/>
          <w:color w:val="000000" w:themeColor="text1"/>
          <w:lang w:val="en-GB"/>
        </w:rPr>
        <w:lastRenderedPageBreak/>
        <w:t>where</w:t>
      </w:r>
      <w:proofErr w:type="gramEnd"/>
      <w:r w:rsidRPr="00E03A09">
        <w:rPr>
          <w:rFonts w:asciiTheme="majorBidi" w:hAnsiTheme="majorBidi"/>
          <w:color w:val="000000" w:themeColor="text1"/>
          <w:lang w:val="en-GB"/>
        </w:rPr>
        <w:t xml:space="preserve"> </w:t>
      </w:r>
      <m:oMath>
        <m:r>
          <w:rPr>
            <w:rFonts w:ascii="Cambria Math" w:hAnsi="Cambria Math"/>
            <w:color w:val="000000" w:themeColor="text1"/>
            <w:lang w:val="en-GB"/>
          </w:rPr>
          <m:t>∆Y=</m:t>
        </m:r>
        <m:f>
          <m:fPr>
            <m:ctrlPr>
              <w:rPr>
                <w:rFonts w:ascii="Cambria Math" w:hAnsi="Cambria Math"/>
                <w:i/>
                <w:color w:val="000000" w:themeColor="text1"/>
                <w:lang w:val="en-GB"/>
              </w:rPr>
            </m:ctrlPr>
          </m:fPr>
          <m:num>
            <m:sSub>
              <m:sSubPr>
                <m:ctrlPr>
                  <w:rPr>
                    <w:rFonts w:ascii="Cambria Math" w:hAnsi="Cambria Math"/>
                    <w:i/>
                    <w:color w:val="000000" w:themeColor="text1"/>
                    <w:lang w:val="en-GB"/>
                  </w:rPr>
                </m:ctrlPr>
              </m:sSubPr>
              <m:e>
                <m:r>
                  <w:rPr>
                    <w:rFonts w:ascii="Cambria Math" w:hAnsi="Cambria Math"/>
                    <w:color w:val="000000" w:themeColor="text1"/>
                    <w:lang w:val="en-GB"/>
                  </w:rPr>
                  <m:t>GDP_PC</m:t>
                </m:r>
              </m:e>
              <m:sub>
                <m:r>
                  <w:rPr>
                    <w:rFonts w:ascii="Cambria Math" w:hAnsi="Cambria Math"/>
                    <w:color w:val="000000" w:themeColor="text1"/>
                    <w:lang w:val="en-GB"/>
                  </w:rPr>
                  <m:t>t</m:t>
                </m:r>
              </m:sub>
            </m:sSub>
          </m:num>
          <m:den>
            <m:r>
              <w:rPr>
                <w:rFonts w:ascii="Cambria Math" w:hAnsi="Cambria Math"/>
                <w:color w:val="000000" w:themeColor="text1"/>
                <w:lang w:val="en-GB"/>
              </w:rPr>
              <m:t>GD</m:t>
            </m:r>
            <m:sSub>
              <m:sSubPr>
                <m:ctrlPr>
                  <w:rPr>
                    <w:rFonts w:ascii="Cambria Math" w:hAnsi="Cambria Math"/>
                    <w:i/>
                    <w:color w:val="000000" w:themeColor="text1"/>
                    <w:lang w:val="en-GB"/>
                  </w:rPr>
                </m:ctrlPr>
              </m:sSubPr>
              <m:e>
                <m:r>
                  <w:rPr>
                    <w:rFonts w:ascii="Cambria Math" w:hAnsi="Cambria Math"/>
                    <w:color w:val="000000" w:themeColor="text1"/>
                    <w:lang w:val="en-GB"/>
                  </w:rPr>
                  <m:t>P_PC</m:t>
                </m:r>
              </m:e>
              <m:sub>
                <m:r>
                  <w:rPr>
                    <w:rFonts w:ascii="Cambria Math" w:hAnsi="Cambria Math"/>
                    <w:color w:val="000000" w:themeColor="text1"/>
                    <w:lang w:val="en-GB"/>
                  </w:rPr>
                  <m:t>t-1</m:t>
                </m:r>
              </m:sub>
            </m:sSub>
          </m:den>
        </m:f>
      </m:oMath>
    </w:p>
    <w:p w14:paraId="59B56ADF" w14:textId="77777777" w:rsidR="007501D5" w:rsidRPr="00BD2455" w:rsidRDefault="007501D5" w:rsidP="00FA72A7">
      <w:pPr>
        <w:jc w:val="center"/>
        <w:rPr>
          <w:rFonts w:ascii="Times New Roman" w:hAnsi="Times New Roman" w:cs="Times New Roman"/>
          <w:bCs/>
          <w:sz w:val="24"/>
          <w:szCs w:val="24"/>
        </w:rPr>
      </w:pPr>
    </w:p>
    <w:p w14:paraId="1FD1D59D" w14:textId="77777777" w:rsidR="007501D5" w:rsidRPr="00D472DE" w:rsidRDefault="007501D5" w:rsidP="00FA72A7">
      <w:pPr>
        <w:pStyle w:val="Heading3"/>
        <w:jc w:val="both"/>
      </w:pPr>
      <w:r w:rsidRPr="00D472DE">
        <w:t>Initial values for food</w:t>
      </w:r>
      <w:r>
        <w:t xml:space="preserve"> availability</w:t>
      </w:r>
      <w:r w:rsidRPr="00D472DE">
        <w:t xml:space="preserve"> </w:t>
      </w:r>
    </w:p>
    <w:p w14:paraId="2C2E1C80" w14:textId="0B4EDD60" w:rsidR="007501D5" w:rsidRDefault="007501D5" w:rsidP="00FA72A7">
      <w:pPr>
        <w:jc w:val="both"/>
        <w:rPr>
          <w:rFonts w:ascii="Times New Roman" w:hAnsi="Times New Roman" w:cs="Times New Roman"/>
          <w:sz w:val="24"/>
          <w:szCs w:val="24"/>
        </w:rPr>
      </w:pPr>
      <w:r>
        <w:rPr>
          <w:rFonts w:ascii="Times New Roman" w:hAnsi="Times New Roman" w:cs="Times New Roman"/>
          <w:sz w:val="24"/>
          <w:szCs w:val="24"/>
        </w:rPr>
        <w:t xml:space="preserve">The approach presented above leaves the important question open as to what the initial value of food use is and how it was derived. In other words, there is no “bootstrapping” that would allow rolling forward food availability by applying income growth rates. More importantly, if such an approach were valid and possible, it would replace the entire FBS procedure as next year’s food consumption levels could simply be derived by predicting it from last year’s level, </w:t>
      </w:r>
      <w:proofErr w:type="gramStart"/>
      <w:r>
        <w:rPr>
          <w:rFonts w:ascii="Times New Roman" w:hAnsi="Times New Roman" w:cs="Times New Roman"/>
          <w:sz w:val="24"/>
          <w:szCs w:val="24"/>
        </w:rPr>
        <w:t>an appropriate</w:t>
      </w:r>
      <w:proofErr w:type="gramEnd"/>
      <w:r>
        <w:rPr>
          <w:rFonts w:ascii="Times New Roman" w:hAnsi="Times New Roman" w:cs="Times New Roman"/>
          <w:sz w:val="24"/>
          <w:szCs w:val="24"/>
        </w:rPr>
        <w:t xml:space="preserve"> income elasticity and a change in income. In practice, such concerns are unwarranted, simply because these values are only initial values for the food consumption in time t. They will be over-written in the balancing mechanism, at least within the range of the assumed measurement error.</w:t>
      </w:r>
      <w:r w:rsidR="00436B41">
        <w:rPr>
          <w:rFonts w:ascii="Times New Roman" w:hAnsi="Times New Roman" w:cs="Times New Roman"/>
          <w:sz w:val="24"/>
          <w:szCs w:val="24"/>
        </w:rPr>
        <w:t xml:space="preserve"> In other words, the approach tries to capture the impact on food use stemming from population and income dynamics before the balancing algorithm consolidates that information with the overall commodity dynamism on country levels.</w:t>
      </w:r>
    </w:p>
    <w:p w14:paraId="366F4B3A" w14:textId="1BB560B9" w:rsidR="00EA6005" w:rsidRPr="00E03A09" w:rsidRDefault="007501D5" w:rsidP="00E03A09">
      <w:pPr>
        <w:rPr>
          <w:rFonts w:asciiTheme="majorBidi" w:hAnsiTheme="majorBidi"/>
          <w:color w:val="000000" w:themeColor="text1"/>
          <w:lang w:val="en-GB"/>
        </w:rPr>
      </w:pPr>
      <w:r>
        <w:rPr>
          <w:rFonts w:ascii="Times New Roman" w:hAnsi="Times New Roman" w:cs="Times New Roman"/>
          <w:sz w:val="24"/>
          <w:szCs w:val="24"/>
        </w:rPr>
        <w:t>Finally</w:t>
      </w:r>
      <w:r w:rsidR="00322C46">
        <w:rPr>
          <w:rFonts w:ascii="Times New Roman" w:hAnsi="Times New Roman" w:cs="Times New Roman"/>
          <w:sz w:val="24"/>
          <w:szCs w:val="24"/>
        </w:rPr>
        <w:t>,</w:t>
      </w:r>
      <w:r>
        <w:rPr>
          <w:rFonts w:ascii="Times New Roman" w:hAnsi="Times New Roman" w:cs="Times New Roman"/>
          <w:sz w:val="24"/>
          <w:szCs w:val="24"/>
        </w:rPr>
        <w:t xml:space="preserve"> and as assumed for all variables of the FBS, official estimates have precedence over imputed food consumption. </w:t>
      </w:r>
      <w:r w:rsidR="001026A9">
        <w:rPr>
          <w:rFonts w:ascii="Times New Roman" w:hAnsi="Times New Roman" w:cs="Times New Roman"/>
          <w:sz w:val="24"/>
          <w:szCs w:val="24"/>
        </w:rPr>
        <w:t>W</w:t>
      </w:r>
      <w:r>
        <w:rPr>
          <w:rFonts w:ascii="Times New Roman" w:hAnsi="Times New Roman" w:cs="Times New Roman"/>
          <w:sz w:val="24"/>
          <w:szCs w:val="24"/>
        </w:rPr>
        <w:t>here official country estimates are available, they will be taken into the balancing process without a measurement error (see chapter on the balancing mechanism). The only exception to this rule is where countries provide estimates for processed (say flour) but not for primary food products (say wheat). In this case, it was decided</w:t>
      </w:r>
      <w:r w:rsidR="00436B41">
        <w:rPr>
          <w:rFonts w:ascii="Times New Roman" w:hAnsi="Times New Roman" w:cs="Times New Roman"/>
          <w:sz w:val="24"/>
          <w:szCs w:val="24"/>
        </w:rPr>
        <w:t xml:space="preserve"> to</w:t>
      </w:r>
      <w:r>
        <w:rPr>
          <w:rFonts w:ascii="Times New Roman" w:hAnsi="Times New Roman" w:cs="Times New Roman"/>
          <w:sz w:val="24"/>
          <w:szCs w:val="24"/>
        </w:rPr>
        <w:t xml:space="preserve"> use the official estimates of processed food and work back to an equivalent level of primary food in the standardization process. This decision is based on a careful review of the extraction rates used in the standardization process, the results of which suggest that many of the implicit extraction rates are out of plausible ranges. The implicit extraction rate in this example is the ratio between primary wheat and wheat flour. This means that the food estimates are derived by dividing the amount of processed product reported by a country by a reasonable extraction rate (for details see section on standardization)</w:t>
      </w:r>
      <w:proofErr w:type="gramStart"/>
      <w:r>
        <w:rPr>
          <w:rFonts w:ascii="Times New Roman" w:hAnsi="Times New Roman" w:cs="Times New Roman"/>
          <w:sz w:val="24"/>
          <w:szCs w:val="24"/>
        </w:rPr>
        <w:t>.</w:t>
      </w:r>
      <w:r w:rsidR="001C04E0" w:rsidRPr="00F31509">
        <w:rPr>
          <w:rFonts w:asciiTheme="majorBidi" w:eastAsia="Times New Roman" w:hAnsiTheme="majorBidi" w:cstheme="majorBidi"/>
          <w:color w:val="000000" w:themeColor="text1"/>
          <w:lang w:val="en-GB"/>
        </w:rPr>
        <w:t>.</w:t>
      </w:r>
      <w:proofErr w:type="gramEnd"/>
    </w:p>
    <w:sectPr w:rsidR="00EA6005" w:rsidRPr="00E03A09" w:rsidSect="00E03A09">
      <w:footerReference w:type="default" r:id="rId11"/>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B6739" w14:textId="77777777" w:rsidR="00B36B7E" w:rsidRDefault="00B36B7E" w:rsidP="00E03A09">
      <w:pPr>
        <w:spacing w:after="0" w:line="240" w:lineRule="auto"/>
      </w:pPr>
      <w:r>
        <w:separator/>
      </w:r>
    </w:p>
  </w:endnote>
  <w:endnote w:type="continuationSeparator" w:id="0">
    <w:p w14:paraId="526AEFE6" w14:textId="77777777" w:rsidR="00B36B7E" w:rsidRDefault="00B36B7E" w:rsidP="00E03A09">
      <w:pPr>
        <w:spacing w:after="0" w:line="240" w:lineRule="auto"/>
      </w:pPr>
      <w:r>
        <w:continuationSeparator/>
      </w:r>
    </w:p>
  </w:endnote>
  <w:endnote w:type="continuationNotice" w:id="1">
    <w:p w14:paraId="7BAC7D7F" w14:textId="77777777" w:rsidR="00B36B7E" w:rsidRDefault="00B36B7E" w:rsidP="00E03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64AA9" w14:textId="77777777" w:rsidR="002D27E3" w:rsidRDefault="002D27E3">
    <w:pPr>
      <w:pStyle w:val="Footer"/>
    </w:pPr>
    <w:r>
      <w:tab/>
      <w:t xml:space="preserve">Page </w:t>
    </w:r>
    <w:r w:rsidR="00CA2AC5">
      <w:fldChar w:fldCharType="begin"/>
    </w:r>
    <w:r w:rsidR="00CA2AC5">
      <w:instrText xml:space="preserve"> PAGE </w:instrText>
    </w:r>
    <w:r w:rsidR="00CA2AC5">
      <w:fldChar w:fldCharType="separate"/>
    </w:r>
    <w:r w:rsidR="00322C46">
      <w:rPr>
        <w:noProof/>
      </w:rPr>
      <w:t>1</w:t>
    </w:r>
    <w:r w:rsidR="00CA2AC5">
      <w:rPr>
        <w:noProof/>
      </w:rPr>
      <w:fldChar w:fldCharType="end"/>
    </w:r>
    <w:r>
      <w:t xml:space="preserve"> of </w:t>
    </w:r>
    <w:r w:rsidR="00CA2AC5">
      <w:fldChar w:fldCharType="begin"/>
    </w:r>
    <w:r w:rsidR="00CA2AC5">
      <w:instrText xml:space="preserve"> NUMPAGES \*Arabic </w:instrText>
    </w:r>
    <w:r w:rsidR="00CA2AC5">
      <w:fldChar w:fldCharType="separate"/>
    </w:r>
    <w:r w:rsidR="00322C46">
      <w:rPr>
        <w:noProof/>
      </w:rPr>
      <w:t>4</w:t>
    </w:r>
    <w:r w:rsidR="00CA2AC5">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BED18" w14:textId="77777777" w:rsidR="00B36B7E" w:rsidRDefault="00B36B7E" w:rsidP="00E03A09">
      <w:pPr>
        <w:spacing w:after="0" w:line="240" w:lineRule="auto"/>
      </w:pPr>
      <w:r>
        <w:separator/>
      </w:r>
    </w:p>
  </w:footnote>
  <w:footnote w:type="continuationSeparator" w:id="0">
    <w:p w14:paraId="13605E2E" w14:textId="77777777" w:rsidR="00B36B7E" w:rsidRDefault="00B36B7E" w:rsidP="00E03A09">
      <w:pPr>
        <w:spacing w:after="0" w:line="240" w:lineRule="auto"/>
      </w:pPr>
      <w:r>
        <w:continuationSeparator/>
      </w:r>
    </w:p>
  </w:footnote>
  <w:footnote w:type="continuationNotice" w:id="1">
    <w:p w14:paraId="58F73BEB" w14:textId="77777777" w:rsidR="00B36B7E" w:rsidRDefault="00B36B7E" w:rsidP="00E03A09">
      <w:pPr>
        <w:spacing w:after="0" w:line="240" w:lineRule="auto"/>
      </w:pPr>
    </w:p>
  </w:footnote>
  <w:footnote w:id="2">
    <w:p w14:paraId="66A5D18D" w14:textId="77777777" w:rsidR="002D27E3" w:rsidRPr="002718B1" w:rsidRDefault="002D27E3" w:rsidP="004F65E4">
      <w:pPr>
        <w:pStyle w:val="FootnoteText"/>
        <w:rPr>
          <w:rFonts w:ascii="Times New Roman" w:hAnsi="Times New Roman" w:cs="Times New Roman"/>
        </w:rPr>
      </w:pPr>
      <w:bookmarkStart w:id="5" w:name="_GoBack"/>
      <w:r w:rsidRPr="002718B1">
        <w:rPr>
          <w:rStyle w:val="FootnoteReference"/>
          <w:rFonts w:ascii="Times New Roman" w:hAnsi="Times New Roman" w:cs="Times New Roman"/>
        </w:rPr>
        <w:footnoteRef/>
      </w:r>
      <w:r w:rsidRPr="002718B1">
        <w:rPr>
          <w:rFonts w:ascii="Times New Roman" w:hAnsi="Times New Roman" w:cs="Times New Roman"/>
        </w:rPr>
        <w:t xml:space="preserve"> Final estimates will be derived through the balancing mechanism presented in section 2.2 of this document.</w:t>
      </w:r>
    </w:p>
  </w:footnote>
  <w:footnote w:id="3">
    <w:p w14:paraId="0264F421" w14:textId="77777777" w:rsidR="002D27E3" w:rsidRPr="002718B1" w:rsidRDefault="002D27E3" w:rsidP="004F65E4">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For c</w:t>
      </w:r>
      <w:r w:rsidRPr="002718B1">
        <w:rPr>
          <w:rFonts w:ascii="Times New Roman" w:hAnsi="Times New Roman" w:cs="Times New Roman"/>
          <w:color w:val="000000" w:themeColor="text1"/>
        </w:rPr>
        <w:t>ereals in the case of flour millers, vegetable oils for oilseed crushers and meat in the case of abattoirs.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07717"/>
    <w:rsid w:val="000113E8"/>
    <w:rsid w:val="00012D72"/>
    <w:rsid w:val="00014970"/>
    <w:rsid w:val="000154A1"/>
    <w:rsid w:val="00017614"/>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5285"/>
    <w:rsid w:val="00067AD1"/>
    <w:rsid w:val="0007321F"/>
    <w:rsid w:val="00082617"/>
    <w:rsid w:val="000854D5"/>
    <w:rsid w:val="000867EB"/>
    <w:rsid w:val="00090BA3"/>
    <w:rsid w:val="00093B2C"/>
    <w:rsid w:val="00096776"/>
    <w:rsid w:val="000A139F"/>
    <w:rsid w:val="000A4B4B"/>
    <w:rsid w:val="000A4BBB"/>
    <w:rsid w:val="000A5874"/>
    <w:rsid w:val="000A58EC"/>
    <w:rsid w:val="000B360D"/>
    <w:rsid w:val="000B5565"/>
    <w:rsid w:val="000C1376"/>
    <w:rsid w:val="000C27B0"/>
    <w:rsid w:val="000C402C"/>
    <w:rsid w:val="000C422B"/>
    <w:rsid w:val="000C4D1A"/>
    <w:rsid w:val="000D222D"/>
    <w:rsid w:val="000D39E8"/>
    <w:rsid w:val="000D7CE4"/>
    <w:rsid w:val="000E13C3"/>
    <w:rsid w:val="000E27C7"/>
    <w:rsid w:val="000E2E21"/>
    <w:rsid w:val="000E3FFA"/>
    <w:rsid w:val="000E49A5"/>
    <w:rsid w:val="000E5990"/>
    <w:rsid w:val="000F0712"/>
    <w:rsid w:val="000F2697"/>
    <w:rsid w:val="000F3E6C"/>
    <w:rsid w:val="001013B2"/>
    <w:rsid w:val="001026A9"/>
    <w:rsid w:val="00102789"/>
    <w:rsid w:val="00102F01"/>
    <w:rsid w:val="00103DD9"/>
    <w:rsid w:val="0010677F"/>
    <w:rsid w:val="00106833"/>
    <w:rsid w:val="001068E3"/>
    <w:rsid w:val="00110D2C"/>
    <w:rsid w:val="00110D9F"/>
    <w:rsid w:val="00111DB4"/>
    <w:rsid w:val="00114A21"/>
    <w:rsid w:val="00114FE2"/>
    <w:rsid w:val="00115347"/>
    <w:rsid w:val="00121C3C"/>
    <w:rsid w:val="00121D5A"/>
    <w:rsid w:val="00122211"/>
    <w:rsid w:val="00122558"/>
    <w:rsid w:val="00126B0D"/>
    <w:rsid w:val="00130B6A"/>
    <w:rsid w:val="001339CB"/>
    <w:rsid w:val="00133D49"/>
    <w:rsid w:val="001353F6"/>
    <w:rsid w:val="001374C2"/>
    <w:rsid w:val="00140125"/>
    <w:rsid w:val="00140C85"/>
    <w:rsid w:val="001417E9"/>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2742"/>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D084C"/>
    <w:rsid w:val="001D0D76"/>
    <w:rsid w:val="001D4DCC"/>
    <w:rsid w:val="001D6393"/>
    <w:rsid w:val="001D68F5"/>
    <w:rsid w:val="001E2220"/>
    <w:rsid w:val="001E58EB"/>
    <w:rsid w:val="001E5E13"/>
    <w:rsid w:val="001E6920"/>
    <w:rsid w:val="001F1472"/>
    <w:rsid w:val="001F1599"/>
    <w:rsid w:val="001F19C9"/>
    <w:rsid w:val="001F3217"/>
    <w:rsid w:val="001F5200"/>
    <w:rsid w:val="001F6212"/>
    <w:rsid w:val="00203A5F"/>
    <w:rsid w:val="00204903"/>
    <w:rsid w:val="00205C7A"/>
    <w:rsid w:val="00205D58"/>
    <w:rsid w:val="0022317E"/>
    <w:rsid w:val="00223221"/>
    <w:rsid w:val="002243BE"/>
    <w:rsid w:val="0023197B"/>
    <w:rsid w:val="00232C5E"/>
    <w:rsid w:val="00242EDA"/>
    <w:rsid w:val="00245A2C"/>
    <w:rsid w:val="002515C7"/>
    <w:rsid w:val="002533B2"/>
    <w:rsid w:val="00253A13"/>
    <w:rsid w:val="002609CC"/>
    <w:rsid w:val="00261901"/>
    <w:rsid w:val="00261AA2"/>
    <w:rsid w:val="00270698"/>
    <w:rsid w:val="002718B1"/>
    <w:rsid w:val="00272058"/>
    <w:rsid w:val="002744C3"/>
    <w:rsid w:val="002803E5"/>
    <w:rsid w:val="00290A92"/>
    <w:rsid w:val="00290A95"/>
    <w:rsid w:val="00290B9B"/>
    <w:rsid w:val="00291B6A"/>
    <w:rsid w:val="00295276"/>
    <w:rsid w:val="00296DE8"/>
    <w:rsid w:val="002A057A"/>
    <w:rsid w:val="002A081E"/>
    <w:rsid w:val="002A1563"/>
    <w:rsid w:val="002A46D7"/>
    <w:rsid w:val="002A6249"/>
    <w:rsid w:val="002B0985"/>
    <w:rsid w:val="002C2022"/>
    <w:rsid w:val="002C59EF"/>
    <w:rsid w:val="002C700D"/>
    <w:rsid w:val="002C773C"/>
    <w:rsid w:val="002D27E3"/>
    <w:rsid w:val="002D546A"/>
    <w:rsid w:val="002D6712"/>
    <w:rsid w:val="002D6954"/>
    <w:rsid w:val="002E1DFE"/>
    <w:rsid w:val="002E29DE"/>
    <w:rsid w:val="002F0887"/>
    <w:rsid w:val="002F0CB9"/>
    <w:rsid w:val="002F55AF"/>
    <w:rsid w:val="00300017"/>
    <w:rsid w:val="00301414"/>
    <w:rsid w:val="00301CF0"/>
    <w:rsid w:val="0031095D"/>
    <w:rsid w:val="00311164"/>
    <w:rsid w:val="00312896"/>
    <w:rsid w:val="00312959"/>
    <w:rsid w:val="00315F17"/>
    <w:rsid w:val="00322C46"/>
    <w:rsid w:val="0032555A"/>
    <w:rsid w:val="00330B00"/>
    <w:rsid w:val="003335C0"/>
    <w:rsid w:val="00333C46"/>
    <w:rsid w:val="00334116"/>
    <w:rsid w:val="00335468"/>
    <w:rsid w:val="00337BF9"/>
    <w:rsid w:val="00340E3F"/>
    <w:rsid w:val="00342E17"/>
    <w:rsid w:val="00344422"/>
    <w:rsid w:val="00345C2C"/>
    <w:rsid w:val="00350726"/>
    <w:rsid w:val="00351000"/>
    <w:rsid w:val="00351629"/>
    <w:rsid w:val="00353BD5"/>
    <w:rsid w:val="00355F46"/>
    <w:rsid w:val="003604AE"/>
    <w:rsid w:val="00360AB4"/>
    <w:rsid w:val="0036414D"/>
    <w:rsid w:val="003643F6"/>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03F"/>
    <w:rsid w:val="003A5BFD"/>
    <w:rsid w:val="003A6BD0"/>
    <w:rsid w:val="003A6EDE"/>
    <w:rsid w:val="003A7C95"/>
    <w:rsid w:val="003B02AA"/>
    <w:rsid w:val="003B0542"/>
    <w:rsid w:val="003B5C70"/>
    <w:rsid w:val="003B78C2"/>
    <w:rsid w:val="003C00F7"/>
    <w:rsid w:val="003C1E56"/>
    <w:rsid w:val="003C239D"/>
    <w:rsid w:val="003C4744"/>
    <w:rsid w:val="003C4E96"/>
    <w:rsid w:val="003C6AA5"/>
    <w:rsid w:val="003C6ACE"/>
    <w:rsid w:val="003D2BB9"/>
    <w:rsid w:val="003D5D84"/>
    <w:rsid w:val="003D68F3"/>
    <w:rsid w:val="003D789C"/>
    <w:rsid w:val="003E6821"/>
    <w:rsid w:val="003E7A9F"/>
    <w:rsid w:val="003F0B3E"/>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36B41"/>
    <w:rsid w:val="00442B3E"/>
    <w:rsid w:val="00445CF2"/>
    <w:rsid w:val="00450A6B"/>
    <w:rsid w:val="00456395"/>
    <w:rsid w:val="004623A0"/>
    <w:rsid w:val="004679B3"/>
    <w:rsid w:val="0047177D"/>
    <w:rsid w:val="00472224"/>
    <w:rsid w:val="004766E8"/>
    <w:rsid w:val="004779A6"/>
    <w:rsid w:val="0048169D"/>
    <w:rsid w:val="00482D17"/>
    <w:rsid w:val="00483623"/>
    <w:rsid w:val="00485E01"/>
    <w:rsid w:val="00490230"/>
    <w:rsid w:val="00490F12"/>
    <w:rsid w:val="00494A88"/>
    <w:rsid w:val="00496AF6"/>
    <w:rsid w:val="0049747E"/>
    <w:rsid w:val="00497F56"/>
    <w:rsid w:val="004A0A69"/>
    <w:rsid w:val="004A2EB6"/>
    <w:rsid w:val="004A34BA"/>
    <w:rsid w:val="004A4BAC"/>
    <w:rsid w:val="004B2062"/>
    <w:rsid w:val="004B3819"/>
    <w:rsid w:val="004B63E2"/>
    <w:rsid w:val="004B754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BD3"/>
    <w:rsid w:val="00523A4B"/>
    <w:rsid w:val="00523E7E"/>
    <w:rsid w:val="00525E97"/>
    <w:rsid w:val="0052743E"/>
    <w:rsid w:val="005321B7"/>
    <w:rsid w:val="00534A92"/>
    <w:rsid w:val="00536040"/>
    <w:rsid w:val="0053683D"/>
    <w:rsid w:val="005403A0"/>
    <w:rsid w:val="00542BD2"/>
    <w:rsid w:val="00543456"/>
    <w:rsid w:val="00543E4E"/>
    <w:rsid w:val="00546903"/>
    <w:rsid w:val="005474CD"/>
    <w:rsid w:val="00561BC9"/>
    <w:rsid w:val="005630C6"/>
    <w:rsid w:val="005729D3"/>
    <w:rsid w:val="00573CF6"/>
    <w:rsid w:val="0057568A"/>
    <w:rsid w:val="00582077"/>
    <w:rsid w:val="00583D15"/>
    <w:rsid w:val="00584C82"/>
    <w:rsid w:val="005852F8"/>
    <w:rsid w:val="00591CC7"/>
    <w:rsid w:val="00592EB4"/>
    <w:rsid w:val="005936C8"/>
    <w:rsid w:val="0059554E"/>
    <w:rsid w:val="005A0EA1"/>
    <w:rsid w:val="005A1036"/>
    <w:rsid w:val="005A557A"/>
    <w:rsid w:val="005A7806"/>
    <w:rsid w:val="005C1715"/>
    <w:rsid w:val="005C18CA"/>
    <w:rsid w:val="005C19F3"/>
    <w:rsid w:val="005C2598"/>
    <w:rsid w:val="005C6648"/>
    <w:rsid w:val="005C6810"/>
    <w:rsid w:val="005D1561"/>
    <w:rsid w:val="005D5720"/>
    <w:rsid w:val="005D6108"/>
    <w:rsid w:val="005E0F11"/>
    <w:rsid w:val="005E20EA"/>
    <w:rsid w:val="005E5009"/>
    <w:rsid w:val="005F0B36"/>
    <w:rsid w:val="005F16F6"/>
    <w:rsid w:val="005F1781"/>
    <w:rsid w:val="005F1BAD"/>
    <w:rsid w:val="005F4922"/>
    <w:rsid w:val="00600340"/>
    <w:rsid w:val="006051F9"/>
    <w:rsid w:val="00605460"/>
    <w:rsid w:val="0060612E"/>
    <w:rsid w:val="00611663"/>
    <w:rsid w:val="006236F4"/>
    <w:rsid w:val="006325B8"/>
    <w:rsid w:val="0063355B"/>
    <w:rsid w:val="0063475E"/>
    <w:rsid w:val="006400D4"/>
    <w:rsid w:val="00640F83"/>
    <w:rsid w:val="00643841"/>
    <w:rsid w:val="0064744A"/>
    <w:rsid w:val="00653C56"/>
    <w:rsid w:val="00653FB4"/>
    <w:rsid w:val="00657C93"/>
    <w:rsid w:val="00660C76"/>
    <w:rsid w:val="006676C4"/>
    <w:rsid w:val="00672541"/>
    <w:rsid w:val="00676EE2"/>
    <w:rsid w:val="006812BD"/>
    <w:rsid w:val="006861B4"/>
    <w:rsid w:val="00686364"/>
    <w:rsid w:val="0069308B"/>
    <w:rsid w:val="0069354A"/>
    <w:rsid w:val="00693E1E"/>
    <w:rsid w:val="006A0525"/>
    <w:rsid w:val="006A1085"/>
    <w:rsid w:val="006A19C4"/>
    <w:rsid w:val="006A3C4A"/>
    <w:rsid w:val="006A7320"/>
    <w:rsid w:val="006B2B44"/>
    <w:rsid w:val="006C05AE"/>
    <w:rsid w:val="006C244D"/>
    <w:rsid w:val="006C28E2"/>
    <w:rsid w:val="006C454E"/>
    <w:rsid w:val="006C522C"/>
    <w:rsid w:val="006C5510"/>
    <w:rsid w:val="006D0BE8"/>
    <w:rsid w:val="006D44DC"/>
    <w:rsid w:val="006D588E"/>
    <w:rsid w:val="006D6274"/>
    <w:rsid w:val="006D7B99"/>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31671"/>
    <w:rsid w:val="007404AF"/>
    <w:rsid w:val="00742863"/>
    <w:rsid w:val="007438AE"/>
    <w:rsid w:val="007447FE"/>
    <w:rsid w:val="00746DB6"/>
    <w:rsid w:val="007501D5"/>
    <w:rsid w:val="00761865"/>
    <w:rsid w:val="00781EC2"/>
    <w:rsid w:val="00783346"/>
    <w:rsid w:val="00790A12"/>
    <w:rsid w:val="007912C4"/>
    <w:rsid w:val="007920B0"/>
    <w:rsid w:val="0079361F"/>
    <w:rsid w:val="007A06C4"/>
    <w:rsid w:val="007A7332"/>
    <w:rsid w:val="007B0625"/>
    <w:rsid w:val="007B1447"/>
    <w:rsid w:val="007B6164"/>
    <w:rsid w:val="007C28B1"/>
    <w:rsid w:val="007C57F5"/>
    <w:rsid w:val="007C6C51"/>
    <w:rsid w:val="007D3DE0"/>
    <w:rsid w:val="007D4247"/>
    <w:rsid w:val="007D502A"/>
    <w:rsid w:val="007D70A5"/>
    <w:rsid w:val="007E0482"/>
    <w:rsid w:val="007E04A5"/>
    <w:rsid w:val="007E09C4"/>
    <w:rsid w:val="007E3547"/>
    <w:rsid w:val="007E6004"/>
    <w:rsid w:val="007F0981"/>
    <w:rsid w:val="007F2666"/>
    <w:rsid w:val="007F32AB"/>
    <w:rsid w:val="00805271"/>
    <w:rsid w:val="008066B5"/>
    <w:rsid w:val="00811253"/>
    <w:rsid w:val="008116E9"/>
    <w:rsid w:val="00817A9B"/>
    <w:rsid w:val="00820919"/>
    <w:rsid w:val="00823626"/>
    <w:rsid w:val="00824962"/>
    <w:rsid w:val="0083635F"/>
    <w:rsid w:val="00846B16"/>
    <w:rsid w:val="00846C4F"/>
    <w:rsid w:val="00851330"/>
    <w:rsid w:val="00852A27"/>
    <w:rsid w:val="008604DA"/>
    <w:rsid w:val="00862722"/>
    <w:rsid w:val="00862DC3"/>
    <w:rsid w:val="00867820"/>
    <w:rsid w:val="00867AA1"/>
    <w:rsid w:val="008717D7"/>
    <w:rsid w:val="008755A8"/>
    <w:rsid w:val="008772D1"/>
    <w:rsid w:val="008808AB"/>
    <w:rsid w:val="008814B8"/>
    <w:rsid w:val="008815A1"/>
    <w:rsid w:val="0088229C"/>
    <w:rsid w:val="008843AB"/>
    <w:rsid w:val="008851F9"/>
    <w:rsid w:val="008870CD"/>
    <w:rsid w:val="008874CC"/>
    <w:rsid w:val="00887FF2"/>
    <w:rsid w:val="00890FFA"/>
    <w:rsid w:val="00891363"/>
    <w:rsid w:val="00892C99"/>
    <w:rsid w:val="00892D97"/>
    <w:rsid w:val="00893802"/>
    <w:rsid w:val="00894E96"/>
    <w:rsid w:val="00896933"/>
    <w:rsid w:val="008A490B"/>
    <w:rsid w:val="008A4E33"/>
    <w:rsid w:val="008A5D12"/>
    <w:rsid w:val="008B0C44"/>
    <w:rsid w:val="008B1749"/>
    <w:rsid w:val="008B46DB"/>
    <w:rsid w:val="008B66E4"/>
    <w:rsid w:val="008B731C"/>
    <w:rsid w:val="008C3E1E"/>
    <w:rsid w:val="008C46F9"/>
    <w:rsid w:val="008D3A03"/>
    <w:rsid w:val="008D4E79"/>
    <w:rsid w:val="008D7D48"/>
    <w:rsid w:val="008E1789"/>
    <w:rsid w:val="008E18EB"/>
    <w:rsid w:val="008E2C5B"/>
    <w:rsid w:val="008E4F1C"/>
    <w:rsid w:val="008F0D3A"/>
    <w:rsid w:val="008F1AEC"/>
    <w:rsid w:val="008F2704"/>
    <w:rsid w:val="008F35ED"/>
    <w:rsid w:val="008F4D73"/>
    <w:rsid w:val="008F4DED"/>
    <w:rsid w:val="008F76B4"/>
    <w:rsid w:val="0090296E"/>
    <w:rsid w:val="00907C2A"/>
    <w:rsid w:val="00913EB1"/>
    <w:rsid w:val="009175C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51319"/>
    <w:rsid w:val="009533F9"/>
    <w:rsid w:val="00953993"/>
    <w:rsid w:val="00953E14"/>
    <w:rsid w:val="00955CA0"/>
    <w:rsid w:val="009571C8"/>
    <w:rsid w:val="0095751D"/>
    <w:rsid w:val="009616CB"/>
    <w:rsid w:val="00962EF5"/>
    <w:rsid w:val="009665E6"/>
    <w:rsid w:val="0097372B"/>
    <w:rsid w:val="0097374A"/>
    <w:rsid w:val="00975AAC"/>
    <w:rsid w:val="0098072E"/>
    <w:rsid w:val="00982B47"/>
    <w:rsid w:val="00982B99"/>
    <w:rsid w:val="009843FB"/>
    <w:rsid w:val="00987BD5"/>
    <w:rsid w:val="00992213"/>
    <w:rsid w:val="00993611"/>
    <w:rsid w:val="009937F7"/>
    <w:rsid w:val="00996555"/>
    <w:rsid w:val="009A3452"/>
    <w:rsid w:val="009A4ECB"/>
    <w:rsid w:val="009B438F"/>
    <w:rsid w:val="009B5855"/>
    <w:rsid w:val="009B587F"/>
    <w:rsid w:val="009B6378"/>
    <w:rsid w:val="009C087B"/>
    <w:rsid w:val="009C2CF8"/>
    <w:rsid w:val="009C66DC"/>
    <w:rsid w:val="009D4D5F"/>
    <w:rsid w:val="009D7122"/>
    <w:rsid w:val="009E067D"/>
    <w:rsid w:val="009E25F8"/>
    <w:rsid w:val="009E2F76"/>
    <w:rsid w:val="009E6E42"/>
    <w:rsid w:val="009F17CB"/>
    <w:rsid w:val="009F2072"/>
    <w:rsid w:val="009F3A40"/>
    <w:rsid w:val="009F457A"/>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2332"/>
    <w:rsid w:val="00A43912"/>
    <w:rsid w:val="00A448AA"/>
    <w:rsid w:val="00A44CEB"/>
    <w:rsid w:val="00A44D1B"/>
    <w:rsid w:val="00A45148"/>
    <w:rsid w:val="00A52FAF"/>
    <w:rsid w:val="00A531B4"/>
    <w:rsid w:val="00A54A6D"/>
    <w:rsid w:val="00A601C6"/>
    <w:rsid w:val="00A6272D"/>
    <w:rsid w:val="00A63B01"/>
    <w:rsid w:val="00A65712"/>
    <w:rsid w:val="00A667B0"/>
    <w:rsid w:val="00A67CF0"/>
    <w:rsid w:val="00A74724"/>
    <w:rsid w:val="00A800FF"/>
    <w:rsid w:val="00A80B1C"/>
    <w:rsid w:val="00A80E90"/>
    <w:rsid w:val="00A81CF8"/>
    <w:rsid w:val="00A8403F"/>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C5BC9"/>
    <w:rsid w:val="00AD062D"/>
    <w:rsid w:val="00AD3BFF"/>
    <w:rsid w:val="00AD3D7E"/>
    <w:rsid w:val="00AD5D24"/>
    <w:rsid w:val="00AD6356"/>
    <w:rsid w:val="00AE2599"/>
    <w:rsid w:val="00AE4D4B"/>
    <w:rsid w:val="00AE70E2"/>
    <w:rsid w:val="00AF0691"/>
    <w:rsid w:val="00AF19C9"/>
    <w:rsid w:val="00AF27C6"/>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4AFF"/>
    <w:rsid w:val="00B35831"/>
    <w:rsid w:val="00B36B7E"/>
    <w:rsid w:val="00B406F4"/>
    <w:rsid w:val="00B445C5"/>
    <w:rsid w:val="00B44757"/>
    <w:rsid w:val="00B44A5A"/>
    <w:rsid w:val="00B500A6"/>
    <w:rsid w:val="00B51EC9"/>
    <w:rsid w:val="00B5440F"/>
    <w:rsid w:val="00B62580"/>
    <w:rsid w:val="00B70009"/>
    <w:rsid w:val="00B71383"/>
    <w:rsid w:val="00B76119"/>
    <w:rsid w:val="00B76A92"/>
    <w:rsid w:val="00B80079"/>
    <w:rsid w:val="00B80A8F"/>
    <w:rsid w:val="00B80EB9"/>
    <w:rsid w:val="00B82154"/>
    <w:rsid w:val="00B836CF"/>
    <w:rsid w:val="00B877EE"/>
    <w:rsid w:val="00B90353"/>
    <w:rsid w:val="00B90D8D"/>
    <w:rsid w:val="00B91427"/>
    <w:rsid w:val="00B9151B"/>
    <w:rsid w:val="00B93F44"/>
    <w:rsid w:val="00BA0107"/>
    <w:rsid w:val="00BA19DC"/>
    <w:rsid w:val="00BA43AE"/>
    <w:rsid w:val="00BA5A82"/>
    <w:rsid w:val="00BA6121"/>
    <w:rsid w:val="00BB22F5"/>
    <w:rsid w:val="00BB25C6"/>
    <w:rsid w:val="00BB64A5"/>
    <w:rsid w:val="00BC2242"/>
    <w:rsid w:val="00BC2CDF"/>
    <w:rsid w:val="00BD01CF"/>
    <w:rsid w:val="00BD07CA"/>
    <w:rsid w:val="00BD08A9"/>
    <w:rsid w:val="00BD2455"/>
    <w:rsid w:val="00BD24CC"/>
    <w:rsid w:val="00BD3620"/>
    <w:rsid w:val="00BD5B80"/>
    <w:rsid w:val="00BE1E8B"/>
    <w:rsid w:val="00BE3BFA"/>
    <w:rsid w:val="00BE6D63"/>
    <w:rsid w:val="00BF3C09"/>
    <w:rsid w:val="00BF4262"/>
    <w:rsid w:val="00BF4697"/>
    <w:rsid w:val="00C0018B"/>
    <w:rsid w:val="00C0124C"/>
    <w:rsid w:val="00C017F7"/>
    <w:rsid w:val="00C01B71"/>
    <w:rsid w:val="00C068D4"/>
    <w:rsid w:val="00C06DED"/>
    <w:rsid w:val="00C06EB9"/>
    <w:rsid w:val="00C07636"/>
    <w:rsid w:val="00C1637C"/>
    <w:rsid w:val="00C27F2D"/>
    <w:rsid w:val="00C32ED8"/>
    <w:rsid w:val="00C35402"/>
    <w:rsid w:val="00C3747E"/>
    <w:rsid w:val="00C4241C"/>
    <w:rsid w:val="00C4334D"/>
    <w:rsid w:val="00C457A0"/>
    <w:rsid w:val="00C46C67"/>
    <w:rsid w:val="00C500F7"/>
    <w:rsid w:val="00C54184"/>
    <w:rsid w:val="00C61162"/>
    <w:rsid w:val="00C62BEB"/>
    <w:rsid w:val="00C63982"/>
    <w:rsid w:val="00C67573"/>
    <w:rsid w:val="00C70D72"/>
    <w:rsid w:val="00C720F5"/>
    <w:rsid w:val="00C757FD"/>
    <w:rsid w:val="00C80973"/>
    <w:rsid w:val="00C80AD9"/>
    <w:rsid w:val="00C84C98"/>
    <w:rsid w:val="00C859EF"/>
    <w:rsid w:val="00C90FF7"/>
    <w:rsid w:val="00C91925"/>
    <w:rsid w:val="00C91D55"/>
    <w:rsid w:val="00C9492D"/>
    <w:rsid w:val="00C949B0"/>
    <w:rsid w:val="00CA196B"/>
    <w:rsid w:val="00CA2AC5"/>
    <w:rsid w:val="00CA6796"/>
    <w:rsid w:val="00CB0E24"/>
    <w:rsid w:val="00CB25B1"/>
    <w:rsid w:val="00CB37B9"/>
    <w:rsid w:val="00CB5AFF"/>
    <w:rsid w:val="00CB6E4A"/>
    <w:rsid w:val="00CB7427"/>
    <w:rsid w:val="00CD4DCB"/>
    <w:rsid w:val="00CE0903"/>
    <w:rsid w:val="00CE0BF9"/>
    <w:rsid w:val="00CE2347"/>
    <w:rsid w:val="00CE6332"/>
    <w:rsid w:val="00CF118B"/>
    <w:rsid w:val="00CF14D1"/>
    <w:rsid w:val="00CF5A55"/>
    <w:rsid w:val="00CF730D"/>
    <w:rsid w:val="00D00E82"/>
    <w:rsid w:val="00D01AE7"/>
    <w:rsid w:val="00D05BF4"/>
    <w:rsid w:val="00D06399"/>
    <w:rsid w:val="00D06B76"/>
    <w:rsid w:val="00D06DB1"/>
    <w:rsid w:val="00D11D89"/>
    <w:rsid w:val="00D15A87"/>
    <w:rsid w:val="00D205FD"/>
    <w:rsid w:val="00D20BF0"/>
    <w:rsid w:val="00D261DB"/>
    <w:rsid w:val="00D35F67"/>
    <w:rsid w:val="00D46A0C"/>
    <w:rsid w:val="00D472DE"/>
    <w:rsid w:val="00D52540"/>
    <w:rsid w:val="00D52B86"/>
    <w:rsid w:val="00D57137"/>
    <w:rsid w:val="00D63B32"/>
    <w:rsid w:val="00D6465E"/>
    <w:rsid w:val="00D64F7A"/>
    <w:rsid w:val="00D65E32"/>
    <w:rsid w:val="00D70D83"/>
    <w:rsid w:val="00D714EF"/>
    <w:rsid w:val="00D742CF"/>
    <w:rsid w:val="00D81076"/>
    <w:rsid w:val="00D84045"/>
    <w:rsid w:val="00D84F85"/>
    <w:rsid w:val="00D878A0"/>
    <w:rsid w:val="00D9165B"/>
    <w:rsid w:val="00D94802"/>
    <w:rsid w:val="00D94F6C"/>
    <w:rsid w:val="00D96749"/>
    <w:rsid w:val="00DA50AC"/>
    <w:rsid w:val="00DB3594"/>
    <w:rsid w:val="00DB43F6"/>
    <w:rsid w:val="00DB6CDA"/>
    <w:rsid w:val="00DC2C77"/>
    <w:rsid w:val="00DC2C8B"/>
    <w:rsid w:val="00DC2C9A"/>
    <w:rsid w:val="00DC39BC"/>
    <w:rsid w:val="00DC462B"/>
    <w:rsid w:val="00DD2263"/>
    <w:rsid w:val="00DD2E9D"/>
    <w:rsid w:val="00DD47B4"/>
    <w:rsid w:val="00DE1E38"/>
    <w:rsid w:val="00DE37EA"/>
    <w:rsid w:val="00DE3D86"/>
    <w:rsid w:val="00DE5D89"/>
    <w:rsid w:val="00DF4AA6"/>
    <w:rsid w:val="00DF7DBA"/>
    <w:rsid w:val="00E007AD"/>
    <w:rsid w:val="00E01500"/>
    <w:rsid w:val="00E02722"/>
    <w:rsid w:val="00E02775"/>
    <w:rsid w:val="00E0298F"/>
    <w:rsid w:val="00E03A09"/>
    <w:rsid w:val="00E05221"/>
    <w:rsid w:val="00E05E81"/>
    <w:rsid w:val="00E11440"/>
    <w:rsid w:val="00E14B00"/>
    <w:rsid w:val="00E15166"/>
    <w:rsid w:val="00E15B2D"/>
    <w:rsid w:val="00E16636"/>
    <w:rsid w:val="00E22F11"/>
    <w:rsid w:val="00E24BE7"/>
    <w:rsid w:val="00E26435"/>
    <w:rsid w:val="00E304EE"/>
    <w:rsid w:val="00E32516"/>
    <w:rsid w:val="00E3463F"/>
    <w:rsid w:val="00E41780"/>
    <w:rsid w:val="00E41F39"/>
    <w:rsid w:val="00E4319E"/>
    <w:rsid w:val="00E444CD"/>
    <w:rsid w:val="00E46A6F"/>
    <w:rsid w:val="00E512F4"/>
    <w:rsid w:val="00E5297B"/>
    <w:rsid w:val="00E52F68"/>
    <w:rsid w:val="00E542CD"/>
    <w:rsid w:val="00E54FC6"/>
    <w:rsid w:val="00E566EB"/>
    <w:rsid w:val="00E70192"/>
    <w:rsid w:val="00E73875"/>
    <w:rsid w:val="00E748D7"/>
    <w:rsid w:val="00E774B0"/>
    <w:rsid w:val="00E777BC"/>
    <w:rsid w:val="00E8041B"/>
    <w:rsid w:val="00E8132F"/>
    <w:rsid w:val="00E82B0F"/>
    <w:rsid w:val="00E8302D"/>
    <w:rsid w:val="00E83340"/>
    <w:rsid w:val="00E85A3D"/>
    <w:rsid w:val="00E90B28"/>
    <w:rsid w:val="00E913BF"/>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02F8"/>
    <w:rsid w:val="00ED1B4C"/>
    <w:rsid w:val="00ED2B7B"/>
    <w:rsid w:val="00ED6095"/>
    <w:rsid w:val="00ED757B"/>
    <w:rsid w:val="00EE0695"/>
    <w:rsid w:val="00EE226A"/>
    <w:rsid w:val="00EE3B2D"/>
    <w:rsid w:val="00EF2733"/>
    <w:rsid w:val="00EF4286"/>
    <w:rsid w:val="00EF5F69"/>
    <w:rsid w:val="00EF7653"/>
    <w:rsid w:val="00F00D86"/>
    <w:rsid w:val="00F01C88"/>
    <w:rsid w:val="00F02494"/>
    <w:rsid w:val="00F05E30"/>
    <w:rsid w:val="00F150B3"/>
    <w:rsid w:val="00F17666"/>
    <w:rsid w:val="00F228AD"/>
    <w:rsid w:val="00F255D3"/>
    <w:rsid w:val="00F301CE"/>
    <w:rsid w:val="00F304D5"/>
    <w:rsid w:val="00F31509"/>
    <w:rsid w:val="00F3178F"/>
    <w:rsid w:val="00F31A58"/>
    <w:rsid w:val="00F31AAA"/>
    <w:rsid w:val="00F35597"/>
    <w:rsid w:val="00F419F3"/>
    <w:rsid w:val="00F441D0"/>
    <w:rsid w:val="00F449C6"/>
    <w:rsid w:val="00F5284A"/>
    <w:rsid w:val="00F53012"/>
    <w:rsid w:val="00F5550E"/>
    <w:rsid w:val="00F573D0"/>
    <w:rsid w:val="00F5751E"/>
    <w:rsid w:val="00F60E97"/>
    <w:rsid w:val="00F61868"/>
    <w:rsid w:val="00F649C0"/>
    <w:rsid w:val="00F64D40"/>
    <w:rsid w:val="00F64FE0"/>
    <w:rsid w:val="00F655D7"/>
    <w:rsid w:val="00F67E10"/>
    <w:rsid w:val="00F734BE"/>
    <w:rsid w:val="00F75238"/>
    <w:rsid w:val="00F756BD"/>
    <w:rsid w:val="00F76DCF"/>
    <w:rsid w:val="00F811C0"/>
    <w:rsid w:val="00F81AE7"/>
    <w:rsid w:val="00F83664"/>
    <w:rsid w:val="00F83C92"/>
    <w:rsid w:val="00F857C8"/>
    <w:rsid w:val="00F920FE"/>
    <w:rsid w:val="00F955A7"/>
    <w:rsid w:val="00F95981"/>
    <w:rsid w:val="00F96921"/>
    <w:rsid w:val="00FA3F98"/>
    <w:rsid w:val="00FA72A7"/>
    <w:rsid w:val="00FA731F"/>
    <w:rsid w:val="00FA7BE2"/>
    <w:rsid w:val="00FB12DF"/>
    <w:rsid w:val="00FB13E7"/>
    <w:rsid w:val="00FB1802"/>
    <w:rsid w:val="00FB1C8E"/>
    <w:rsid w:val="00FB259F"/>
    <w:rsid w:val="00FB5DAD"/>
    <w:rsid w:val="00FB6315"/>
    <w:rsid w:val="00FC0360"/>
    <w:rsid w:val="00FC5A62"/>
    <w:rsid w:val="00FC5D04"/>
    <w:rsid w:val="00FC6477"/>
    <w:rsid w:val="00FC6962"/>
    <w:rsid w:val="00FD11AB"/>
    <w:rsid w:val="00FD1CAB"/>
    <w:rsid w:val="00FD2564"/>
    <w:rsid w:val="00FD35B6"/>
    <w:rsid w:val="00FD5239"/>
    <w:rsid w:val="00FE0776"/>
    <w:rsid w:val="00FE38DB"/>
    <w:rsid w:val="00FE3BA4"/>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E03A0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qFormat/>
    <w:rsid w:val="00E03A0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E03A09"/>
    <w:pPr>
      <w:keepNext/>
      <w:numPr>
        <w:ilvl w:val="2"/>
        <w:numId w:val="4"/>
      </w:numPr>
      <w:tabs>
        <w:tab w:val="clear" w:pos="0"/>
        <w:tab w:val="num" w:pos="360"/>
      </w:tabs>
      <w:spacing w:before="240" w:after="60"/>
      <w:ind w:left="0" w:firstLine="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uiPriority w:val="99"/>
    <w:qFormat/>
    <w:rsid w:val="0093464A"/>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E03A0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E03A09"/>
    <w:pPr>
      <w:spacing w:after="0" w:line="240" w:lineRule="auto"/>
    </w:pPr>
  </w:style>
  <w:style w:type="paragraph" w:styleId="Footer">
    <w:name w:val="footer"/>
    <w:basedOn w:val="Normal"/>
    <w:link w:val="FooterChar"/>
    <w:uiPriority w:val="99"/>
    <w:rsid w:val="00E03A09"/>
    <w:pPr>
      <w:spacing w:after="0" w:line="240" w:lineRule="auto"/>
    </w:pPr>
  </w:style>
  <w:style w:type="paragraph" w:styleId="BalloonText">
    <w:name w:val="Balloon Text"/>
    <w:basedOn w:val="Normal"/>
    <w:link w:val="BalloonTextChar"/>
    <w:uiPriority w:val="99"/>
    <w:rsid w:val="00E03A09"/>
    <w:pPr>
      <w:spacing w:after="0" w:line="240" w:lineRule="auto"/>
    </w:pPr>
    <w:rPr>
      <w:rFonts w:ascii="Tahoma" w:hAnsi="Tahoma" w:cs="Tahoma"/>
      <w:sz w:val="16"/>
      <w:szCs w:val="16"/>
    </w:rPr>
  </w:style>
  <w:style w:type="paragraph" w:styleId="FootnoteText">
    <w:name w:val="footnote text"/>
    <w:aliases w:val="Paragraph Footnote"/>
    <w:basedOn w:val="Normal"/>
    <w:uiPriority w:val="99"/>
    <w:qFormat/>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E03A09"/>
    <w:rPr>
      <w:sz w:val="20"/>
      <w:szCs w:val="20"/>
    </w:rPr>
  </w:style>
  <w:style w:type="paragraph" w:styleId="CommentSubject">
    <w:name w:val="annotation subject"/>
    <w:basedOn w:val="CommentText"/>
    <w:next w:val="CommentText"/>
    <w:link w:val="CommentSubjectChar"/>
    <w:uiPriority w:val="99"/>
    <w:rsid w:val="00E03A0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E03A0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E03A0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qFormat/>
    <w:rsid w:val="00E03A0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E03A09"/>
    <w:pPr>
      <w:keepNext/>
      <w:numPr>
        <w:ilvl w:val="2"/>
        <w:numId w:val="4"/>
      </w:numPr>
      <w:tabs>
        <w:tab w:val="clear" w:pos="0"/>
        <w:tab w:val="num" w:pos="360"/>
      </w:tabs>
      <w:spacing w:before="240" w:after="60"/>
      <w:ind w:left="0" w:firstLine="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uiPriority w:val="99"/>
    <w:qFormat/>
    <w:rsid w:val="0093464A"/>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E03A0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E03A09"/>
    <w:pPr>
      <w:spacing w:after="0" w:line="240" w:lineRule="auto"/>
    </w:pPr>
  </w:style>
  <w:style w:type="paragraph" w:styleId="Footer">
    <w:name w:val="footer"/>
    <w:basedOn w:val="Normal"/>
    <w:link w:val="FooterChar"/>
    <w:uiPriority w:val="99"/>
    <w:rsid w:val="00E03A09"/>
    <w:pPr>
      <w:spacing w:after="0" w:line="240" w:lineRule="auto"/>
    </w:pPr>
  </w:style>
  <w:style w:type="paragraph" w:styleId="BalloonText">
    <w:name w:val="Balloon Text"/>
    <w:basedOn w:val="Normal"/>
    <w:link w:val="BalloonTextChar"/>
    <w:uiPriority w:val="99"/>
    <w:rsid w:val="00E03A09"/>
    <w:pPr>
      <w:spacing w:after="0" w:line="240" w:lineRule="auto"/>
    </w:pPr>
    <w:rPr>
      <w:rFonts w:ascii="Tahoma" w:hAnsi="Tahoma" w:cs="Tahoma"/>
      <w:sz w:val="16"/>
      <w:szCs w:val="16"/>
    </w:rPr>
  </w:style>
  <w:style w:type="paragraph" w:styleId="FootnoteText">
    <w:name w:val="footnote text"/>
    <w:aliases w:val="Paragraph Footnote"/>
    <w:basedOn w:val="Normal"/>
    <w:uiPriority w:val="99"/>
    <w:qFormat/>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E03A09"/>
    <w:rPr>
      <w:sz w:val="20"/>
      <w:szCs w:val="20"/>
    </w:rPr>
  </w:style>
  <w:style w:type="paragraph" w:styleId="CommentSubject">
    <w:name w:val="annotation subject"/>
    <w:basedOn w:val="CommentText"/>
    <w:next w:val="CommentText"/>
    <w:link w:val="CommentSubjectChar"/>
    <w:uiPriority w:val="99"/>
    <w:rsid w:val="00E03A0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E03A0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e862b6801c3e46d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517215-3FE9-4641-932D-98F9970E3014}">
  <ds:schemaRefs>
    <ds:schemaRef ds:uri="http://schemas.openxmlformats.org/officeDocument/2006/bibliography"/>
  </ds:schemaRefs>
</ds:datastoreItem>
</file>

<file path=customXml/itemProps2.xml><?xml version="1.0" encoding="utf-8"?>
<ds:datastoreItem xmlns:ds="http://schemas.openxmlformats.org/officeDocument/2006/customXml" ds:itemID="{4FD2C75A-F3A5-41C0-87E0-9FCBB937BD37}">
  <ds:schemaRefs>
    <ds:schemaRef ds:uri="http://schemas.openxmlformats.org/officeDocument/2006/bibliography"/>
  </ds:schemaRefs>
</ds:datastoreItem>
</file>

<file path=customXml/itemProps3.xml><?xml version="1.0" encoding="utf-8"?>
<ds:datastoreItem xmlns:ds="http://schemas.openxmlformats.org/officeDocument/2006/customXml" ds:itemID="{AF826DBA-6B7F-48E2-B7BA-9E3B94DA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2015-10-23T09:38:00Z</dcterms:modified>
</cp:coreProperties>
</file>