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8C" w:rsidRDefault="00533604">
      <w:pPr>
        <w:pStyle w:val="Title"/>
      </w:pPr>
      <w:r>
        <w:t>Food Balance Sheets</w:t>
      </w:r>
    </w:p>
    <w:p w:rsidR="0031348C" w:rsidRDefault="00533604">
      <w:pPr>
        <w:pStyle w:val="Heading2"/>
      </w:pPr>
      <w:bookmarkStart w:id="0" w:name="sugar"/>
      <w:bookmarkEnd w:id="0"/>
      <w:r>
        <w:t>Sugar</w:t>
      </w:r>
    </w:p>
    <w:p w:rsidR="0031348C" w:rsidRDefault="00533604">
      <w:r>
        <w:t>Now, let us consider the full process for creating a food balance sheet for sugar. We start off with an empty table:</w:t>
      </w:r>
    </w:p>
    <w:tbl>
      <w:tblPr>
        <w:tblW w:w="5261" w:type="pct"/>
        <w:tblLook w:val="04A0"/>
      </w:tblPr>
      <w:tblGrid>
        <w:gridCol w:w="1376"/>
        <w:gridCol w:w="979"/>
        <w:gridCol w:w="764"/>
        <w:gridCol w:w="749"/>
        <w:gridCol w:w="1092"/>
        <w:gridCol w:w="561"/>
        <w:gridCol w:w="1334"/>
        <w:gridCol w:w="547"/>
        <w:gridCol w:w="541"/>
        <w:gridCol w:w="718"/>
        <w:gridCol w:w="890"/>
        <w:gridCol w:w="525"/>
      </w:tblGrid>
      <w:tr w:rsidR="0031348C" w:rsidRPr="006671E1" w:rsidTr="006671E1">
        <w:tc>
          <w:tcPr>
            <w:tcW w:w="68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83"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8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1" w:name="production"/>
      <w:bookmarkEnd w:id="1"/>
      <w:r>
        <w:t>Production</w:t>
      </w:r>
    </w:p>
    <w:p w:rsidR="0031348C" w:rsidRDefault="00533604">
      <w:r>
        <w:t xml:space="preserve">For production data, we first fill in the table with any available official figures. In this case, the production quantity is known for all the primary products and thus no imputation is done. If we were to have missing quantities, we would impute data as </w:t>
      </w:r>
      <w:r>
        <w:t>described in chapter two and as shown in the wheat example.</w:t>
      </w:r>
    </w:p>
    <w:tbl>
      <w:tblPr>
        <w:tblW w:w="5261" w:type="pct"/>
        <w:tblLook w:val="04A0"/>
      </w:tblPr>
      <w:tblGrid>
        <w:gridCol w:w="1368"/>
        <w:gridCol w:w="1049"/>
        <w:gridCol w:w="764"/>
        <w:gridCol w:w="749"/>
        <w:gridCol w:w="1092"/>
        <w:gridCol w:w="561"/>
        <w:gridCol w:w="1272"/>
        <w:gridCol w:w="547"/>
        <w:gridCol w:w="541"/>
        <w:gridCol w:w="718"/>
        <w:gridCol w:w="890"/>
        <w:gridCol w:w="525"/>
      </w:tblGrid>
      <w:tr w:rsidR="0031348C" w:rsidRPr="006671E1" w:rsidTr="006671E1">
        <w:tc>
          <w:tcPr>
            <w:tcW w:w="679"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9"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b/>
                <w:sz w:val="16"/>
              </w:rPr>
              <w:t>26,210,000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b/>
                <w:sz w:val="16"/>
              </w:rPr>
              <w:t>26,510,000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9"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2" w:name="trade"/>
      <w:bookmarkEnd w:id="2"/>
      <w:r>
        <w:t>Trade</w:t>
      </w:r>
    </w:p>
    <w:p w:rsidR="0031348C" w:rsidRDefault="00533604">
      <w:r>
        <w:t>Please reference chapter 2 and the wheat example for a thorough description of the trade processing. For this example, we simply insert the available trade figures.</w:t>
      </w:r>
    </w:p>
    <w:tbl>
      <w:tblPr>
        <w:tblW w:w="5261" w:type="pct"/>
        <w:tblLook w:val="04A0"/>
      </w:tblPr>
      <w:tblGrid>
        <w:gridCol w:w="1350"/>
        <w:gridCol w:w="991"/>
        <w:gridCol w:w="954"/>
        <w:gridCol w:w="822"/>
        <w:gridCol w:w="1092"/>
        <w:gridCol w:w="561"/>
        <w:gridCol w:w="1085"/>
        <w:gridCol w:w="547"/>
        <w:gridCol w:w="541"/>
        <w:gridCol w:w="718"/>
        <w:gridCol w:w="890"/>
        <w:gridCol w:w="525"/>
      </w:tblGrid>
      <w:tr w:rsidR="0031348C" w:rsidRPr="006671E1" w:rsidTr="006671E1">
        <w:tc>
          <w:tcPr>
            <w:tcW w:w="670"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0"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b/>
                <w:sz w:val="16"/>
              </w:rPr>
              <w:t>194,500</w:t>
            </w:r>
          </w:p>
        </w:tc>
        <w:tc>
          <w:tcPr>
            <w:tcW w:w="0" w:type="auto"/>
          </w:tcPr>
          <w:p w:rsidR="0031348C" w:rsidRPr="006671E1" w:rsidRDefault="00533604">
            <w:pPr>
              <w:pStyle w:val="Compact"/>
              <w:jc w:val="right"/>
              <w:rPr>
                <w:sz w:val="16"/>
              </w:rPr>
            </w:pPr>
            <w:r w:rsidRPr="006671E1">
              <w:rPr>
                <w:b/>
                <w:sz w:val="16"/>
              </w:rPr>
              <w:t>300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b/>
                <w:sz w:val="16"/>
              </w:rPr>
              <w:t>9,700</w:t>
            </w:r>
          </w:p>
        </w:tc>
        <w:tc>
          <w:tcPr>
            <w:tcW w:w="0" w:type="auto"/>
          </w:tcPr>
          <w:p w:rsidR="0031348C" w:rsidRPr="006671E1" w:rsidRDefault="00533604">
            <w:pPr>
              <w:pStyle w:val="Compact"/>
              <w:jc w:val="right"/>
              <w:rPr>
                <w:sz w:val="16"/>
              </w:rPr>
            </w:pPr>
            <w:r w:rsidRPr="006671E1">
              <w:rPr>
                <w:b/>
                <w:sz w:val="16"/>
              </w:rPr>
              <w:t>860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265,400</w:t>
            </w:r>
          </w:p>
        </w:tc>
        <w:tc>
          <w:tcPr>
            <w:tcW w:w="0" w:type="auto"/>
          </w:tcPr>
          <w:p w:rsidR="0031348C" w:rsidRPr="006671E1" w:rsidRDefault="00533604">
            <w:pPr>
              <w:pStyle w:val="Compact"/>
              <w:jc w:val="right"/>
              <w:rPr>
                <w:sz w:val="16"/>
              </w:rPr>
            </w:pPr>
            <w:r w:rsidRPr="006671E1">
              <w:rPr>
                <w:b/>
                <w:sz w:val="16"/>
              </w:rPr>
              <w:t>96,200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10</w:t>
            </w:r>
          </w:p>
        </w:tc>
        <w:tc>
          <w:tcPr>
            <w:tcW w:w="0" w:type="auto"/>
          </w:tcPr>
          <w:p w:rsidR="0031348C" w:rsidRPr="006671E1" w:rsidRDefault="00533604">
            <w:pPr>
              <w:pStyle w:val="Compact"/>
              <w:jc w:val="right"/>
              <w:rPr>
                <w:sz w:val="16"/>
              </w:rPr>
            </w:pPr>
            <w:r w:rsidRPr="006671E1">
              <w:rPr>
                <w:b/>
                <w:sz w:val="16"/>
              </w:rPr>
              <w:t>194,800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1,275,200</w:t>
            </w:r>
          </w:p>
        </w:tc>
        <w:tc>
          <w:tcPr>
            <w:tcW w:w="0" w:type="auto"/>
          </w:tcPr>
          <w:p w:rsidR="0031348C" w:rsidRPr="006671E1" w:rsidRDefault="00533604">
            <w:pPr>
              <w:pStyle w:val="Compact"/>
              <w:jc w:val="right"/>
              <w:rPr>
                <w:sz w:val="16"/>
              </w:rPr>
            </w:pPr>
            <w:r w:rsidRPr="006671E1">
              <w:rPr>
                <w:b/>
                <w:sz w:val="16"/>
              </w:rPr>
              <w:t>111,200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0"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464,200</w:t>
            </w:r>
          </w:p>
        </w:tc>
        <w:tc>
          <w:tcPr>
            <w:tcW w:w="0" w:type="auto"/>
          </w:tcPr>
          <w:p w:rsidR="0031348C" w:rsidRPr="006671E1" w:rsidRDefault="00533604">
            <w:pPr>
              <w:pStyle w:val="Compact"/>
              <w:jc w:val="right"/>
              <w:rPr>
                <w:sz w:val="16"/>
              </w:rPr>
            </w:pPr>
            <w:r w:rsidRPr="006671E1">
              <w:rPr>
                <w:b/>
                <w:sz w:val="16"/>
              </w:rPr>
              <w:t>236,500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3" w:name="stock-changes"/>
      <w:bookmarkEnd w:id="3"/>
      <w:r>
        <w:lastRenderedPageBreak/>
        <w:t>Stock Changes</w:t>
      </w:r>
    </w:p>
    <w:p w:rsidR="0031348C" w:rsidRDefault="00533604">
      <w:r>
        <w:t>Generally, stocks will be held for a select number of primary level products (such as wheat or rice). However, in the case of sugar, it is not uncommon for countries to hold stocks for processed commodities such as raw or refined sugar. The stock change in</w:t>
      </w:r>
      <w:r>
        <w:t xml:space="preserve"> the table will ideally be a quantity measured within the country, but in almost all cases this is not possible. Thus, the stock change quantity must be imputed, and we do this imputation via the linear regression model on historical stock change data desc</w:t>
      </w:r>
      <w:r>
        <w:t>ribed more thoroughly in chapter 2.</w:t>
      </w:r>
    </w:p>
    <w:tbl>
      <w:tblPr>
        <w:tblW w:w="5261" w:type="pct"/>
        <w:tblLook w:val="04A0"/>
      </w:tblPr>
      <w:tblGrid>
        <w:gridCol w:w="1360"/>
        <w:gridCol w:w="991"/>
        <w:gridCol w:w="902"/>
        <w:gridCol w:w="781"/>
        <w:gridCol w:w="1092"/>
        <w:gridCol w:w="561"/>
        <w:gridCol w:w="1168"/>
        <w:gridCol w:w="547"/>
        <w:gridCol w:w="541"/>
        <w:gridCol w:w="718"/>
        <w:gridCol w:w="890"/>
        <w:gridCol w:w="525"/>
      </w:tblGrid>
      <w:tr w:rsidR="0031348C" w:rsidRPr="006671E1" w:rsidTr="006671E1">
        <w:tc>
          <w:tcPr>
            <w:tcW w:w="67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75"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b/>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7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4" w:name="food"/>
      <w:bookmarkEnd w:id="4"/>
      <w:r>
        <w:t>Food</w:t>
      </w:r>
    </w:p>
    <w:p w:rsidR="0031348C" w:rsidRDefault="00533604">
      <w:r>
        <w:t>The module estimating food allocation uses food consumption estimates from the previous year and extrapolates these estimates forward using changes in GDP and product-related income elasticities. Recall that the "Food" variable is only reported at the prim</w:t>
      </w:r>
      <w:r>
        <w:t>ary level as the "Food Processing" variable is estimated by standardizing the "Food" quantities for all the processed commodities. Also, sugar is a special case in that the food balance is not done at the level of the sugar crops (i.e. sugar cane and sugar</w:t>
      </w:r>
      <w:r>
        <w:t xml:space="preserve"> beet) but rather at the level of raw sugar. Thus, when we later refer to the "primary level" for sugar, we will really mean the raw sugar commodity. Now, the "Food" and "Food Processing" variables are filled in for raw sugar.</w:t>
      </w:r>
    </w:p>
    <w:tbl>
      <w:tblPr>
        <w:tblW w:w="5261" w:type="pct"/>
        <w:tblLook w:val="04A0"/>
      </w:tblPr>
      <w:tblGrid>
        <w:gridCol w:w="1178"/>
        <w:gridCol w:w="991"/>
        <w:gridCol w:w="902"/>
        <w:gridCol w:w="781"/>
        <w:gridCol w:w="1092"/>
        <w:gridCol w:w="954"/>
        <w:gridCol w:w="957"/>
        <w:gridCol w:w="547"/>
        <w:gridCol w:w="541"/>
        <w:gridCol w:w="718"/>
        <w:gridCol w:w="890"/>
        <w:gridCol w:w="525"/>
      </w:tblGrid>
      <w:tr w:rsidR="0031348C" w:rsidRPr="006671E1" w:rsidTr="006671E1">
        <w:tc>
          <w:tcPr>
            <w:tcW w:w="65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57"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1,513,800</w:t>
            </w:r>
          </w:p>
        </w:tc>
        <w:tc>
          <w:tcPr>
            <w:tcW w:w="0" w:type="auto"/>
          </w:tcPr>
          <w:p w:rsidR="0031348C" w:rsidRPr="006671E1" w:rsidRDefault="00533604">
            <w:pPr>
              <w:pStyle w:val="Compact"/>
              <w:jc w:val="right"/>
              <w:rPr>
                <w:sz w:val="16"/>
              </w:rPr>
            </w:pPr>
            <w:r w:rsidRPr="006671E1">
              <w:rPr>
                <w:b/>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r w:rsidR="0031348C" w:rsidRPr="006671E1" w:rsidTr="006671E1">
        <w:tc>
          <w:tcPr>
            <w:tcW w:w="65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r>
    </w:tbl>
    <w:p w:rsidR="0031348C" w:rsidRDefault="00533604">
      <w:pPr>
        <w:pStyle w:val="Heading3"/>
      </w:pPr>
      <w:bookmarkStart w:id="5" w:name="losses"/>
      <w:bookmarkEnd w:id="5"/>
      <w:r>
        <w:t>Losses</w:t>
      </w:r>
    </w:p>
    <w:p w:rsidR="0031348C" w:rsidRDefault="00533604">
      <w:r>
        <w:t>Losses are estimated using the methodology described in chapter 2, unless losses quantities are measured by the country. We estimate losses only for sugar beet and sugar cane.</w:t>
      </w:r>
    </w:p>
    <w:tbl>
      <w:tblPr>
        <w:tblW w:w="5261" w:type="pct"/>
        <w:tblLook w:val="04A0"/>
      </w:tblPr>
      <w:tblGrid>
        <w:gridCol w:w="933"/>
        <w:gridCol w:w="991"/>
        <w:gridCol w:w="902"/>
        <w:gridCol w:w="781"/>
        <w:gridCol w:w="1092"/>
        <w:gridCol w:w="902"/>
        <w:gridCol w:w="957"/>
        <w:gridCol w:w="547"/>
        <w:gridCol w:w="541"/>
        <w:gridCol w:w="718"/>
        <w:gridCol w:w="890"/>
        <w:gridCol w:w="822"/>
      </w:tblGrid>
      <w:tr w:rsidR="0031348C" w:rsidRPr="006671E1" w:rsidTr="006671E1">
        <w:tc>
          <w:tcPr>
            <w:tcW w:w="64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7" w:type="pct"/>
          </w:tcPr>
          <w:p w:rsidR="0031348C" w:rsidRPr="006671E1" w:rsidRDefault="00533604">
            <w:pPr>
              <w:pStyle w:val="Compact"/>
              <w:jc w:val="right"/>
              <w:rPr>
                <w:sz w:val="16"/>
              </w:rPr>
            </w:pPr>
            <w:r w:rsidRPr="006671E1">
              <w:rPr>
                <w:sz w:val="16"/>
              </w:rPr>
              <w:t xml:space="preserve">Sugar </w:t>
            </w:r>
            <w:r w:rsidRPr="006671E1">
              <w:rPr>
                <w:sz w:val="16"/>
              </w:rPr>
              <w:lastRenderedPageBreak/>
              <w:t>Beet</w:t>
            </w:r>
          </w:p>
        </w:tc>
        <w:tc>
          <w:tcPr>
            <w:tcW w:w="0" w:type="auto"/>
          </w:tcPr>
          <w:p w:rsidR="0031348C" w:rsidRPr="006671E1" w:rsidRDefault="00533604">
            <w:pPr>
              <w:pStyle w:val="Compact"/>
              <w:jc w:val="right"/>
              <w:rPr>
                <w:sz w:val="16"/>
              </w:rPr>
            </w:pPr>
            <w:r w:rsidRPr="006671E1">
              <w:rPr>
                <w:sz w:val="16"/>
              </w:rPr>
              <w:lastRenderedPageBreak/>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205,500</w:t>
            </w:r>
          </w:p>
        </w:tc>
      </w:tr>
      <w:tr w:rsidR="0031348C" w:rsidRPr="006671E1" w:rsidTr="006671E1">
        <w:tc>
          <w:tcPr>
            <w:tcW w:w="647" w:type="pct"/>
          </w:tcPr>
          <w:p w:rsidR="0031348C" w:rsidRPr="006671E1" w:rsidRDefault="00533604">
            <w:pPr>
              <w:pStyle w:val="Compact"/>
              <w:jc w:val="right"/>
              <w:rPr>
                <w:sz w:val="16"/>
              </w:rPr>
            </w:pPr>
            <w:r w:rsidRPr="006671E1">
              <w:rPr>
                <w:sz w:val="16"/>
              </w:rPr>
              <w:lastRenderedPageBreak/>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213,300</w:t>
            </w:r>
          </w:p>
        </w:tc>
      </w:tr>
      <w:tr w:rsidR="0031348C" w:rsidRPr="006671E1" w:rsidTr="006671E1">
        <w:tc>
          <w:tcPr>
            <w:tcW w:w="64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4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r>
    </w:tbl>
    <w:p w:rsidR="0031348C" w:rsidRDefault="00533604">
      <w:pPr>
        <w:pStyle w:val="Heading3"/>
      </w:pPr>
      <w:bookmarkStart w:id="6" w:name="seed"/>
      <w:bookmarkEnd w:id="6"/>
      <w:r>
        <w:t>Seed</w:t>
      </w:r>
    </w:p>
    <w:p w:rsidR="0031348C" w:rsidRDefault="00533604">
      <w:r>
        <w:t xml:space="preserve">Seed use for sugar beet is assumed to be approximately zero </w:t>
      </w:r>
      <w:r>
        <w:rPr>
          <w:b/>
        </w:rPr>
        <w:t>WHY???</w:t>
      </w:r>
      <w:r>
        <w:t>. However, an allocation for seed from sugar cane should be done. In this case, it is usually not actual seed usage but rather that some of the sugar cane plants are cut and replanted, thus resulting in a slightly smaller harvest than would have occurred i</w:t>
      </w:r>
      <w:r>
        <w:t>f all plants had been harvested. While this is not technically seed usage, it simplifies the food balance sheet to allocate this "utilization" under seed usage.</w:t>
      </w:r>
    </w:p>
    <w:tbl>
      <w:tblPr>
        <w:tblW w:w="5261" w:type="pct"/>
        <w:tblLook w:val="04A0"/>
      </w:tblPr>
      <w:tblGrid>
        <w:gridCol w:w="838"/>
        <w:gridCol w:w="991"/>
        <w:gridCol w:w="902"/>
        <w:gridCol w:w="781"/>
        <w:gridCol w:w="1092"/>
        <w:gridCol w:w="902"/>
        <w:gridCol w:w="957"/>
        <w:gridCol w:w="547"/>
        <w:gridCol w:w="954"/>
        <w:gridCol w:w="718"/>
        <w:gridCol w:w="890"/>
        <w:gridCol w:w="781"/>
      </w:tblGrid>
      <w:tr w:rsidR="0031348C" w:rsidRPr="006671E1" w:rsidTr="006671E1">
        <w:tc>
          <w:tcPr>
            <w:tcW w:w="63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3"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3"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1,572,200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7" w:name="industrial-utilization"/>
      <w:bookmarkEnd w:id="7"/>
      <w:r>
        <w:t>Industrial Utilization</w:t>
      </w:r>
    </w:p>
    <w:p w:rsidR="0031348C" w:rsidRDefault="00533604">
      <w:r>
        <w:t>As with the wheat example, few of the sugar commodities are used for industrial use. However, bagasse, a byproduct in the processing of sugar cane into raw sugar, can be utilized in industry. This allocation will be made later when we convert the sugar can</w:t>
      </w:r>
      <w:r>
        <w:t>e quantities into its processed products.</w:t>
      </w:r>
    </w:p>
    <w:tbl>
      <w:tblPr>
        <w:tblW w:w="5261" w:type="pct"/>
        <w:tblLook w:val="04A0"/>
      </w:tblPr>
      <w:tblGrid>
        <w:gridCol w:w="838"/>
        <w:gridCol w:w="991"/>
        <w:gridCol w:w="902"/>
        <w:gridCol w:w="781"/>
        <w:gridCol w:w="1092"/>
        <w:gridCol w:w="902"/>
        <w:gridCol w:w="957"/>
        <w:gridCol w:w="547"/>
        <w:gridCol w:w="902"/>
        <w:gridCol w:w="718"/>
        <w:gridCol w:w="890"/>
        <w:gridCol w:w="781"/>
      </w:tblGrid>
      <w:tr w:rsidR="0031348C" w:rsidRPr="006671E1" w:rsidTr="006671E1">
        <w:tc>
          <w:tcPr>
            <w:tcW w:w="634"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4"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4"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4"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lastRenderedPageBreak/>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8" w:name="tourist-consumption"/>
      <w:bookmarkEnd w:id="8"/>
      <w:r>
        <w:t>Tourist Consumption</w:t>
      </w:r>
    </w:p>
    <w:p w:rsidR="0031348C" w:rsidRDefault="00533604">
      <w:r>
        <w:t xml:space="preserve">As with the wheat example, we see a negative tourist consumption amount. This indicates that more calories are available in the country (a decrease in utilization is mathematically equivalent to an increase in supply) because inhabitants consumed calories </w:t>
      </w:r>
      <w:r>
        <w:t>abroad.</w:t>
      </w:r>
    </w:p>
    <w:tbl>
      <w:tblPr>
        <w:tblW w:w="5261" w:type="pct"/>
        <w:tblLook w:val="04A0"/>
      </w:tblPr>
      <w:tblGrid>
        <w:gridCol w:w="838"/>
        <w:gridCol w:w="991"/>
        <w:gridCol w:w="902"/>
        <w:gridCol w:w="781"/>
        <w:gridCol w:w="1092"/>
        <w:gridCol w:w="902"/>
        <w:gridCol w:w="957"/>
        <w:gridCol w:w="547"/>
        <w:gridCol w:w="902"/>
        <w:gridCol w:w="718"/>
        <w:gridCol w:w="890"/>
        <w:gridCol w:w="781"/>
      </w:tblGrid>
      <w:tr w:rsidR="0031348C" w:rsidRPr="006671E1" w:rsidTr="006671E1">
        <w:tc>
          <w:tcPr>
            <w:tcW w:w="634"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4"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4"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4"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4"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9" w:name="feed"/>
      <w:bookmarkEnd w:id="9"/>
      <w:r>
        <w:t>Feed</w:t>
      </w:r>
    </w:p>
    <w:p w:rsidR="0031348C" w:rsidRDefault="00533604">
      <w:r>
        <w:t>We note that, in order to determine feed estimates for raw sugar, we must first deduct from our total feed requirements all the commodities which are allocated entirely (or assumed to be allocated entirely) to feed. Thus, we must deduct the bran produced i</w:t>
      </w:r>
      <w:r>
        <w:t xml:space="preserve">n the processing of wheat as well as the molasses produced in the processing of sugar beet and sugar cane. This is an important note: when compiling the food balance sheets, the quantities allocated to feed for all feed commodities must be computed before </w:t>
      </w:r>
      <w:r>
        <w:t>generating feed estimates for the wheat/raw sugar/etc. commodities. Thus, food balance sheets cannot be compiled one commodity tree at a time.</w:t>
      </w:r>
    </w:p>
    <w:p w:rsidR="0031348C" w:rsidRDefault="00533604">
      <w:r>
        <w:t>In order to compute the total amount of molasses, we must compute the amount of sugar beet and sugar cane allocated to processing. This is rather straightforward: we simply deduct from the supply the small amount allocated to seed and losses to compute the</w:t>
      </w:r>
      <w:r>
        <w:t xml:space="preserve"> amount of sugar beet and sugar cane allocated to food processing.</w:t>
      </w:r>
    </w:p>
    <w:tbl>
      <w:tblPr>
        <w:tblW w:w="5261" w:type="pct"/>
        <w:tblLook w:val="04A0"/>
      </w:tblPr>
      <w:tblGrid>
        <w:gridCol w:w="838"/>
        <w:gridCol w:w="991"/>
        <w:gridCol w:w="902"/>
        <w:gridCol w:w="781"/>
        <w:gridCol w:w="1092"/>
        <w:gridCol w:w="902"/>
        <w:gridCol w:w="1049"/>
        <w:gridCol w:w="547"/>
        <w:gridCol w:w="902"/>
        <w:gridCol w:w="718"/>
        <w:gridCol w:w="890"/>
        <w:gridCol w:w="781"/>
      </w:tblGrid>
      <w:tr w:rsidR="0031348C" w:rsidRPr="006671E1" w:rsidTr="006671E1">
        <w:tc>
          <w:tcPr>
            <w:tcW w:w="631"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1" w:type="pct"/>
          </w:tcPr>
          <w:p w:rsidR="0031348C" w:rsidRPr="006671E1" w:rsidRDefault="00533604">
            <w:pPr>
              <w:pStyle w:val="Compact"/>
              <w:jc w:val="right"/>
              <w:rPr>
                <w:sz w:val="16"/>
              </w:rPr>
            </w:pPr>
            <w:r w:rsidRPr="006671E1">
              <w:rPr>
                <w:sz w:val="16"/>
              </w:rPr>
              <w:t>Sugar Beet</w:t>
            </w:r>
          </w:p>
        </w:tc>
        <w:tc>
          <w:tcPr>
            <w:tcW w:w="0" w:type="auto"/>
          </w:tcPr>
          <w:p w:rsidR="0031348C" w:rsidRPr="006671E1" w:rsidRDefault="00533604">
            <w:pPr>
              <w:pStyle w:val="Compact"/>
              <w:jc w:val="right"/>
              <w:rPr>
                <w:sz w:val="16"/>
              </w:rPr>
            </w:pPr>
            <w:r w:rsidRPr="006671E1">
              <w:rPr>
                <w:sz w:val="16"/>
              </w:rPr>
              <w:t>26,210,000</w:t>
            </w:r>
          </w:p>
        </w:tc>
        <w:tc>
          <w:tcPr>
            <w:tcW w:w="0" w:type="auto"/>
          </w:tcPr>
          <w:p w:rsidR="0031348C" w:rsidRPr="006671E1" w:rsidRDefault="00533604">
            <w:pPr>
              <w:pStyle w:val="Compact"/>
              <w:jc w:val="right"/>
              <w:rPr>
                <w:sz w:val="16"/>
              </w:rPr>
            </w:pPr>
            <w:r w:rsidRPr="006671E1">
              <w:rPr>
                <w:sz w:val="16"/>
              </w:rPr>
              <w:t>194,500</w:t>
            </w:r>
          </w:p>
        </w:tc>
        <w:tc>
          <w:tcPr>
            <w:tcW w:w="0" w:type="auto"/>
          </w:tcPr>
          <w:p w:rsidR="0031348C" w:rsidRPr="006671E1" w:rsidRDefault="00533604">
            <w:pPr>
              <w:pStyle w:val="Compact"/>
              <w:jc w:val="right"/>
              <w:rPr>
                <w:sz w:val="16"/>
              </w:rPr>
            </w:pPr>
            <w:r w:rsidRPr="006671E1">
              <w:rPr>
                <w:sz w:val="16"/>
              </w:rPr>
              <w:t>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26,200,000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205,500</w:t>
            </w:r>
          </w:p>
        </w:tc>
      </w:tr>
      <w:tr w:rsidR="0031348C" w:rsidRPr="006671E1" w:rsidTr="006671E1">
        <w:tc>
          <w:tcPr>
            <w:tcW w:w="631" w:type="pct"/>
          </w:tcPr>
          <w:p w:rsidR="0031348C" w:rsidRPr="006671E1" w:rsidRDefault="00533604">
            <w:pPr>
              <w:pStyle w:val="Compact"/>
              <w:jc w:val="right"/>
              <w:rPr>
                <w:sz w:val="16"/>
              </w:rPr>
            </w:pPr>
            <w:r w:rsidRPr="006671E1">
              <w:rPr>
                <w:sz w:val="16"/>
              </w:rPr>
              <w:t>Sugar Cane</w:t>
            </w:r>
          </w:p>
        </w:tc>
        <w:tc>
          <w:tcPr>
            <w:tcW w:w="0" w:type="auto"/>
          </w:tcPr>
          <w:p w:rsidR="0031348C" w:rsidRPr="006671E1" w:rsidRDefault="00533604">
            <w:pPr>
              <w:pStyle w:val="Compact"/>
              <w:jc w:val="right"/>
              <w:rPr>
                <w:sz w:val="16"/>
              </w:rPr>
            </w:pPr>
            <w:r w:rsidRPr="006671E1">
              <w:rPr>
                <w:sz w:val="16"/>
              </w:rPr>
              <w:t>26,510,000</w:t>
            </w:r>
          </w:p>
        </w:tc>
        <w:tc>
          <w:tcPr>
            <w:tcW w:w="0" w:type="auto"/>
          </w:tcPr>
          <w:p w:rsidR="0031348C" w:rsidRPr="006671E1" w:rsidRDefault="00533604">
            <w:pPr>
              <w:pStyle w:val="Compact"/>
              <w:jc w:val="right"/>
              <w:rPr>
                <w:sz w:val="16"/>
              </w:rPr>
            </w:pPr>
            <w:r w:rsidRPr="006671E1">
              <w:rPr>
                <w:sz w:val="16"/>
              </w:rPr>
              <w:t>9,700</w:t>
            </w:r>
          </w:p>
        </w:tc>
        <w:tc>
          <w:tcPr>
            <w:tcW w:w="0" w:type="auto"/>
          </w:tcPr>
          <w:p w:rsidR="0031348C" w:rsidRPr="006671E1" w:rsidRDefault="00533604">
            <w:pPr>
              <w:pStyle w:val="Compact"/>
              <w:jc w:val="right"/>
              <w:rPr>
                <w:sz w:val="16"/>
              </w:rPr>
            </w:pPr>
            <w:r w:rsidRPr="006671E1">
              <w:rPr>
                <w:sz w:val="16"/>
              </w:rPr>
              <w:t>860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24,730,000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1,572,200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213,300</w:t>
            </w:r>
          </w:p>
        </w:tc>
      </w:tr>
      <w:tr w:rsidR="0031348C" w:rsidRPr="006671E1" w:rsidTr="006671E1">
        <w:tc>
          <w:tcPr>
            <w:tcW w:w="631"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1"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lastRenderedPageBreak/>
        <w:t>We now process forward all of the sugar beet and sugar cane quantities into raw sugar and the associated by-products. The production quantities of the sugar crops were officially reported, and after a minor allocation to seed and waste, these quantities ar</w:t>
      </w:r>
      <w:r>
        <w:t>e essentially allocated to production of the processed commodities. This production is therefore also considered official.</w:t>
      </w:r>
    </w:p>
    <w:tbl>
      <w:tblPr>
        <w:tblW w:w="5261" w:type="pct"/>
        <w:tblLook w:val="04A0"/>
      </w:tblPr>
      <w:tblGrid>
        <w:gridCol w:w="1242"/>
        <w:gridCol w:w="979"/>
        <w:gridCol w:w="902"/>
        <w:gridCol w:w="781"/>
        <w:gridCol w:w="1092"/>
        <w:gridCol w:w="902"/>
        <w:gridCol w:w="957"/>
        <w:gridCol w:w="547"/>
        <w:gridCol w:w="541"/>
        <w:gridCol w:w="718"/>
        <w:gridCol w:w="890"/>
        <w:gridCol w:w="525"/>
      </w:tblGrid>
      <w:tr w:rsidR="0031348C" w:rsidRPr="006671E1" w:rsidTr="006671E1">
        <w:tc>
          <w:tcPr>
            <w:tcW w:w="660"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60"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b/>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b/>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b/>
                <w:sz w:val="16"/>
              </w:rPr>
              <w:t>1,834,200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r>
      <w:tr w:rsidR="0031348C" w:rsidRPr="006671E1" w:rsidTr="006671E1">
        <w:tc>
          <w:tcPr>
            <w:tcW w:w="660"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b/>
                <w:sz w:val="16"/>
              </w:rPr>
              <w:t>6,183,700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b/>
                <w:sz w:val="16"/>
              </w:rPr>
              <w:t>0</w:t>
            </w:r>
          </w:p>
        </w:tc>
      </w:tr>
    </w:tbl>
    <w:p w:rsidR="0031348C" w:rsidRDefault="00533604">
      <w:r>
        <w:t>Thus, we can now determine the quantity of molasses and beet pulp (byproducts of the sugar processing) feed that we have produced. This would then inform the amount of feed that we could allocate to the commodity that we are balancing (i.e. raw sugar). How</w:t>
      </w:r>
      <w:r>
        <w:t>ever, raw sugar is rarely used as a feed product, and thus in this case we will only allocate feed usage for the two processed commodities beet pulp and molasses.</w:t>
      </w:r>
    </w:p>
    <w:tbl>
      <w:tblPr>
        <w:tblW w:w="5261" w:type="pct"/>
        <w:tblLook w:val="04A0"/>
      </w:tblPr>
      <w:tblGrid>
        <w:gridCol w:w="838"/>
        <w:gridCol w:w="979"/>
        <w:gridCol w:w="902"/>
        <w:gridCol w:w="781"/>
        <w:gridCol w:w="1092"/>
        <w:gridCol w:w="902"/>
        <w:gridCol w:w="957"/>
        <w:gridCol w:w="954"/>
        <w:gridCol w:w="541"/>
        <w:gridCol w:w="718"/>
        <w:gridCol w:w="890"/>
        <w:gridCol w:w="525"/>
      </w:tblGrid>
      <w:tr w:rsidR="0031348C" w:rsidRPr="006671E1" w:rsidTr="006671E1">
        <w:tc>
          <w:tcPr>
            <w:tcW w:w="643"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3"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b/>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3"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b/>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pPr>
        <w:pStyle w:val="Heading3"/>
      </w:pPr>
      <w:bookmarkStart w:id="10" w:name="standardization-and-balancing"/>
      <w:bookmarkEnd w:id="10"/>
      <w:r>
        <w:t>Standardization and Balancing</w:t>
      </w:r>
    </w:p>
    <w:p w:rsidR="0031348C" w:rsidRDefault="00533604">
      <w:r>
        <w:t>Now, suppose we have the following commodity tree:</w:t>
      </w:r>
    </w:p>
    <w:p w:rsidR="0031348C" w:rsidRDefault="00533604">
      <w:r>
        <w:rPr>
          <w:noProof/>
        </w:rPr>
        <w:lastRenderedPageBreak/>
        <w:drawing>
          <wp:inline distT="0" distB="0" distL="0" distR="0">
            <wp:extent cx="5440680" cy="36285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garExample_files/figure-docx/unnamed-chunk-14-1.png"/>
                    <pic:cNvPicPr>
                      <a:picLocks noChangeAspect="1" noChangeArrowheads="1"/>
                    </pic:cNvPicPr>
                  </pic:nvPicPr>
                  <pic:blipFill>
                    <a:blip r:embed="rId5" cstate="print"/>
                    <a:stretch>
                      <a:fillRect/>
                    </a:stretch>
                  </pic:blipFill>
                  <pic:spPr bwMode="auto">
                    <a:xfrm>
                      <a:off x="0" y="0"/>
                      <a:ext cx="5440680" cy="3628505"/>
                    </a:xfrm>
                    <a:prstGeom prst="rect">
                      <a:avLst/>
                    </a:prstGeom>
                    <a:noFill/>
                    <a:ln w="9525">
                      <a:noFill/>
                      <a:headEnd/>
                      <a:tailEnd/>
                    </a:ln>
                  </pic:spPr>
                </pic:pic>
              </a:graphicData>
            </a:graphic>
          </wp:inline>
        </w:drawing>
      </w:r>
    </w:p>
    <w:p w:rsidR="0031348C" w:rsidRDefault="00533604">
      <w:r>
        <w:t>We have already eliminated the sugar cane and sugar beet commodities, and thus we are mainly interested in the task of rolling up processed sugar commodities into raw sugar. Again, here is our initial table:</w:t>
      </w:r>
    </w:p>
    <w:tbl>
      <w:tblPr>
        <w:tblW w:w="5261" w:type="pct"/>
        <w:tblLook w:val="04A0"/>
      </w:tblPr>
      <w:tblGrid>
        <w:gridCol w:w="887"/>
        <w:gridCol w:w="979"/>
        <w:gridCol w:w="902"/>
        <w:gridCol w:w="781"/>
        <w:gridCol w:w="1092"/>
        <w:gridCol w:w="902"/>
        <w:gridCol w:w="957"/>
        <w:gridCol w:w="902"/>
        <w:gridCol w:w="541"/>
        <w:gridCol w:w="718"/>
        <w:gridCol w:w="890"/>
        <w:gridCol w:w="525"/>
      </w:tblGrid>
      <w:tr w:rsidR="0031348C" w:rsidRPr="006671E1" w:rsidTr="006671E1">
        <w:tc>
          <w:tcPr>
            <w:tcW w:w="64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5"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The next step in this process is to balance the processed commodities by creating production quantities. The standardization of these required production quantities would then be compared to our estimate for the quantity of food processing for the raw suga</w:t>
      </w:r>
      <w:r>
        <w:t>r commodity to ensure we have enough to cover supply/utilization deficits. However, we do not have any trade deficits, nor do we have official production of the main use of raw sugar (recall, however, in the wheat case we had official production of wheat f</w:t>
      </w:r>
      <w:r>
        <w:t>lour). In order to maintain consistency between our "Food Processing" variable and the production of our processed commodities, we allocate the "Food Processing" of raw sugar into Production of refined sugar.</w:t>
      </w:r>
    </w:p>
    <w:tbl>
      <w:tblPr>
        <w:tblW w:w="5261" w:type="pct"/>
        <w:tblLook w:val="04A0"/>
      </w:tblPr>
      <w:tblGrid>
        <w:gridCol w:w="887"/>
        <w:gridCol w:w="979"/>
        <w:gridCol w:w="902"/>
        <w:gridCol w:w="781"/>
        <w:gridCol w:w="1092"/>
        <w:gridCol w:w="902"/>
        <w:gridCol w:w="957"/>
        <w:gridCol w:w="902"/>
        <w:gridCol w:w="541"/>
        <w:gridCol w:w="718"/>
        <w:gridCol w:w="890"/>
        <w:gridCol w:w="525"/>
      </w:tblGrid>
      <w:tr w:rsidR="0031348C" w:rsidRPr="006671E1" w:rsidTr="006671E1">
        <w:tc>
          <w:tcPr>
            <w:tcW w:w="645"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w:t>
            </w:r>
            <w:r w:rsidRPr="006671E1">
              <w:rPr>
                <w:sz w:val="16"/>
              </w:rPr>
              <w:t>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 xml:space="preserve">Food </w:t>
            </w:r>
            <w:r w:rsidRPr="006671E1">
              <w:rPr>
                <w:sz w:val="16"/>
              </w:rPr>
              <w:lastRenderedPageBreak/>
              <w:t>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lastRenderedPageBreak/>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45" w:type="pct"/>
          </w:tcPr>
          <w:p w:rsidR="0031348C" w:rsidRPr="006671E1" w:rsidRDefault="00533604">
            <w:pPr>
              <w:pStyle w:val="Compact"/>
              <w:jc w:val="right"/>
              <w:rPr>
                <w:sz w:val="16"/>
              </w:rPr>
            </w:pPr>
            <w:r w:rsidRPr="006671E1">
              <w:rPr>
                <w:sz w:val="16"/>
              </w:rPr>
              <w:lastRenderedPageBreak/>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b/>
                <w:sz w:val="16"/>
              </w:rPr>
              <w:t>9,012,200</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45"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Some of the SUA lines are not balanced, and this is because we have not allocated utilizations in the case of excess supply. For these commodities, we should allocate the excess trade amount according to the variable which makes the most sense for that par</w:t>
      </w:r>
      <w:r>
        <w:t>ticular commodity (or, multiple variables if we know the split at which a commodity is utilized).</w:t>
      </w:r>
    </w:p>
    <w:tbl>
      <w:tblPr>
        <w:tblW w:w="5261" w:type="pct"/>
        <w:tblLook w:val="04A0"/>
      </w:tblPr>
      <w:tblGrid>
        <w:gridCol w:w="838"/>
        <w:gridCol w:w="979"/>
        <w:gridCol w:w="902"/>
        <w:gridCol w:w="781"/>
        <w:gridCol w:w="1092"/>
        <w:gridCol w:w="1049"/>
        <w:gridCol w:w="957"/>
        <w:gridCol w:w="902"/>
        <w:gridCol w:w="541"/>
        <w:gridCol w:w="718"/>
        <w:gridCol w:w="954"/>
        <w:gridCol w:w="525"/>
      </w:tblGrid>
      <w:tr w:rsidR="0031348C" w:rsidRPr="006671E1" w:rsidTr="006671E1">
        <w:tc>
          <w:tcPr>
            <w:tcW w:w="637" w:type="pct"/>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 Processing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rsidTr="006671E1">
        <w:tc>
          <w:tcPr>
            <w:tcW w:w="637" w:type="pct"/>
          </w:tcPr>
          <w:p w:rsidR="0031348C" w:rsidRPr="006671E1" w:rsidRDefault="00533604">
            <w:pPr>
              <w:pStyle w:val="Compact"/>
              <w:jc w:val="righ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w:t>
            </w:r>
          </w:p>
        </w:tc>
        <w:tc>
          <w:tcPr>
            <w:tcW w:w="0" w:type="auto"/>
          </w:tcPr>
          <w:p w:rsidR="0031348C" w:rsidRPr="006671E1" w:rsidRDefault="00533604">
            <w:pPr>
              <w:pStyle w:val="Compact"/>
              <w:jc w:val="right"/>
              <w:rPr>
                <w:sz w:val="16"/>
              </w:rPr>
            </w:pPr>
            <w:r w:rsidRPr="006671E1">
              <w:rPr>
                <w:sz w:val="16"/>
              </w:rPr>
              <w:t>265,400</w:t>
            </w:r>
          </w:p>
        </w:tc>
        <w:tc>
          <w:tcPr>
            <w:tcW w:w="0" w:type="auto"/>
          </w:tcPr>
          <w:p w:rsidR="0031348C" w:rsidRPr="006671E1" w:rsidRDefault="00533604">
            <w:pPr>
              <w:pStyle w:val="Compact"/>
              <w:jc w:val="right"/>
              <w:rPr>
                <w:sz w:val="16"/>
              </w:rPr>
            </w:pPr>
            <w:r w:rsidRPr="006671E1">
              <w:rPr>
                <w:sz w:val="16"/>
              </w:rPr>
              <w:t>96,200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169,200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10</w:t>
            </w:r>
          </w:p>
        </w:tc>
        <w:tc>
          <w:tcPr>
            <w:tcW w:w="0" w:type="auto"/>
          </w:tcPr>
          <w:p w:rsidR="0031348C" w:rsidRPr="006671E1" w:rsidRDefault="00533604">
            <w:pPr>
              <w:pStyle w:val="Compact"/>
              <w:jc w:val="right"/>
              <w:rPr>
                <w:sz w:val="16"/>
              </w:rPr>
            </w:pPr>
            <w:r w:rsidRPr="006671E1">
              <w:rPr>
                <w:sz w:val="16"/>
              </w:rPr>
              <w:t>194,800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1,513,800</w:t>
            </w:r>
          </w:p>
        </w:tc>
        <w:tc>
          <w:tcPr>
            <w:tcW w:w="0" w:type="auto"/>
          </w:tcPr>
          <w:p w:rsidR="0031348C" w:rsidRPr="006671E1" w:rsidRDefault="00533604">
            <w:pPr>
              <w:pStyle w:val="Compact"/>
              <w:jc w:val="right"/>
              <w:rPr>
                <w:sz w:val="16"/>
              </w:rPr>
            </w:pPr>
            <w:r w:rsidRPr="006671E1">
              <w:rPr>
                <w:sz w:val="16"/>
              </w:rPr>
              <w:t>9,795,900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9,012,200</w:t>
            </w:r>
          </w:p>
        </w:tc>
        <w:tc>
          <w:tcPr>
            <w:tcW w:w="0" w:type="auto"/>
          </w:tcPr>
          <w:p w:rsidR="0031348C" w:rsidRPr="006671E1" w:rsidRDefault="00533604">
            <w:pPr>
              <w:pStyle w:val="Compact"/>
              <w:jc w:val="right"/>
              <w:rPr>
                <w:sz w:val="16"/>
              </w:rPr>
            </w:pPr>
            <w:r w:rsidRPr="006671E1">
              <w:rPr>
                <w:sz w:val="16"/>
              </w:rPr>
              <w:t>1,275,200</w:t>
            </w:r>
          </w:p>
        </w:tc>
        <w:tc>
          <w:tcPr>
            <w:tcW w:w="0" w:type="auto"/>
          </w:tcPr>
          <w:p w:rsidR="0031348C" w:rsidRPr="006671E1" w:rsidRDefault="00533604">
            <w:pPr>
              <w:pStyle w:val="Compact"/>
              <w:jc w:val="right"/>
              <w:rPr>
                <w:sz w:val="16"/>
              </w:rPr>
            </w:pPr>
            <w:r w:rsidRPr="006671E1">
              <w:rPr>
                <w:sz w:val="16"/>
              </w:rPr>
              <w:t>111,200</w:t>
            </w:r>
          </w:p>
        </w:tc>
        <w:tc>
          <w:tcPr>
            <w:tcW w:w="0" w:type="auto"/>
          </w:tcPr>
          <w:p w:rsidR="0031348C" w:rsidRPr="006671E1" w:rsidRDefault="00533604">
            <w:pPr>
              <w:pStyle w:val="Compact"/>
              <w:jc w:val="right"/>
              <w:rPr>
                <w:sz w:val="16"/>
              </w:rPr>
            </w:pPr>
            <w:r w:rsidRPr="006671E1">
              <w:rPr>
                <w:sz w:val="16"/>
              </w:rPr>
              <w:t>79,500</w:t>
            </w:r>
          </w:p>
        </w:tc>
        <w:tc>
          <w:tcPr>
            <w:tcW w:w="0" w:type="auto"/>
          </w:tcPr>
          <w:p w:rsidR="0031348C" w:rsidRPr="006671E1" w:rsidRDefault="00533604">
            <w:pPr>
              <w:pStyle w:val="Compact"/>
              <w:jc w:val="right"/>
              <w:rPr>
                <w:sz w:val="16"/>
              </w:rPr>
            </w:pPr>
            <w:r w:rsidRPr="006671E1">
              <w:rPr>
                <w:b/>
                <w:sz w:val="16"/>
              </w:rPr>
              <w:t>10,100,000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Molasses</w:t>
            </w:r>
          </w:p>
        </w:tc>
        <w:tc>
          <w:tcPr>
            <w:tcW w:w="0" w:type="auto"/>
          </w:tcPr>
          <w:p w:rsidR="0031348C" w:rsidRPr="006671E1" w:rsidRDefault="00533604">
            <w:pPr>
              <w:pStyle w:val="Compact"/>
              <w:jc w:val="right"/>
              <w:rPr>
                <w:sz w:val="16"/>
              </w:rPr>
            </w:pPr>
            <w:r w:rsidRPr="006671E1">
              <w:rPr>
                <w:sz w:val="16"/>
              </w:rPr>
              <w:t>2,284,900</w:t>
            </w:r>
          </w:p>
        </w:tc>
        <w:tc>
          <w:tcPr>
            <w:tcW w:w="0" w:type="auto"/>
          </w:tcPr>
          <w:p w:rsidR="0031348C" w:rsidRPr="006671E1" w:rsidRDefault="00533604">
            <w:pPr>
              <w:pStyle w:val="Compact"/>
              <w:jc w:val="right"/>
              <w:rPr>
                <w:sz w:val="16"/>
              </w:rPr>
            </w:pPr>
            <w:r w:rsidRPr="006671E1">
              <w:rPr>
                <w:sz w:val="16"/>
              </w:rPr>
              <w:t>464,200</w:t>
            </w:r>
          </w:p>
        </w:tc>
        <w:tc>
          <w:tcPr>
            <w:tcW w:w="0" w:type="auto"/>
          </w:tcPr>
          <w:p w:rsidR="0031348C" w:rsidRPr="006671E1" w:rsidRDefault="00533604">
            <w:pPr>
              <w:pStyle w:val="Compact"/>
              <w:jc w:val="right"/>
              <w:rPr>
                <w:sz w:val="16"/>
              </w:rPr>
            </w:pPr>
            <w:r w:rsidRPr="006671E1">
              <w:rPr>
                <w:sz w:val="16"/>
              </w:rPr>
              <w:t>236,500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2,512,500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Beet Pulp</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1,834,200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rsidTr="006671E1">
        <w:tc>
          <w:tcPr>
            <w:tcW w:w="637" w:type="pct"/>
          </w:tcPr>
          <w:p w:rsidR="0031348C" w:rsidRPr="006671E1" w:rsidRDefault="00533604">
            <w:pPr>
              <w:pStyle w:val="Compact"/>
              <w:jc w:val="right"/>
              <w:rPr>
                <w:sz w:val="16"/>
              </w:rPr>
            </w:pPr>
            <w:r w:rsidRPr="006671E1">
              <w:rPr>
                <w:sz w:val="16"/>
              </w:rPr>
              <w:t>Bagasse</w:t>
            </w:r>
          </w:p>
        </w:tc>
        <w:tc>
          <w:tcPr>
            <w:tcW w:w="0" w:type="auto"/>
          </w:tcPr>
          <w:p w:rsidR="0031348C" w:rsidRPr="006671E1" w:rsidRDefault="00533604">
            <w:pPr>
              <w:pStyle w:val="Compact"/>
              <w:jc w:val="right"/>
              <w:rPr>
                <w:sz w:val="16"/>
              </w:rPr>
            </w:pPr>
            <w:r w:rsidRPr="006671E1">
              <w:rPr>
                <w:sz w:val="16"/>
              </w:rPr>
              <w:t>6,183,700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b/>
                <w:sz w:val="16"/>
              </w:rPr>
              <w:t>6,183,700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The next step is to aggregate this full table back into the primary commodity equivalent (in this case raw sugar). We follow the same aggregation/standardization process as outlined in the wheat example. We should note here that molasses, beet pulp, and ba</w:t>
      </w:r>
      <w:r>
        <w:t xml:space="preserve">gasse are standardized to a different primary equivalent in the commodity balances and thus are not considered here. </w:t>
      </w:r>
    </w:p>
    <w:tbl>
      <w:tblPr>
        <w:tblW w:w="0" w:type="pct"/>
        <w:tblLook w:val="04A0"/>
      </w:tblPr>
      <w:tblGrid>
        <w:gridCol w:w="934"/>
        <w:gridCol w:w="979"/>
        <w:gridCol w:w="902"/>
        <w:gridCol w:w="781"/>
        <w:gridCol w:w="1092"/>
        <w:gridCol w:w="991"/>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jc w:val="righ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86,400</w:t>
            </w:r>
          </w:p>
        </w:tc>
        <w:tc>
          <w:tcPr>
            <w:tcW w:w="0" w:type="auto"/>
          </w:tcPr>
          <w:p w:rsidR="0031348C" w:rsidRPr="006671E1" w:rsidRDefault="00533604">
            <w:pPr>
              <w:pStyle w:val="Compact"/>
              <w:jc w:val="right"/>
              <w:rPr>
                <w:sz w:val="16"/>
              </w:rPr>
            </w:pPr>
            <w:r w:rsidRPr="006671E1">
              <w:rPr>
                <w:sz w:val="16"/>
              </w:rPr>
              <w:t>12,670,000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Now, we must balance to satisfy the FBS equation of supply equals utilization. To do this, we need to extract the computed standard deviations of each variable. These standard deviations are determined by the data source (i.e. for official data, a standard</w:t>
      </w:r>
      <w:r>
        <w:t xml:space="preserve"> deviation of 0 is applied. For semi-official data, a higher standard deviation is used; and for estimated quantities an even larger standard deviation is used). In this case, production and trade quantities are official while all other quantities are esti</w:t>
      </w:r>
      <w:r>
        <w:t>mated.</w:t>
      </w:r>
    </w:p>
    <w:tbl>
      <w:tblPr>
        <w:tblW w:w="0" w:type="pct"/>
        <w:tblLook w:val="04A0"/>
      </w:tblPr>
      <w:tblGrid>
        <w:gridCol w:w="1172"/>
        <w:gridCol w:w="979"/>
        <w:gridCol w:w="902"/>
        <w:gridCol w:w="781"/>
        <w:gridCol w:w="1092"/>
        <w:gridCol w:w="991"/>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Variable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rPr>
                <w:sz w:val="16"/>
              </w:rPr>
            </w:pPr>
            <w:r w:rsidRPr="006671E1">
              <w:rPr>
                <w:sz w:val="16"/>
              </w:rPr>
              <w:t>Mean</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86,400</w:t>
            </w:r>
          </w:p>
        </w:tc>
        <w:tc>
          <w:tcPr>
            <w:tcW w:w="0" w:type="auto"/>
          </w:tcPr>
          <w:p w:rsidR="0031348C" w:rsidRPr="006671E1" w:rsidRDefault="00533604">
            <w:pPr>
              <w:pStyle w:val="Compact"/>
              <w:jc w:val="right"/>
              <w:rPr>
                <w:sz w:val="16"/>
              </w:rPr>
            </w:pPr>
            <w:r w:rsidRPr="006671E1">
              <w:rPr>
                <w:sz w:val="16"/>
              </w:rPr>
              <w:t>12,670,000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Standard Dev.</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24,200</w:t>
            </w:r>
          </w:p>
        </w:tc>
        <w:tc>
          <w:tcPr>
            <w:tcW w:w="0" w:type="auto"/>
          </w:tcPr>
          <w:p w:rsidR="0031348C" w:rsidRPr="006671E1" w:rsidRDefault="00533604">
            <w:pPr>
              <w:pStyle w:val="Compact"/>
              <w:jc w:val="right"/>
              <w:rPr>
                <w:sz w:val="16"/>
              </w:rPr>
            </w:pPr>
            <w:r w:rsidRPr="006671E1">
              <w:rPr>
                <w:sz w:val="16"/>
              </w:rPr>
              <w:t>1,203,600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lastRenderedPageBreak/>
        <w:t>After balancing the above tables, we have with the following quantities. Note that the "Food" variable is the variable that receives most of the adjustment because it has a substantially higher variability.</w:t>
      </w:r>
    </w:p>
    <w:tbl>
      <w:tblPr>
        <w:tblW w:w="0" w:type="pct"/>
        <w:tblLook w:val="04A0"/>
      </w:tblPr>
      <w:tblGrid>
        <w:gridCol w:w="1172"/>
        <w:gridCol w:w="979"/>
        <w:gridCol w:w="902"/>
        <w:gridCol w:w="781"/>
        <w:gridCol w:w="1092"/>
        <w:gridCol w:w="902"/>
        <w:gridCol w:w="547"/>
        <w:gridCol w:w="541"/>
        <w:gridCol w:w="718"/>
        <w:gridCol w:w="890"/>
        <w:gridCol w:w="525"/>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Variable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Production</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Imports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Exports</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StockChange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Food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Seed</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Tourist</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Industrial</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Loss</w:t>
            </w:r>
          </w:p>
        </w:tc>
      </w:tr>
      <w:tr w:rsidR="0031348C" w:rsidRPr="006671E1">
        <w:tc>
          <w:tcPr>
            <w:tcW w:w="0" w:type="auto"/>
          </w:tcPr>
          <w:p w:rsidR="0031348C" w:rsidRPr="006671E1" w:rsidRDefault="00533604">
            <w:pPr>
              <w:pStyle w:val="Compact"/>
              <w:rPr>
                <w:sz w:val="16"/>
              </w:rPr>
            </w:pPr>
            <w:r w:rsidRPr="006671E1">
              <w:rPr>
                <w:sz w:val="16"/>
              </w:rPr>
              <w:t>Mean</w:t>
            </w:r>
          </w:p>
        </w:tc>
        <w:tc>
          <w:tcPr>
            <w:tcW w:w="0" w:type="auto"/>
          </w:tcPr>
          <w:p w:rsidR="0031348C" w:rsidRPr="006671E1" w:rsidRDefault="00533604">
            <w:pPr>
              <w:pStyle w:val="Compact"/>
              <w:jc w:val="right"/>
              <w:rPr>
                <w:sz w:val="16"/>
              </w:rPr>
            </w:pPr>
            <w:r w:rsidRPr="006671E1">
              <w:rPr>
                <w:sz w:val="16"/>
              </w:rPr>
              <w:t>6,389,200</w:t>
            </w:r>
          </w:p>
        </w:tc>
        <w:tc>
          <w:tcPr>
            <w:tcW w:w="0" w:type="auto"/>
          </w:tcPr>
          <w:p w:rsidR="0031348C" w:rsidRPr="006671E1" w:rsidRDefault="00533604">
            <w:pPr>
              <w:pStyle w:val="Compact"/>
              <w:jc w:val="right"/>
              <w:rPr>
                <w:sz w:val="16"/>
              </w:rPr>
            </w:pPr>
            <w:r w:rsidRPr="006671E1">
              <w:rPr>
                <w:sz w:val="16"/>
              </w:rPr>
              <w:t>1,674,600</w:t>
            </w:r>
          </w:p>
        </w:tc>
        <w:tc>
          <w:tcPr>
            <w:tcW w:w="0" w:type="auto"/>
          </w:tcPr>
          <w:p w:rsidR="0031348C" w:rsidRPr="006671E1" w:rsidRDefault="00533604">
            <w:pPr>
              <w:pStyle w:val="Compact"/>
              <w:jc w:val="right"/>
              <w:rPr>
                <w:sz w:val="16"/>
              </w:rPr>
            </w:pPr>
            <w:r w:rsidRPr="006671E1">
              <w:rPr>
                <w:sz w:val="16"/>
              </w:rPr>
              <w:t>420,200</w:t>
            </w:r>
          </w:p>
        </w:tc>
        <w:tc>
          <w:tcPr>
            <w:tcW w:w="0" w:type="auto"/>
          </w:tcPr>
          <w:p w:rsidR="0031348C" w:rsidRPr="006671E1" w:rsidRDefault="00533604">
            <w:pPr>
              <w:pStyle w:val="Compact"/>
              <w:jc w:val="right"/>
              <w:rPr>
                <w:sz w:val="16"/>
              </w:rPr>
            </w:pPr>
            <w:r w:rsidRPr="006671E1">
              <w:rPr>
                <w:sz w:val="16"/>
              </w:rPr>
              <w:t>84,300</w:t>
            </w:r>
          </w:p>
        </w:tc>
        <w:tc>
          <w:tcPr>
            <w:tcW w:w="0" w:type="auto"/>
          </w:tcPr>
          <w:p w:rsidR="0031348C" w:rsidRPr="006671E1" w:rsidRDefault="00533604">
            <w:pPr>
              <w:pStyle w:val="Compact"/>
              <w:jc w:val="right"/>
              <w:rPr>
                <w:sz w:val="16"/>
              </w:rPr>
            </w:pPr>
            <w:r w:rsidRPr="006671E1">
              <w:rPr>
                <w:sz w:val="16"/>
              </w:rPr>
              <w:t>7,562,500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-3,300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Standard Dev.</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24,200</w:t>
            </w:r>
          </w:p>
        </w:tc>
        <w:tc>
          <w:tcPr>
            <w:tcW w:w="0" w:type="auto"/>
          </w:tcPr>
          <w:p w:rsidR="0031348C" w:rsidRPr="006671E1" w:rsidRDefault="00533604">
            <w:pPr>
              <w:pStyle w:val="Compact"/>
              <w:jc w:val="right"/>
              <w:rPr>
                <w:sz w:val="16"/>
              </w:rPr>
            </w:pPr>
            <w:r w:rsidRPr="006671E1">
              <w:rPr>
                <w:sz w:val="16"/>
              </w:rPr>
              <w:t>1,203,600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-3,200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After balancing, some quantities are updated (and some remain unchanged, if they have a standard deviation of zero). In the example of wheat, the aggregated table was placed directly into the food balance sheet. In this case, sugar is not a commodity at th</w:t>
      </w:r>
      <w:r>
        <w:t>e FBS level; instead, it is reported under "Sugar &amp; Sweeteners". Thus, balances must also be performed for the other commodities (i.e. honey and artificial sweeteners) and added to this balance to create the final FBS row.</w:t>
      </w:r>
    </w:p>
    <w:p w:rsidR="0031348C" w:rsidRDefault="00533604">
      <w:r>
        <w:t>We can now calculate the calorie,</w:t>
      </w:r>
      <w:r>
        <w:t xml:space="preserve"> fat, and protein content. We do this by applying the calorie/fat/protein content nutritive factors to all SUA items with a non-zero food quantity. However, note that our food quantity for the standardized commodity was adjusted down. In order to ensure co</w:t>
      </w:r>
      <w:r>
        <w:t>nsistency, we must adjust all our SUA food quantities by the same percentage. As with the wheat example, note that a GJ is a measure of energy equal to a billion joules, or roughly 239,000 Calories; also, a Mg is one million grams.</w:t>
      </w:r>
    </w:p>
    <w:tbl>
      <w:tblPr>
        <w:tblW w:w="0" w:type="pct"/>
        <w:tblLook w:val="04A0"/>
      </w:tblPr>
      <w:tblGrid>
        <w:gridCol w:w="1424"/>
        <w:gridCol w:w="902"/>
        <w:gridCol w:w="1111"/>
        <w:gridCol w:w="1080"/>
        <w:gridCol w:w="790"/>
        <w:gridCol w:w="1332"/>
        <w:gridCol w:w="1417"/>
        <w:gridCol w:w="1128"/>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Name</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Quantity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kJ Energy/kg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Protein/kg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Fat/kg</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Energy (GJ/day)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Protein (Mg/day)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Fat (Mg/day)</w:t>
            </w:r>
          </w:p>
        </w:tc>
      </w:tr>
      <w:tr w:rsidR="0031348C" w:rsidRPr="006671E1">
        <w:tc>
          <w:tcPr>
            <w:tcW w:w="0" w:type="auto"/>
          </w:tcPr>
          <w:p w:rsidR="0031348C" w:rsidRPr="006671E1" w:rsidRDefault="00533604">
            <w:pPr>
              <w:pStyle w:val="Compact"/>
              <w:rPr>
                <w:sz w:val="16"/>
              </w:rPr>
            </w:pPr>
            <w:r w:rsidRPr="006671E1">
              <w:rPr>
                <w:sz w:val="16"/>
              </w:rPr>
              <w:t>Sugar and Syrups</w:t>
            </w:r>
          </w:p>
        </w:tc>
        <w:tc>
          <w:tcPr>
            <w:tcW w:w="0" w:type="auto"/>
          </w:tcPr>
          <w:p w:rsidR="0031348C" w:rsidRPr="006671E1" w:rsidRDefault="00533604">
            <w:pPr>
              <w:pStyle w:val="Compact"/>
              <w:jc w:val="right"/>
              <w:rPr>
                <w:sz w:val="16"/>
              </w:rPr>
            </w:pPr>
            <w:r w:rsidRPr="006671E1">
              <w:rPr>
                <w:sz w:val="16"/>
              </w:rPr>
              <w:t>101,000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r w:rsidR="0031348C" w:rsidRPr="006671E1">
        <w:tc>
          <w:tcPr>
            <w:tcW w:w="0" w:type="auto"/>
          </w:tcPr>
          <w:p w:rsidR="0031348C" w:rsidRPr="006671E1" w:rsidRDefault="00533604">
            <w:pPr>
              <w:pStyle w:val="Compact"/>
              <w:rPr>
                <w:sz w:val="16"/>
              </w:rPr>
            </w:pPr>
            <w:r w:rsidRPr="006671E1">
              <w:rPr>
                <w:sz w:val="16"/>
              </w:rPr>
              <w:t>Raw sugar</w:t>
            </w:r>
          </w:p>
        </w:tc>
        <w:tc>
          <w:tcPr>
            <w:tcW w:w="0" w:type="auto"/>
          </w:tcPr>
          <w:p w:rsidR="0031348C" w:rsidRPr="006671E1" w:rsidRDefault="00533604">
            <w:pPr>
              <w:pStyle w:val="Compact"/>
              <w:jc w:val="right"/>
              <w:rPr>
                <w:sz w:val="16"/>
              </w:rPr>
            </w:pPr>
            <w:r w:rsidRPr="006671E1">
              <w:rPr>
                <w:sz w:val="16"/>
              </w:rPr>
              <w:t>903,600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r w:rsidR="0031348C" w:rsidRPr="006671E1">
        <w:tc>
          <w:tcPr>
            <w:tcW w:w="0" w:type="auto"/>
          </w:tcPr>
          <w:p w:rsidR="0031348C" w:rsidRPr="006671E1" w:rsidRDefault="00533604">
            <w:pPr>
              <w:pStyle w:val="Compact"/>
              <w:rPr>
                <w:sz w:val="16"/>
              </w:rPr>
            </w:pPr>
            <w:r w:rsidRPr="006671E1">
              <w:rPr>
                <w:sz w:val="16"/>
              </w:rPr>
              <w:t>Refined sugar</w:t>
            </w:r>
          </w:p>
        </w:tc>
        <w:tc>
          <w:tcPr>
            <w:tcW w:w="0" w:type="auto"/>
          </w:tcPr>
          <w:p w:rsidR="0031348C" w:rsidRPr="006671E1" w:rsidRDefault="00533604">
            <w:pPr>
              <w:pStyle w:val="Compact"/>
              <w:jc w:val="right"/>
              <w:rPr>
                <w:sz w:val="16"/>
              </w:rPr>
            </w:pPr>
            <w:r w:rsidRPr="006671E1">
              <w:rPr>
                <w:sz w:val="16"/>
              </w:rPr>
              <w:t>6,026,600</w:t>
            </w:r>
          </w:p>
        </w:tc>
        <w:tc>
          <w:tcPr>
            <w:tcW w:w="0" w:type="auto"/>
          </w:tcPr>
          <w:p w:rsidR="0031348C" w:rsidRPr="006671E1" w:rsidRDefault="00533604">
            <w:pPr>
              <w:pStyle w:val="Compact"/>
              <w:jc w:val="right"/>
              <w:rPr>
                <w:sz w:val="16"/>
              </w:rPr>
            </w:pPr>
            <w:r w:rsidRPr="006671E1">
              <w:rPr>
                <w:sz w:val="16"/>
              </w:rPr>
              <w:t>17,000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280,600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r w:rsidR="0031348C" w:rsidRPr="006671E1">
        <w:tc>
          <w:tcPr>
            <w:tcW w:w="0" w:type="auto"/>
          </w:tcPr>
          <w:p w:rsidR="0031348C" w:rsidRPr="006671E1" w:rsidRDefault="00533604">
            <w:pPr>
              <w:pStyle w:val="Compact"/>
              <w:rPr>
                <w:sz w:val="16"/>
              </w:rPr>
            </w:pPr>
            <w:r w:rsidRPr="006671E1">
              <w:rPr>
                <w:sz w:val="16"/>
              </w:rPr>
              <w:t>Caloric beverages</w:t>
            </w:r>
          </w:p>
        </w:tc>
        <w:tc>
          <w:tcPr>
            <w:tcW w:w="0" w:type="auto"/>
          </w:tcPr>
          <w:p w:rsidR="0031348C" w:rsidRPr="006671E1" w:rsidRDefault="00533604">
            <w:pPr>
              <w:pStyle w:val="Compact"/>
              <w:jc w:val="right"/>
              <w:rPr>
                <w:sz w:val="16"/>
              </w:rPr>
            </w:pPr>
            <w:r w:rsidRPr="006671E1">
              <w:rPr>
                <w:sz w:val="16"/>
              </w:rPr>
              <w:t>142,200</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c>
          <w:tcPr>
            <w:tcW w:w="0" w:type="auto"/>
          </w:tcPr>
          <w:p w:rsidR="0031348C" w:rsidRPr="006671E1" w:rsidRDefault="00533604">
            <w:pPr>
              <w:pStyle w:val="Compact"/>
              <w:jc w:val="right"/>
              <w:rPr>
                <w:sz w:val="16"/>
              </w:rPr>
            </w:pPr>
            <w:r w:rsidRPr="006671E1">
              <w:rPr>
                <w:sz w:val="16"/>
              </w:rPr>
              <w:t>NA</w:t>
            </w:r>
          </w:p>
        </w:tc>
      </w:tr>
    </w:tbl>
    <w:p w:rsidR="0031348C" w:rsidRDefault="00533604">
      <w:r>
        <w:t>Standardization of nutrients is now a simple last step: all the variables here (i.e. calories, fats, and proteins) are purely additive, so the standardized calories/fats/proteins are simply the sum of the total calories/fats/proteins for each commodity:</w:t>
      </w:r>
    </w:p>
    <w:tbl>
      <w:tblPr>
        <w:tblW w:w="0" w:type="pct"/>
        <w:tblLook w:val="04A0"/>
      </w:tblPr>
      <w:tblGrid>
        <w:gridCol w:w="1011"/>
        <w:gridCol w:w="1332"/>
        <w:gridCol w:w="1417"/>
        <w:gridCol w:w="1128"/>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Co</w:t>
            </w:r>
            <w:r w:rsidRPr="006671E1">
              <w:rPr>
                <w:sz w:val="16"/>
              </w:rPr>
              <w:t>mmodity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Energy (GJ/day)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Protein (Mg/day)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Fat (Mg/day)</w:t>
            </w:r>
          </w:p>
        </w:tc>
      </w:tr>
      <w:tr w:rsidR="0031348C" w:rsidRPr="006671E1">
        <w:tc>
          <w:tcPr>
            <w:tcW w:w="0" w:type="auto"/>
          </w:tcPr>
          <w:p w:rsidR="0031348C" w:rsidRPr="006671E1" w:rsidRDefault="00533604">
            <w:pPr>
              <w:pStyle w:val="Compact"/>
              <w:rPr>
                <w:sz w:val="16"/>
              </w:rPr>
            </w:pPr>
            <w:r w:rsidRPr="006671E1">
              <w:rPr>
                <w:sz w:val="16"/>
              </w:rPr>
              <w:t>Sugar</w:t>
            </w:r>
          </w:p>
        </w:tc>
        <w:tc>
          <w:tcPr>
            <w:tcW w:w="0" w:type="auto"/>
          </w:tcPr>
          <w:p w:rsidR="0031348C" w:rsidRPr="006671E1" w:rsidRDefault="00533604">
            <w:pPr>
              <w:pStyle w:val="Compact"/>
              <w:jc w:val="right"/>
              <w:rPr>
                <w:sz w:val="16"/>
              </w:rPr>
            </w:pPr>
            <w:r w:rsidRPr="006671E1">
              <w:rPr>
                <w:sz w:val="16"/>
              </w:rPr>
              <w:t>280,600</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31348C" w:rsidRDefault="00533604">
      <w:r>
        <w:t>To convert these figures into something more meaningful, we may divide by the population of the country. If we assume this country has 600 million inhabitants, we have:</w:t>
      </w:r>
    </w:p>
    <w:tbl>
      <w:tblPr>
        <w:tblW w:w="0" w:type="pct"/>
        <w:tblLook w:val="04A0"/>
      </w:tblPr>
      <w:tblGrid>
        <w:gridCol w:w="1011"/>
        <w:gridCol w:w="1651"/>
        <w:gridCol w:w="1719"/>
        <w:gridCol w:w="1429"/>
      </w:tblGrid>
      <w:tr w:rsidR="0031348C" w:rsidRPr="006671E1">
        <w:tc>
          <w:tcPr>
            <w:tcW w:w="0" w:type="auto"/>
            <w:tcBorders>
              <w:bottom w:val="single" w:sz="0" w:space="0" w:color="auto"/>
            </w:tcBorders>
            <w:vAlign w:val="bottom"/>
          </w:tcPr>
          <w:p w:rsidR="0031348C" w:rsidRPr="006671E1" w:rsidRDefault="00533604">
            <w:pPr>
              <w:pStyle w:val="Compact"/>
              <w:rPr>
                <w:sz w:val="16"/>
              </w:rPr>
            </w:pPr>
            <w:r w:rsidRPr="006671E1">
              <w:rPr>
                <w:sz w:val="16"/>
              </w:rPr>
              <w:t>Commodity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Calories/person/day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Protein/person/day</w:t>
            </w:r>
          </w:p>
        </w:tc>
        <w:tc>
          <w:tcPr>
            <w:tcW w:w="0" w:type="auto"/>
            <w:tcBorders>
              <w:bottom w:val="single" w:sz="0" w:space="0" w:color="auto"/>
            </w:tcBorders>
            <w:vAlign w:val="bottom"/>
          </w:tcPr>
          <w:p w:rsidR="0031348C" w:rsidRPr="006671E1" w:rsidRDefault="00533604">
            <w:pPr>
              <w:pStyle w:val="Compact"/>
              <w:jc w:val="right"/>
              <w:rPr>
                <w:sz w:val="16"/>
              </w:rPr>
            </w:pPr>
            <w:r w:rsidRPr="006671E1">
              <w:rPr>
                <w:sz w:val="16"/>
              </w:rPr>
              <w:t>g Fat/person/day</w:t>
            </w:r>
          </w:p>
        </w:tc>
      </w:tr>
      <w:tr w:rsidR="0031348C" w:rsidRPr="006671E1">
        <w:tc>
          <w:tcPr>
            <w:tcW w:w="0" w:type="auto"/>
          </w:tcPr>
          <w:p w:rsidR="0031348C" w:rsidRPr="006671E1" w:rsidRDefault="00533604">
            <w:pPr>
              <w:pStyle w:val="Compact"/>
              <w:rPr>
                <w:sz w:val="16"/>
              </w:rPr>
            </w:pPr>
            <w:r w:rsidRPr="006671E1">
              <w:rPr>
                <w:sz w:val="16"/>
              </w:rPr>
              <w:t>Sugar</w:t>
            </w:r>
          </w:p>
        </w:tc>
        <w:tc>
          <w:tcPr>
            <w:tcW w:w="0" w:type="auto"/>
          </w:tcPr>
          <w:p w:rsidR="0031348C" w:rsidRPr="006671E1" w:rsidRDefault="00533604">
            <w:pPr>
              <w:pStyle w:val="Compact"/>
              <w:jc w:val="right"/>
              <w:rPr>
                <w:sz w:val="16"/>
              </w:rPr>
            </w:pPr>
            <w:r w:rsidRPr="006671E1">
              <w:rPr>
                <w:sz w:val="16"/>
              </w:rPr>
              <w:t>112</w:t>
            </w:r>
          </w:p>
        </w:tc>
        <w:tc>
          <w:tcPr>
            <w:tcW w:w="0" w:type="auto"/>
          </w:tcPr>
          <w:p w:rsidR="0031348C" w:rsidRPr="006671E1" w:rsidRDefault="00533604">
            <w:pPr>
              <w:pStyle w:val="Compact"/>
              <w:jc w:val="right"/>
              <w:rPr>
                <w:sz w:val="16"/>
              </w:rPr>
            </w:pPr>
            <w:r w:rsidRPr="006671E1">
              <w:rPr>
                <w:sz w:val="16"/>
              </w:rPr>
              <w:t>0</w:t>
            </w:r>
          </w:p>
        </w:tc>
        <w:tc>
          <w:tcPr>
            <w:tcW w:w="0" w:type="auto"/>
          </w:tcPr>
          <w:p w:rsidR="0031348C" w:rsidRPr="006671E1" w:rsidRDefault="00533604">
            <w:pPr>
              <w:pStyle w:val="Compact"/>
              <w:jc w:val="right"/>
              <w:rPr>
                <w:sz w:val="16"/>
              </w:rPr>
            </w:pPr>
            <w:r w:rsidRPr="006671E1">
              <w:rPr>
                <w:sz w:val="16"/>
              </w:rPr>
              <w:t>0</w:t>
            </w:r>
          </w:p>
        </w:tc>
      </w:tr>
    </w:tbl>
    <w:p w:rsidR="00533604" w:rsidRDefault="00533604"/>
    <w:sectPr w:rsidR="00533604" w:rsidSect="0031348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3320C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09FC87"/>
    <w:multiLevelType w:val="multilevel"/>
    <w:tmpl w:val="0EB48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31348C"/>
    <w:rsid w:val="004E29B3"/>
    <w:rsid w:val="00533604"/>
    <w:rsid w:val="00590D07"/>
    <w:rsid w:val="006671E1"/>
    <w:rsid w:val="00784D58"/>
    <w:rsid w:val="008D6863"/>
    <w:rsid w:val="00B86B75"/>
    <w:rsid w:val="00BC48D5"/>
    <w:rsid w:val="00C36279"/>
    <w:rsid w:val="00E315A3"/>
    <w:rsid w:val="00F316D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1348C"/>
    <w:pPr>
      <w:spacing w:before="180" w:after="180"/>
    </w:pPr>
  </w:style>
  <w:style w:type="paragraph" w:styleId="Heading1">
    <w:name w:val="heading 1"/>
    <w:basedOn w:val="Normal"/>
    <w:next w:val="Normal"/>
    <w:uiPriority w:val="9"/>
    <w:qFormat/>
    <w:rsid w:val="003134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134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134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134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134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1348C"/>
    <w:pPr>
      <w:spacing w:before="36" w:after="36"/>
    </w:pPr>
  </w:style>
  <w:style w:type="paragraph" w:styleId="Title">
    <w:name w:val="Title"/>
    <w:basedOn w:val="Normal"/>
    <w:next w:val="Normal"/>
    <w:qFormat/>
    <w:rsid w:val="003134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1348C"/>
    <w:pPr>
      <w:spacing w:before="240"/>
    </w:pPr>
    <w:rPr>
      <w:sz w:val="30"/>
      <w:szCs w:val="30"/>
    </w:rPr>
  </w:style>
  <w:style w:type="paragraph" w:customStyle="1" w:styleId="Author">
    <w:name w:val="Author"/>
    <w:next w:val="Normal"/>
    <w:qFormat/>
    <w:rsid w:val="0031348C"/>
    <w:pPr>
      <w:keepNext/>
      <w:keepLines/>
      <w:jc w:val="center"/>
    </w:pPr>
  </w:style>
  <w:style w:type="paragraph" w:styleId="Date">
    <w:name w:val="Date"/>
    <w:next w:val="Normal"/>
    <w:qFormat/>
    <w:rsid w:val="0031348C"/>
    <w:pPr>
      <w:keepNext/>
      <w:keepLines/>
      <w:jc w:val="center"/>
    </w:pPr>
  </w:style>
  <w:style w:type="paragraph" w:customStyle="1" w:styleId="Abstract">
    <w:name w:val="Abstract"/>
    <w:basedOn w:val="Normal"/>
    <w:next w:val="Normal"/>
    <w:qFormat/>
    <w:rsid w:val="0031348C"/>
    <w:pPr>
      <w:keepNext/>
      <w:keepLines/>
      <w:spacing w:before="300" w:after="300"/>
    </w:pPr>
    <w:rPr>
      <w:sz w:val="20"/>
      <w:szCs w:val="20"/>
    </w:rPr>
  </w:style>
  <w:style w:type="paragraph" w:styleId="Bibliography">
    <w:name w:val="Bibliography"/>
    <w:basedOn w:val="Normal"/>
    <w:qFormat/>
    <w:rsid w:val="0031348C"/>
  </w:style>
  <w:style w:type="paragraph" w:customStyle="1" w:styleId="BlockQuote">
    <w:name w:val="Block Quote"/>
    <w:basedOn w:val="Normal"/>
    <w:next w:val="Normal"/>
    <w:uiPriority w:val="9"/>
    <w:unhideWhenUsed/>
    <w:qFormat/>
    <w:rsid w:val="003134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348C"/>
  </w:style>
  <w:style w:type="paragraph" w:customStyle="1" w:styleId="DefinitionTerm">
    <w:name w:val="Definition Term"/>
    <w:basedOn w:val="Normal"/>
    <w:next w:val="Definition"/>
    <w:rsid w:val="0031348C"/>
    <w:pPr>
      <w:keepNext/>
      <w:keepLines/>
      <w:spacing w:after="0"/>
    </w:pPr>
    <w:rPr>
      <w:b/>
    </w:rPr>
  </w:style>
  <w:style w:type="paragraph" w:customStyle="1" w:styleId="Definition">
    <w:name w:val="Definition"/>
    <w:basedOn w:val="Normal"/>
    <w:rsid w:val="0031348C"/>
  </w:style>
  <w:style w:type="paragraph" w:styleId="BodyText">
    <w:name w:val="Body Text"/>
    <w:basedOn w:val="Normal"/>
    <w:link w:val="BodyTextChar"/>
    <w:rsid w:val="0031348C"/>
    <w:pPr>
      <w:spacing w:after="120"/>
    </w:pPr>
  </w:style>
  <w:style w:type="paragraph" w:customStyle="1" w:styleId="TableCaption">
    <w:name w:val="Table Caption"/>
    <w:basedOn w:val="Normal"/>
    <w:link w:val="BodyTextChar"/>
    <w:rsid w:val="0031348C"/>
    <w:pPr>
      <w:spacing w:before="0" w:after="120"/>
    </w:pPr>
    <w:rPr>
      <w:i/>
    </w:rPr>
  </w:style>
  <w:style w:type="paragraph" w:customStyle="1" w:styleId="ImageCaption">
    <w:name w:val="Image Caption"/>
    <w:basedOn w:val="Normal"/>
    <w:link w:val="BodyTextChar"/>
    <w:rsid w:val="0031348C"/>
    <w:pPr>
      <w:spacing w:before="0" w:after="120"/>
    </w:pPr>
    <w:rPr>
      <w:i/>
    </w:rPr>
  </w:style>
  <w:style w:type="character" w:customStyle="1" w:styleId="BodyTextChar">
    <w:name w:val="Body Text Char"/>
    <w:basedOn w:val="DefaultParagraphFont"/>
    <w:link w:val="ImageCaption"/>
    <w:rsid w:val="0031348C"/>
  </w:style>
  <w:style w:type="character" w:customStyle="1" w:styleId="VerbatimChar">
    <w:name w:val="Verbatim Char"/>
    <w:basedOn w:val="BodyTextChar"/>
    <w:link w:val="SourceCode"/>
    <w:rsid w:val="0031348C"/>
    <w:rPr>
      <w:rFonts w:ascii="Consolas" w:hAnsi="Consolas"/>
      <w:sz w:val="22"/>
    </w:rPr>
  </w:style>
  <w:style w:type="character" w:customStyle="1" w:styleId="FootnoteRef">
    <w:name w:val="Footnote Ref"/>
    <w:basedOn w:val="BodyTextChar"/>
    <w:rsid w:val="0031348C"/>
    <w:rPr>
      <w:vertAlign w:val="superscript"/>
    </w:rPr>
  </w:style>
  <w:style w:type="character" w:customStyle="1" w:styleId="Link">
    <w:name w:val="Link"/>
    <w:basedOn w:val="BodyTextChar"/>
    <w:rsid w:val="0031348C"/>
    <w:rPr>
      <w:color w:val="4F81BD" w:themeColor="accent1"/>
    </w:rPr>
  </w:style>
  <w:style w:type="paragraph" w:customStyle="1" w:styleId="SourceCode0">
    <w:name w:val="Source Code"/>
    <w:basedOn w:val="Normal"/>
    <w:link w:val="VerbatimChar"/>
    <w:rsid w:val="0031348C"/>
    <w:pPr>
      <w:wordWrap w:val="0"/>
    </w:pPr>
  </w:style>
  <w:style w:type="character" w:customStyle="1" w:styleId="KeywordTok">
    <w:name w:val="KeywordTok"/>
    <w:basedOn w:val="VerbatimChar"/>
    <w:rsid w:val="0031348C"/>
    <w:rPr>
      <w:b/>
      <w:color w:val="007020"/>
    </w:rPr>
  </w:style>
  <w:style w:type="character" w:customStyle="1" w:styleId="DataTypeTok">
    <w:name w:val="DataTypeTok"/>
    <w:basedOn w:val="VerbatimChar"/>
    <w:rsid w:val="0031348C"/>
    <w:rPr>
      <w:color w:val="902000"/>
    </w:rPr>
  </w:style>
  <w:style w:type="character" w:customStyle="1" w:styleId="DecValTok">
    <w:name w:val="DecValTok"/>
    <w:basedOn w:val="VerbatimChar"/>
    <w:rsid w:val="0031348C"/>
    <w:rPr>
      <w:color w:val="40A070"/>
    </w:rPr>
  </w:style>
  <w:style w:type="character" w:customStyle="1" w:styleId="BaseNTok">
    <w:name w:val="BaseNTok"/>
    <w:basedOn w:val="VerbatimChar"/>
    <w:rsid w:val="0031348C"/>
    <w:rPr>
      <w:color w:val="40A070"/>
    </w:rPr>
  </w:style>
  <w:style w:type="character" w:customStyle="1" w:styleId="FloatTok">
    <w:name w:val="FloatTok"/>
    <w:basedOn w:val="VerbatimChar"/>
    <w:rsid w:val="0031348C"/>
    <w:rPr>
      <w:color w:val="40A070"/>
    </w:rPr>
  </w:style>
  <w:style w:type="character" w:customStyle="1" w:styleId="CharTok">
    <w:name w:val="CharTok"/>
    <w:basedOn w:val="VerbatimChar"/>
    <w:rsid w:val="0031348C"/>
    <w:rPr>
      <w:color w:val="4070A0"/>
    </w:rPr>
  </w:style>
  <w:style w:type="character" w:customStyle="1" w:styleId="StringTok">
    <w:name w:val="StringTok"/>
    <w:basedOn w:val="VerbatimChar"/>
    <w:rsid w:val="0031348C"/>
    <w:rPr>
      <w:color w:val="4070A0"/>
    </w:rPr>
  </w:style>
  <w:style w:type="character" w:customStyle="1" w:styleId="CommentTok">
    <w:name w:val="CommentTok"/>
    <w:basedOn w:val="VerbatimChar"/>
    <w:rsid w:val="0031348C"/>
    <w:rPr>
      <w:i/>
      <w:color w:val="60A0B0"/>
    </w:rPr>
  </w:style>
  <w:style w:type="character" w:customStyle="1" w:styleId="OtherTok">
    <w:name w:val="OtherTok"/>
    <w:basedOn w:val="VerbatimChar"/>
    <w:rsid w:val="0031348C"/>
    <w:rPr>
      <w:color w:val="007020"/>
    </w:rPr>
  </w:style>
  <w:style w:type="character" w:customStyle="1" w:styleId="AlertTok">
    <w:name w:val="AlertTok"/>
    <w:basedOn w:val="VerbatimChar"/>
    <w:rsid w:val="0031348C"/>
    <w:rPr>
      <w:b/>
      <w:color w:val="FF0000"/>
    </w:rPr>
  </w:style>
  <w:style w:type="character" w:customStyle="1" w:styleId="FunctionTok">
    <w:name w:val="FunctionTok"/>
    <w:basedOn w:val="VerbatimChar"/>
    <w:rsid w:val="0031348C"/>
    <w:rPr>
      <w:color w:val="06287E"/>
    </w:rPr>
  </w:style>
  <w:style w:type="character" w:customStyle="1" w:styleId="RegionMarkerTok">
    <w:name w:val="RegionMarkerTok"/>
    <w:basedOn w:val="VerbatimChar"/>
    <w:rsid w:val="0031348C"/>
  </w:style>
  <w:style w:type="character" w:customStyle="1" w:styleId="ErrorTok">
    <w:name w:val="ErrorTok"/>
    <w:basedOn w:val="VerbatimChar"/>
    <w:rsid w:val="0031348C"/>
    <w:rPr>
      <w:b/>
      <w:color w:val="FF0000"/>
    </w:rPr>
  </w:style>
  <w:style w:type="character" w:customStyle="1" w:styleId="NormalTok">
    <w:name w:val="NormalTok"/>
    <w:basedOn w:val="VerbatimChar"/>
    <w:rsid w:val="0031348C"/>
  </w:style>
  <w:style w:type="paragraph" w:customStyle="1" w:styleId="SourceCode">
    <w:name w:val="Source Code"/>
    <w:basedOn w:val="Normal"/>
    <w:link w:val="VerbatimChar"/>
    <w:rsid w:val="0031348C"/>
    <w:pPr>
      <w:shd w:val="clear" w:color="auto" w:fill="F8F8F8"/>
      <w:wordWrap w:val="0"/>
    </w:pPr>
  </w:style>
  <w:style w:type="character" w:customStyle="1" w:styleId="KeywordTok0">
    <w:name w:val="KeywordTok"/>
    <w:basedOn w:val="VerbatimChar"/>
    <w:rsid w:val="0031348C"/>
    <w:rPr>
      <w:b/>
      <w:color w:val="204A87"/>
      <w:shd w:val="clear" w:color="auto" w:fill="F8F8F8"/>
    </w:rPr>
  </w:style>
  <w:style w:type="character" w:customStyle="1" w:styleId="DataTypeTok0">
    <w:name w:val="DataTypeTok"/>
    <w:basedOn w:val="VerbatimChar"/>
    <w:rsid w:val="0031348C"/>
    <w:rPr>
      <w:color w:val="204A87"/>
      <w:shd w:val="clear" w:color="auto" w:fill="F8F8F8"/>
    </w:rPr>
  </w:style>
  <w:style w:type="character" w:customStyle="1" w:styleId="DecValTok0">
    <w:name w:val="DecValTok"/>
    <w:basedOn w:val="VerbatimChar"/>
    <w:rsid w:val="0031348C"/>
    <w:rPr>
      <w:color w:val="0000CF"/>
      <w:shd w:val="clear" w:color="auto" w:fill="F8F8F8"/>
    </w:rPr>
  </w:style>
  <w:style w:type="character" w:customStyle="1" w:styleId="BaseNTok0">
    <w:name w:val="BaseNTok"/>
    <w:basedOn w:val="VerbatimChar"/>
    <w:rsid w:val="0031348C"/>
    <w:rPr>
      <w:color w:val="0000CF"/>
      <w:shd w:val="clear" w:color="auto" w:fill="F8F8F8"/>
    </w:rPr>
  </w:style>
  <w:style w:type="character" w:customStyle="1" w:styleId="FloatTok0">
    <w:name w:val="FloatTok"/>
    <w:basedOn w:val="VerbatimChar"/>
    <w:rsid w:val="0031348C"/>
    <w:rPr>
      <w:color w:val="0000CF"/>
      <w:shd w:val="clear" w:color="auto" w:fill="F8F8F8"/>
    </w:rPr>
  </w:style>
  <w:style w:type="character" w:customStyle="1" w:styleId="CharTok0">
    <w:name w:val="CharTok"/>
    <w:basedOn w:val="VerbatimChar"/>
    <w:rsid w:val="0031348C"/>
    <w:rPr>
      <w:color w:val="4E9A06"/>
      <w:shd w:val="clear" w:color="auto" w:fill="F8F8F8"/>
    </w:rPr>
  </w:style>
  <w:style w:type="character" w:customStyle="1" w:styleId="StringTok0">
    <w:name w:val="StringTok"/>
    <w:basedOn w:val="VerbatimChar"/>
    <w:rsid w:val="0031348C"/>
    <w:rPr>
      <w:color w:val="4E9A06"/>
      <w:shd w:val="clear" w:color="auto" w:fill="F8F8F8"/>
    </w:rPr>
  </w:style>
  <w:style w:type="character" w:customStyle="1" w:styleId="CommentTok0">
    <w:name w:val="CommentTok"/>
    <w:basedOn w:val="VerbatimChar"/>
    <w:rsid w:val="0031348C"/>
    <w:rPr>
      <w:i/>
      <w:color w:val="8F5902"/>
      <w:shd w:val="clear" w:color="auto" w:fill="F8F8F8"/>
    </w:rPr>
  </w:style>
  <w:style w:type="character" w:customStyle="1" w:styleId="OtherTok0">
    <w:name w:val="OtherTok"/>
    <w:basedOn w:val="VerbatimChar"/>
    <w:rsid w:val="0031348C"/>
    <w:rPr>
      <w:color w:val="8F5902"/>
      <w:shd w:val="clear" w:color="auto" w:fill="F8F8F8"/>
    </w:rPr>
  </w:style>
  <w:style w:type="character" w:customStyle="1" w:styleId="AlertTok0">
    <w:name w:val="AlertTok"/>
    <w:basedOn w:val="VerbatimChar"/>
    <w:rsid w:val="0031348C"/>
    <w:rPr>
      <w:color w:val="EF2929"/>
      <w:shd w:val="clear" w:color="auto" w:fill="F8F8F8"/>
    </w:rPr>
  </w:style>
  <w:style w:type="character" w:customStyle="1" w:styleId="FunctionTok0">
    <w:name w:val="FunctionTok"/>
    <w:basedOn w:val="VerbatimChar"/>
    <w:rsid w:val="0031348C"/>
    <w:rPr>
      <w:color w:val="000000"/>
      <w:shd w:val="clear" w:color="auto" w:fill="F8F8F8"/>
    </w:rPr>
  </w:style>
  <w:style w:type="character" w:customStyle="1" w:styleId="RegionMarkerTok0">
    <w:name w:val="RegionMarkerTok"/>
    <w:basedOn w:val="VerbatimChar"/>
    <w:rsid w:val="0031348C"/>
    <w:rPr>
      <w:shd w:val="clear" w:color="auto" w:fill="F8F8F8"/>
    </w:rPr>
  </w:style>
  <w:style w:type="character" w:customStyle="1" w:styleId="ErrorTok0">
    <w:name w:val="ErrorTok"/>
    <w:basedOn w:val="VerbatimChar"/>
    <w:rsid w:val="0031348C"/>
    <w:rPr>
      <w:b/>
      <w:shd w:val="clear" w:color="auto" w:fill="F8F8F8"/>
    </w:rPr>
  </w:style>
  <w:style w:type="character" w:customStyle="1" w:styleId="NormalTok0">
    <w:name w:val="NormalTok"/>
    <w:basedOn w:val="VerbatimChar"/>
    <w:rsid w:val="0031348C"/>
    <w:rPr>
      <w:shd w:val="clear" w:color="auto" w:fill="F8F8F8"/>
    </w:rPr>
  </w:style>
  <w:style w:type="paragraph" w:styleId="BalloonText">
    <w:name w:val="Balloon Text"/>
    <w:basedOn w:val="Normal"/>
    <w:link w:val="BalloonTextChar"/>
    <w:rsid w:val="00667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671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8</Pages>
  <Words>2390</Words>
  <Characters>13625</Characters>
  <Application>Microsoft Office Word</Application>
  <DocSecurity>0</DocSecurity>
  <Lines>113</Lines>
  <Paragraphs>31</Paragraphs>
  <ScaleCrop>false</ScaleCrop>
  <Company/>
  <LinksUpToDate>false</LinksUpToDate>
  <CharactersWithSpaces>15984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lastModifiedBy>browningj</cp:lastModifiedBy>
  <cp:revision>3</cp:revision>
  <dcterms:created xsi:type="dcterms:W3CDTF">2015-08-20T09:36:00Z</dcterms:created>
  <dcterms:modified xsi:type="dcterms:W3CDTF">2015-08-20T14:05:00Z</dcterms:modified>
</cp:coreProperties>
</file>