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sugar"/>
      <w:bookmarkEnd w:id="21"/>
      <w:r>
        <w:t xml:space="preserve">Sugar</w:t>
      </w:r>
    </w:p>
    <w:p>
      <w:pPr>
        <w:pStyle w:val="FirstParagraph"/>
      </w:pPr>
      <w:r>
        <w:t xml:space="preserve">Now, let's consider the full process for creating a food balance sheet for sugar. We start off with an empty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2" w:name="production"/>
      <w:bookmarkEnd w:id="22"/>
      <w:r>
        <w:t xml:space="preserve">Production</w:t>
      </w:r>
    </w:p>
    <w:p>
      <w:pPr>
        <w:pStyle w:val="FirstParagraph"/>
      </w:pPr>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rPr>
                <w:b/>
              </w:rPr>
              <w:t xml:space="preserve">26,210,000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3" w:name="trade"/>
      <w:bookmarkEnd w:id="23"/>
      <w:r>
        <w:t xml:space="preserve">Trade</w:t>
      </w:r>
    </w:p>
    <w:p>
      <w:pPr>
        <w:pStyle w:val="FirstParagraph"/>
      </w:pPr>
      <w:r>
        <w:t xml:space="preserve">For the next example, we'll show how the imputation, mirroring and balancing works. In this case, we just take the country totals and insert into this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rPr>
                <w:b/>
              </w:rPr>
              <w:t xml:space="preserve">194,500</w:t>
            </w:r>
          </w:p>
        </w:tc>
        <w:tc>
          <w:p>
            <w:pPr>
              <w:pStyle w:val="Compact"/>
              <w:jc w:val="right"/>
            </w:pPr>
            <w:r>
              <w:rPr>
                <w:b/>
              </w:rPr>
              <w:t xml:space="preserve">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rPr>
                <w:b/>
              </w:rPr>
              <w:t xml:space="preserve">9,700</w:t>
            </w:r>
          </w:p>
        </w:tc>
        <w:tc>
          <w:p>
            <w:pPr>
              <w:pStyle w:val="Compact"/>
              <w:jc w:val="right"/>
            </w:pPr>
            <w:r>
              <w:rPr>
                <w:b/>
              </w:rPr>
              <w:t xml:space="preserve">860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265,400</w:t>
            </w:r>
          </w:p>
        </w:tc>
        <w:tc>
          <w:p>
            <w:pPr>
              <w:pStyle w:val="Compact"/>
              <w:jc w:val="right"/>
            </w:pPr>
            <w:r>
              <w:rPr>
                <w:b/>
              </w:rPr>
              <w:t xml:space="preserve">96,200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10</w:t>
            </w:r>
          </w:p>
        </w:tc>
        <w:tc>
          <w:p>
            <w:pPr>
              <w:pStyle w:val="Compact"/>
              <w:jc w:val="right"/>
            </w:pPr>
            <w:r>
              <w:rPr>
                <w:b/>
              </w:rP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1,275,200</w:t>
            </w:r>
          </w:p>
        </w:tc>
        <w:tc>
          <w:p>
            <w:pPr>
              <w:pStyle w:val="Compact"/>
              <w:jc w:val="right"/>
            </w:pPr>
            <w:r>
              <w:rPr>
                <w:b/>
              </w:rPr>
              <w:t xml:space="preserve">111,200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rPr>
                <w:b/>
              </w:rPr>
              <w:t xml:space="preserve">464,200</w:t>
            </w:r>
          </w:p>
        </w:tc>
        <w:tc>
          <w:p>
            <w:pPr>
              <w:pStyle w:val="Compact"/>
              <w:jc w:val="right"/>
            </w:pPr>
            <w:r>
              <w:rPr>
                <w:b/>
              </w:rPr>
              <w:t xml:space="preserve">236,500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4" w:name="stock-changes"/>
      <w:bookmarkEnd w:id="24"/>
      <w:r>
        <w:t xml:space="preserve">Stock Changes</w:t>
      </w:r>
    </w:p>
    <w:p>
      <w:pPr>
        <w:pStyle w:val="FirstParagraph"/>
      </w:pPr>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rPr>
                <w:b/>
              </w:rPr>
              <w:t xml:space="preserve">79,500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food"/>
      <w:bookmarkEnd w:id="25"/>
      <w:r>
        <w:t xml:space="preserve">Food</w:t>
      </w:r>
    </w:p>
    <w:p>
      <w:pPr>
        <w:pStyle w:val="FirstParagraph"/>
      </w:pPr>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rPr>
                <w:b/>
              </w:rPr>
              <w:t xml:space="preserve">23,000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rPr>
                <w:b/>
              </w:rPr>
              <w:t xml:space="preserve">8,800,000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feed"/>
      <w:bookmarkEnd w:id="26"/>
      <w:r>
        <w:t xml:space="preserve">Feed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rPr>
                <w:b/>
              </w:rPr>
              <w:t xml:space="preserve">9,023,600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losses"/>
      <w:bookmarkEnd w:id="27"/>
      <w:r>
        <w:t xml:space="preserve">Losses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r>
    </w:tbl>
    <w:p>
      <w:pPr>
        <w:pStyle w:val="Heading3"/>
      </w:pPr>
      <w:bookmarkStart w:id="28" w:name="seed"/>
      <w:bookmarkEnd w:id="28"/>
      <w:r>
        <w:t xml:space="preserve">Seed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1,572,200</w:t>
            </w:r>
          </w:p>
        </w:tc>
        <w:tc>
          <w:p>
            <w:pPr>
              <w:pStyle w:val="Compact"/>
              <w:jc w:val="right"/>
            </w:pPr>
            <w:r>
              <w:t xml:space="preserve">0</w:t>
            </w:r>
          </w:p>
        </w:tc>
        <w:tc>
          <w:p>
            <w:pPr>
              <w:pStyle w:val="Compact"/>
              <w:jc w:val="right"/>
            </w:pPr>
            <w:r>
              <w:t xml:space="preserve">0</w:t>
            </w:r>
          </w:p>
        </w:tc>
        <w:tc>
          <w:p>
            <w:pPr>
              <w:pStyle w:val="Compact"/>
              <w:jc w:val="right"/>
            </w:pPr>
            <w: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r>
    </w:tbl>
    <w:p>
      <w:pPr>
        <w:pStyle w:val="Heading3"/>
      </w:pPr>
      <w:bookmarkStart w:id="29" w:name="industrial-utilization"/>
      <w:bookmarkEnd w:id="29"/>
      <w:r>
        <w:t xml:space="preserve">Industrial Utilization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1,572,200</w:t>
            </w:r>
          </w:p>
        </w:tc>
        <w:tc>
          <w:p>
            <w:pPr>
              <w:pStyle w:val="Compact"/>
              <w:jc w:val="right"/>
            </w:pPr>
            <w:r>
              <w:t xml:space="preserve">0</w:t>
            </w:r>
          </w:p>
        </w:tc>
        <w:tc>
          <w:p>
            <w:pPr>
              <w:pStyle w:val="Compact"/>
              <w:jc w:val="right"/>
            </w:pPr>
            <w:r>
              <w:rPr>
                <w:b/>
              </w:rPr>
              <w:t xml:space="preserve">-</w:t>
            </w:r>
          </w:p>
        </w:tc>
        <w:tc>
          <w:p>
            <w:pPr>
              <w:pStyle w:val="Compact"/>
              <w:jc w:val="right"/>
            </w:pPr>
            <w: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r>
    </w:tbl>
    <w:p>
      <w:pPr>
        <w:pStyle w:val="Heading3"/>
      </w:pPr>
      <w:bookmarkStart w:id="30" w:name="tourist-consumption"/>
      <w:bookmarkEnd w:id="30"/>
      <w:r>
        <w:t xml:space="preserve">Tourist Consumption</w:t>
      </w:r>
    </w:p>
    <w:p>
      <w:pPr>
        <w:pStyle w:val="FirstParagraph"/>
      </w:pPr>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the country will have a negative ``tourist consumption'' because more calories will be assumed abroad than locally.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1,572,200</w:t>
            </w:r>
          </w:p>
        </w:tc>
        <w:tc>
          <w:p>
            <w:pPr>
              <w:pStyle w:val="Compact"/>
              <w:jc w:val="right"/>
            </w:pPr>
            <w:r>
              <w:rPr>
                <w:b/>
              </w:rPr>
              <w:t xml:space="preserve">70</w:t>
            </w:r>
          </w:p>
        </w:tc>
        <w:tc>
          <w:p>
            <w:pPr>
              <w:pStyle w:val="Compact"/>
              <w:jc w:val="right"/>
            </w:pPr>
            <w:r>
              <w:t xml:space="preserve">-</w:t>
            </w:r>
          </w:p>
        </w:tc>
        <w:tc>
          <w:p>
            <w:pPr>
              <w:pStyle w:val="Compact"/>
              <w:jc w:val="right"/>
            </w:pPr>
            <w: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rPr>
                <w:b/>
              </w:rP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r>
    </w:tbl>
    <w:p>
      <w:pPr>
        <w:pStyle w:val="Heading3"/>
      </w:pPr>
      <w:bookmarkStart w:id="31" w:name="standardization-and-balancing"/>
      <w:bookmarkEnd w:id="31"/>
      <w:r>
        <w:t xml:space="preserve">Standardization and Balancing</w:t>
      </w:r>
    </w:p>
    <w:p>
      <w:pPr>
        <w:pStyle w:val="FirstParagraph"/>
      </w:pPr>
      <w:r>
        <w:t xml:space="preserve">Now, suppose we have the following commodity tree:</w:t>
      </w:r>
    </w:p>
    <w:p>
      <w:pPr>
        <w:pStyle w:val="BodyText"/>
      </w:pPr>
      <w:r>
        <w:drawing>
          <wp:inline>
            <wp:extent cx="5334000" cy="3557358"/>
            <wp:effectExtent b="0" l="0" r="0" t="0"/>
            <wp:docPr descr="" id="1" name="Picture"/>
            <a:graphic>
              <a:graphicData uri="http://schemas.openxmlformats.org/drawingml/2006/picture">
                <pic:pic>
                  <pic:nvPicPr>
                    <pic:cNvPr descr="sugarExample_files/figure-docx/unnamed-chunk-12-1.png" id="0" name="Picture"/>
                    <pic:cNvPicPr>
                      <a:picLocks noChangeArrowheads="1" noChangeAspect="1"/>
                    </pic:cNvPicPr>
                  </pic:nvPicPr>
                  <pic:blipFill>
                    <a:blip r:embed="rId32"/>
                    <a:stretch>
                      <a:fillRect/>
                    </a:stretch>
                  </pic:blipFill>
                  <pic:spPr bwMode="auto">
                    <a:xfrm>
                      <a:off x="0" y="0"/>
                      <a:ext cx="5334000" cy="3557358"/>
                    </a:xfrm>
                    <a:prstGeom prst="rect">
                      <a:avLst/>
                    </a:prstGeom>
                    <a:noFill/>
                    <a:ln w="9525">
                      <a:noFill/>
                      <a:headEnd/>
                      <a:tailEnd/>
                    </a:ln>
                  </pic:spPr>
                </pic:pic>
              </a:graphicData>
            </a:graphic>
          </wp:inline>
        </w:drawing>
      </w:r>
    </w:p>
    <w:p>
      <w:pPr>
        <w:pStyle w:val="BodyText"/>
      </w:pPr>
      <w:r>
        <w:t xml:space="preserve">We first start with the pre-standardized table: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1,572,200</w:t>
            </w:r>
          </w:p>
        </w:tc>
        <w:tc>
          <w:p>
            <w:pPr>
              <w:pStyle w:val="Compact"/>
              <w:jc w:val="right"/>
            </w:pPr>
            <w:r>
              <w:t xml:space="preserve">70</w:t>
            </w:r>
          </w:p>
        </w:tc>
        <w:tc>
          <w:p>
            <w:pPr>
              <w:pStyle w:val="Compact"/>
              <w:jc w:val="right"/>
            </w:pPr>
            <w:r>
              <w:t xml:space="preserve">-</w:t>
            </w:r>
          </w:p>
        </w:tc>
        <w:tc>
          <w:p>
            <w:pPr>
              <w:pStyle w:val="Compact"/>
              <w:jc w:val="right"/>
            </w:pPr>
            <w:r>
              <w:t xml:space="preserve">213,300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bl>
    <w:p>
      <w:pPr>
        <w:pStyle w:val="BodyText"/>
      </w:pPr>
      <w:r>
        <w:t xml:space="preserve">The processing for sugar works slightly differently than most commodities. Sugar cane and sugar beet are, in almost every case, converted into cane sugar or beet sugar (i.e. they are not eaten as such nor are they processed into other products). Thus, in this case, rather than standardizing values back to sugar cane and sugar beet, we instead assume all sugar cane and sugar beet is first converted into the corresponding sugar and we perform the balances at this level.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rPr>
                <w:b/>
              </w:rPr>
              <w:t xml:space="preserve">2,720,800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rPr>
                <w:b/>
              </w:rP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rPr>
                <w:b/>
              </w:rP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The next step in this process is to balance the processed commodities by creating production values. These production values will require an amount of food processing from the parent commodities. We must start this process at the bottom of the tree, in this case considering "Sugar and Syrups nes" and "Sugar Confectionary" and going up to "Refined Sugar". However, the supply for "Sugar and Syrups nes" exceeds the utilization, and we have no data for "Sugar Confectionary", so we don't need to introduce any required production in this step.</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rPr>
                <w:b/>
              </w:rP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Next, we move up the tree to the balancing of refined sugar and the food processing required in the beet and cane sugar elements. We require refined sugar production in order to balance refined sugar, and thus we must create this production from the parent(s) of refined sugar. Looking at the commodity tree, we see that refined sugar can be created from both beet and cane sugar. We will allocate production of refined sugar from these parent commodities according to their availabilities. Note that the food processing quantities from beet sugar and cane sugar must be multiplied by their corresponding extraction rates to compute the production value of refined sugar. Moreover, if the extraction rates from these two parents are different, then we must compute availabilities weighted by these extraction rates. In this case, we could ignore this because the extraction rates are identical.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Beet sugar</w:t>
            </w:r>
          </w:p>
        </w:tc>
        <w:tc>
          <w:p>
            <w:pPr>
              <w:pStyle w:val="Compact"/>
              <w:jc w:val="right"/>
            </w:pPr>
            <w:r>
              <w:t xml:space="preserve">4366203</w:t>
            </w:r>
          </w:p>
        </w:tc>
        <w:tc>
          <w:p>
            <w:pPr>
              <w:pStyle w:val="Compact"/>
              <w:jc w:val="right"/>
            </w:pPr>
            <w:r>
              <w:t xml:space="preserve">61.6%</w:t>
            </w:r>
          </w:p>
        </w:tc>
      </w:tr>
      <w:tr>
        <w:tc>
          <w:p>
            <w:pPr>
              <w:pStyle w:val="Compact"/>
              <w:jc w:val="right"/>
            </w:pPr>
            <w:r>
              <w:t xml:space="preserve">Cane sugar, centrifugal</w:t>
            </w:r>
          </w:p>
        </w:tc>
        <w:tc>
          <w:p>
            <w:pPr>
              <w:pStyle w:val="Compact"/>
              <w:jc w:val="right"/>
            </w:pPr>
            <w:r>
              <w:t xml:space="preserve">2720837</w:t>
            </w:r>
          </w:p>
        </w:tc>
        <w:tc>
          <w:p>
            <w:pPr>
              <w:pStyle w:val="Compact"/>
              <w:jc w:val="right"/>
            </w:pPr>
            <w:r>
              <w:t xml:space="preserve">40.8%</w:t>
            </w:r>
          </w:p>
        </w:tc>
      </w:tr>
    </w:tbl>
    <w:p>
      <w:pPr>
        <w:pStyle w:val="BodyText"/>
      </w:pPr>
      <w:r>
        <w:t xml:space="preserve">Thus, we allocate according to the parent availabilities: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rPr>
                <w:b/>
              </w:rPr>
              <w:t xml:space="preserve">7,712,500</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Now, we must balance the primary products in this table (i.e. sugar cane and sugar beet). To do this, we need to extract the computed standard deviations of each element. The table below shows the expected value and estimated standard deviation for sugar beet (top) and sugar cane (bottom):</w:t>
      </w:r>
    </w:p>
    <w:p>
      <w:pPr>
        <w:pStyle w:val="SourceCode"/>
      </w:pPr>
      <w:r>
        <w:rPr>
          <w:rStyle w:val="VerbatimChar"/>
        </w:rPr>
        <w:t xml:space="preserve">## Warning in `[.data.table`(printMean, is.na(Value), `:=`(Value, 0)): Coerced</w:t>
      </w:r>
      <w:r>
        <w:br w:type="textWrapping"/>
      </w:r>
      <w:r>
        <w:rPr>
          <w:rStyle w:val="VerbatimChar"/>
        </w:rPr>
        <w:t xml:space="preserve">## 'double' RHS to 'character' to match the column's type; may have truncated</w:t>
      </w:r>
      <w:r>
        <w:br w:type="textWrapping"/>
      </w:r>
      <w:r>
        <w:rPr>
          <w:rStyle w:val="VerbatimChar"/>
        </w:rPr>
        <w:t xml:space="preserve">## precision. Either change the target column to 'double' first (by creating</w:t>
      </w:r>
      <w:r>
        <w:br w:type="textWrapping"/>
      </w:r>
      <w:r>
        <w:rPr>
          <w:rStyle w:val="VerbatimChar"/>
        </w:rPr>
        <w:t xml:space="preserve">## a new 'double' vector length 21 (nrows of entire table) and assign that;</w:t>
      </w:r>
      <w:r>
        <w:br w:type="textWrapping"/>
      </w:r>
      <w:r>
        <w:rPr>
          <w:rStyle w:val="VerbatimChar"/>
        </w:rPr>
        <w:t xml:space="preserve">## i.e. 'replace' column), or coerce RHS to 'character' (e.g. 1L, NA_[real|</w:t>
      </w:r>
      <w:r>
        <w:br w:type="textWrapping"/>
      </w:r>
      <w:r>
        <w:rPr>
          <w:rStyle w:val="VerbatimChar"/>
        </w:rPr>
        <w:t xml:space="preserve">## integer]_, as.*, etc) to make your intent clear and for speed. Or, set the</w:t>
      </w:r>
      <w:r>
        <w:br w:type="textWrapping"/>
      </w:r>
      <w:r>
        <w:rPr>
          <w:rStyle w:val="VerbatimChar"/>
        </w:rPr>
        <w:t xml:space="preserve">## column type correctly up front when you create the table and stick to it,</w:t>
      </w:r>
      <w:r>
        <w:br w:type="textWrapping"/>
      </w:r>
      <w:r>
        <w:rPr>
          <w:rStyle w:val="VerbatimChar"/>
        </w:rPr>
        <w:t xml:space="preserve">## please.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SourceCode"/>
      </w:pPr>
      <w:r>
        <w:rPr>
          <w:rStyle w:val="VerbatimChar"/>
        </w:rPr>
        <w:t xml:space="preserve">## Warning in `[.data.table`(printMean, is.na(Value), `:=`(Value, 0)): Coerced</w:t>
      </w:r>
      <w:r>
        <w:br w:type="textWrapping"/>
      </w:r>
      <w:r>
        <w:rPr>
          <w:rStyle w:val="VerbatimChar"/>
        </w:rPr>
        <w:t xml:space="preserve">## 'double' RHS to 'character' to match the column's type; may have truncated</w:t>
      </w:r>
      <w:r>
        <w:br w:type="textWrapping"/>
      </w:r>
      <w:r>
        <w:rPr>
          <w:rStyle w:val="VerbatimChar"/>
        </w:rPr>
        <w:t xml:space="preserve">## precision. Either change the target column to 'double' first (by creating</w:t>
      </w:r>
      <w:r>
        <w:br w:type="textWrapping"/>
      </w:r>
      <w:r>
        <w:rPr>
          <w:rStyle w:val="VerbatimChar"/>
        </w:rPr>
        <w:t xml:space="preserve">## a new 'double' vector length 11 (nrows of entire table) and assign that;</w:t>
      </w:r>
      <w:r>
        <w:br w:type="textWrapping"/>
      </w:r>
      <w:r>
        <w:rPr>
          <w:rStyle w:val="VerbatimChar"/>
        </w:rPr>
        <w:t xml:space="preserve">## i.e. 'replace' column), or coerce RHS to 'character' (e.g. 1L, NA_[real|</w:t>
      </w:r>
      <w:r>
        <w:br w:type="textWrapping"/>
      </w:r>
      <w:r>
        <w:rPr>
          <w:rStyle w:val="VerbatimChar"/>
        </w:rPr>
        <w:t xml:space="preserve">## integer]_, as.*, etc) to make your intent clear and for speed. Or, set the</w:t>
      </w:r>
      <w:r>
        <w:br w:type="textWrapping"/>
      </w:r>
      <w:r>
        <w:rPr>
          <w:rStyle w:val="VerbatimChar"/>
        </w:rPr>
        <w:t xml:space="preserve">## column type correctly up front when you create the table and stick to it,</w:t>
      </w:r>
      <w:r>
        <w:br w:type="textWrapping"/>
      </w:r>
      <w:r>
        <w:rPr>
          <w:rStyle w:val="VerbatimChar"/>
        </w:rPr>
        <w:t xml:space="preserve">## please.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2,720,800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17,500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After balancing the above tables, we're left with the following values. Note that food processing is the element that receives most of the adjustment because it has a substantially higher variability.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2,721,000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We can now adjust our SUA table with the updated/balanced values: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rPr>
                <w:b/>
              </w:rP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7,712,500</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8,800,000</w:t>
            </w:r>
          </w:p>
        </w:tc>
        <w:tc>
          <w:p>
            <w:pPr>
              <w:pStyle w:val="Compact"/>
              <w:jc w:val="right"/>
            </w:pPr>
            <w:r>
              <w:t xml:space="preserve">-</w:t>
            </w:r>
          </w:p>
        </w:tc>
        <w:tc>
          <w:p>
            <w:pPr>
              <w:pStyle w:val="Compact"/>
              <w:jc w:val="right"/>
            </w:pPr>
            <w:r>
              <w:t xml:space="preserve">-</w:t>
            </w:r>
          </w:p>
        </w:tc>
        <w:tc>
          <w:p>
            <w:pPr>
              <w:pStyle w:val="Compact"/>
              <w:jc w:val="right"/>
            </w:pPr>
            <w:r>
              <w:t xml:space="preserve">-3,000</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We must now process the changes in the current elements down the tree into the other elements.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t xml:space="preserve">23,000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6,520,200</w:t>
            </w:r>
          </w:p>
        </w:tc>
        <w:tc>
          <w:p>
            <w:pPr>
              <w:pStyle w:val="Compact"/>
              <w:jc w:val="right"/>
            </w:pPr>
            <w:r>
              <w:t xml:space="preserve">1,275,200</w:t>
            </w:r>
          </w:p>
        </w:tc>
        <w:tc>
          <w:p>
            <w:pPr>
              <w:pStyle w:val="Compact"/>
              <w:jc w:val="right"/>
            </w:pPr>
            <w:r>
              <w:t xml:space="preserve">111,200</w:t>
            </w:r>
          </w:p>
        </w:tc>
        <w:tc>
          <w:p>
            <w:pPr>
              <w:pStyle w:val="Compact"/>
              <w:jc w:val="right"/>
            </w:pPr>
            <w:r>
              <w:rPr>
                <w:b/>
              </w:rPr>
              <w:t xml:space="preserve">78,000</w:t>
            </w:r>
          </w:p>
        </w:tc>
        <w:tc>
          <w:p>
            <w:pPr>
              <w:pStyle w:val="Compact"/>
              <w:jc w:val="right"/>
            </w:pPr>
            <w:r>
              <w:rPr>
                <w:b/>
              </w:rPr>
              <w:t xml:space="preserve">7,609,200</w:t>
            </w:r>
          </w:p>
        </w:tc>
        <w:tc>
          <w:p>
            <w:pPr>
              <w:pStyle w:val="Compact"/>
              <w:jc w:val="right"/>
            </w:pPr>
            <w:r>
              <w:t xml:space="preserve">0</w:t>
            </w:r>
          </w:p>
        </w:tc>
        <w:tc>
          <w:p>
            <w:pPr>
              <w:pStyle w:val="Compact"/>
              <w:jc w:val="right"/>
            </w:pPr>
            <w:r>
              <w:t xml:space="preserve">0</w:t>
            </w:r>
          </w:p>
        </w:tc>
        <w:tc>
          <w:p>
            <w:pPr>
              <w:pStyle w:val="Compact"/>
              <w:jc w:val="right"/>
            </w:pPr>
            <w:r>
              <w:t xml:space="preserve">-3,000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Lastly, some elements have not yet been updated in this process. To ensure a full balance of the SUA, we should go through and balance those rows as well.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265,400</w:t>
            </w:r>
          </w:p>
        </w:tc>
        <w:tc>
          <w:p>
            <w:pPr>
              <w:pStyle w:val="Compact"/>
              <w:jc w:val="right"/>
            </w:pPr>
            <w:r>
              <w:t xml:space="preserve">96,200</w:t>
            </w:r>
          </w:p>
        </w:tc>
        <w:tc>
          <w:p>
            <w:pPr>
              <w:pStyle w:val="Compact"/>
              <w:jc w:val="right"/>
            </w:pPr>
            <w:r>
              <w:t xml:space="preserve">-</w:t>
            </w:r>
          </w:p>
        </w:tc>
        <w:tc>
          <w:p>
            <w:pPr>
              <w:pStyle w:val="Compact"/>
              <w:jc w:val="right"/>
            </w:pPr>
            <w:r>
              <w:rPr>
                <w:b/>
              </w:rPr>
              <w:t xml:space="preserve">169,200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2,721,000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6,520,200</w:t>
            </w:r>
          </w:p>
        </w:tc>
        <w:tc>
          <w:p>
            <w:pPr>
              <w:pStyle w:val="Compact"/>
              <w:jc w:val="right"/>
            </w:pPr>
            <w:r>
              <w:t xml:space="preserve">1,275,200</w:t>
            </w:r>
          </w:p>
        </w:tc>
        <w:tc>
          <w:p>
            <w:pPr>
              <w:pStyle w:val="Compact"/>
              <w:jc w:val="right"/>
            </w:pPr>
            <w:r>
              <w:t xml:space="preserve">111,200</w:t>
            </w:r>
          </w:p>
        </w:tc>
        <w:tc>
          <w:p>
            <w:pPr>
              <w:pStyle w:val="Compact"/>
              <w:jc w:val="right"/>
            </w:pPr>
            <w:r>
              <w:t xml:space="preserve">78,000</w:t>
            </w:r>
          </w:p>
        </w:tc>
        <w:tc>
          <w:p>
            <w:pPr>
              <w:pStyle w:val="Compact"/>
              <w:jc w:val="right"/>
            </w:pPr>
            <w:r>
              <w:t xml:space="preserve">7,609,200</w:t>
            </w:r>
          </w:p>
        </w:tc>
        <w:tc>
          <w:p>
            <w:pPr>
              <w:pStyle w:val="Compact"/>
              <w:jc w:val="right"/>
            </w:pPr>
            <w:r>
              <w:t xml:space="preserve">0</w:t>
            </w:r>
          </w:p>
        </w:tc>
        <w:tc>
          <w:p>
            <w:pPr>
              <w:pStyle w:val="Compact"/>
              <w:jc w:val="right"/>
            </w:pPr>
            <w:r>
              <w:t xml:space="preserve">0</w:t>
            </w:r>
          </w:p>
        </w:tc>
        <w:tc>
          <w:p>
            <w:pPr>
              <w:pStyle w:val="Compact"/>
              <w:jc w:val="right"/>
            </w:pPr>
            <w:r>
              <w:t xml:space="preserve">-3,000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464,200</w:t>
            </w:r>
          </w:p>
        </w:tc>
        <w:tc>
          <w:p>
            <w:pPr>
              <w:pStyle w:val="Compact"/>
              <w:jc w:val="right"/>
            </w:pPr>
            <w:r>
              <w:t xml:space="preserve">236,500</w:t>
            </w:r>
          </w:p>
        </w:tc>
        <w:tc>
          <w:p>
            <w:pPr>
              <w:pStyle w:val="Compact"/>
              <w:jc w:val="right"/>
            </w:pPr>
            <w:r>
              <w:t xml:space="preserve">-</w:t>
            </w:r>
          </w:p>
        </w:tc>
        <w:tc>
          <w:p>
            <w:pPr>
              <w:pStyle w:val="Compact"/>
              <w:jc w:val="right"/>
            </w:pPr>
            <w:r>
              <w:t xml:space="preserve">-6,721,000</w:t>
            </w:r>
          </w:p>
        </w:tc>
        <w:tc>
          <w:p>
            <w:pPr>
              <w:pStyle w:val="Compact"/>
              <w:jc w:val="right"/>
            </w:pPr>
            <w:r>
              <w:t xml:space="preserve">9,023,600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Now, we standardize all these commodities into their primary equivalents: in this case, cane sugar and beet sugar. Commodities with multiple parents must be processed back into all the parents according to shares determined in the processing step (for example, refined sugar back to cane and beet in the proportion given earlier).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Cane sugar, centrifugal</w:t>
            </w:r>
          </w:p>
        </w:tc>
        <w:tc>
          <w:p>
            <w:pPr>
              <w:pStyle w:val="Compact"/>
              <w:jc w:val="right"/>
            </w:pPr>
            <w:r>
              <w:t xml:space="preserve">2,721,000</w:t>
            </w:r>
          </w:p>
        </w:tc>
        <w:tc>
          <w:p>
            <w:pPr>
              <w:pStyle w:val="Compact"/>
              <w:jc w:val="right"/>
            </w:pPr>
            <w:r>
              <w:t xml:space="preserve">854,000</w:t>
            </w:r>
          </w:p>
        </w:tc>
        <w:tc>
          <w:p>
            <w:pPr>
              <w:pStyle w:val="Compact"/>
              <w:jc w:val="right"/>
            </w:pPr>
            <w:r>
              <w:t xml:space="preserve">153,900</w:t>
            </w:r>
          </w:p>
        </w:tc>
        <w:tc>
          <w:p>
            <w:pPr>
              <w:pStyle w:val="Compact"/>
              <w:jc w:val="right"/>
            </w:pPr>
            <w:r>
              <w:t xml:space="preserve">34,600</w:t>
            </w:r>
          </w:p>
        </w:tc>
        <w:tc>
          <w:p>
            <w:pPr>
              <w:pStyle w:val="Compact"/>
              <w:jc w:val="right"/>
            </w:pPr>
            <w:r>
              <w:t xml:space="preserve">3,558,400</w:t>
            </w:r>
          </w:p>
        </w:tc>
        <w:tc>
          <w:p>
            <w:pPr>
              <w:pStyle w:val="Compact"/>
              <w:jc w:val="right"/>
            </w:pPr>
            <w:r>
              <w:t xml:space="preserve">0</w:t>
            </w:r>
          </w:p>
        </w:tc>
        <w:tc>
          <w:p>
            <w:pPr>
              <w:pStyle w:val="Compact"/>
              <w:jc w:val="right"/>
            </w:pPr>
            <w:r>
              <w:t xml:space="preserve">0</w:t>
            </w:r>
          </w:p>
        </w:tc>
        <w:tc>
          <w:p>
            <w:pPr>
              <w:pStyle w:val="Compact"/>
              <w:jc w:val="right"/>
            </w:pPr>
            <w:r>
              <w:t xml:space="preserve">-1,300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1,142,300</w:t>
            </w:r>
          </w:p>
        </w:tc>
        <w:tc>
          <w:p>
            <w:pPr>
              <w:pStyle w:val="Compact"/>
              <w:jc w:val="right"/>
            </w:pPr>
            <w:r>
              <w:t xml:space="preserve">373,800</w:t>
            </w:r>
          </w:p>
        </w:tc>
        <w:tc>
          <w:p>
            <w:pPr>
              <w:pStyle w:val="Compact"/>
              <w:jc w:val="right"/>
            </w:pPr>
            <w:r>
              <w:t xml:space="preserve">52,200</w:t>
            </w:r>
          </w:p>
        </w:tc>
        <w:tc>
          <w:p>
            <w:pPr>
              <w:pStyle w:val="Compact"/>
              <w:jc w:val="right"/>
            </w:pPr>
            <w:r>
              <w:t xml:space="preserve">5,278,800</w:t>
            </w:r>
          </w:p>
        </w:tc>
        <w:tc>
          <w:p>
            <w:pPr>
              <w:pStyle w:val="Compact"/>
              <w:jc w:val="right"/>
            </w:pPr>
            <w:r>
              <w:t xml:space="preserve">0</w:t>
            </w:r>
          </w:p>
        </w:tc>
        <w:tc>
          <w:p>
            <w:pPr>
              <w:pStyle w:val="Compact"/>
              <w:jc w:val="right"/>
            </w:pPr>
            <w:r>
              <w:t xml:space="preserve">0</w:t>
            </w:r>
          </w:p>
        </w:tc>
        <w:tc>
          <w:p>
            <w:pPr>
              <w:pStyle w:val="Compact"/>
              <w:jc w:val="right"/>
            </w:pPr>
            <w:r>
              <w:t xml:space="preserve">-2,000</w:t>
            </w:r>
          </w:p>
        </w:tc>
        <w:tc>
          <w:p>
            <w:pPr>
              <w:pStyle w:val="Compact"/>
              <w:jc w:val="right"/>
            </w:pPr>
            <w:r>
              <w:t xml:space="preserve">0</w:t>
            </w:r>
          </w:p>
        </w:tc>
        <w:tc>
          <w:p>
            <w:pPr>
              <w:pStyle w:val="Compact"/>
              <w:jc w:val="right"/>
            </w:pPr>
            <w:r>
              <w:t xml:space="preserve">0</w:t>
            </w:r>
          </w:p>
        </w:tc>
      </w:tr>
    </w:tbl>
    <w:p>
      <w:pPr>
        <w:pStyle w:val="BodyText"/>
      </w:pPr>
      <w:r>
        <w:t xml:space="preserve">We can also compute calories, fats, and proteins at this point. First, we apply a calorie/fat/protein content factor to each individual element: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Sugar and Syrups nes</w:t>
            </w:r>
          </w:p>
        </w:tc>
        <w:tc>
          <w:p>
            <w:pPr>
              <w:pStyle w:val="Compact"/>
              <w:jc w:val="right"/>
            </w:pPr>
            <w:r>
              <w:t xml:space="preserve">169162.4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Beet sugar</w:t>
            </w:r>
          </w:p>
        </w:tc>
        <w:tc>
          <w:p>
            <w:pPr>
              <w:pStyle w:val="Compact"/>
              <w:jc w:val="right"/>
            </w:pPr>
            <w:r>
              <w:t xml:space="preserve">0.0</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Refined sugar</w:t>
            </w:r>
          </w:p>
        </w:tc>
        <w:tc>
          <w:p>
            <w:pPr>
              <w:pStyle w:val="Compact"/>
              <w:jc w:val="right"/>
            </w:pPr>
            <w:r>
              <w:t xml:space="preserve">7609240.9</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Molasses</w:t>
            </w:r>
          </w:p>
        </w:tc>
        <w:tc>
          <w:p>
            <w:pPr>
              <w:pStyle w:val="Compact"/>
              <w:jc w:val="right"/>
            </w:pPr>
            <w:r>
              <w:t xml:space="preserve">-6720953.2</w:t>
            </w:r>
          </w:p>
        </w:tc>
        <w:tc>
          <w:p>
            <w:pPr>
              <w:pStyle w:val="Compact"/>
              <w:jc w:val="right"/>
            </w:pPr>
            <w:r>
              <w:t xml:space="preserve">1274.11</w:t>
            </w:r>
          </w:p>
        </w:tc>
        <w:tc>
          <w:p>
            <w:pPr>
              <w:pStyle w:val="Compact"/>
              <w:jc w:val="right"/>
            </w:pPr>
            <w:r>
              <w:t xml:space="preserve">0</w:t>
            </w:r>
          </w:p>
        </w:tc>
        <w:tc>
          <w:p>
            <w:pPr>
              <w:pStyle w:val="Compact"/>
              <w:jc w:val="right"/>
            </w:pPr>
            <w:r>
              <w:t xml:space="preserve">0.1</w:t>
            </w:r>
          </w:p>
        </w:tc>
      </w:tr>
    </w:tbl>
    <w:p>
      <w:pPr>
        <w:pStyle w:val="BodyText"/>
      </w:pPr>
      <w:r>
        <w:t xml:space="preserve">Standardization of calories is simpler since we don't need to divide by extraction rates: the standardized calories/fats/proteins are the sum of the total calories/fats/proteins for each element. However, this is more complicated than simply adding up calories/fats/proteins because we have to standardize children commodities into multiple parents. For example, as with the quantity standardization, we should standardize refined sugar back into cane sugar and beet sugar according to the proportion from processing: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Standardized_Equivalent</w:t>
            </w:r>
          </w:p>
        </w:tc>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left"/>
            </w:pPr>
            <w:r>
              <w:t xml:space="preserve">Beet Sugar</w:t>
            </w:r>
          </w:p>
        </w:tc>
        <w:tc>
          <w:p>
            <w:pPr>
              <w:pStyle w:val="Compact"/>
              <w:jc w:val="right"/>
            </w:pPr>
            <w:r>
              <w:t xml:space="preserve">2691.058</w:t>
            </w:r>
          </w:p>
        </w:tc>
        <w:tc>
          <w:p>
            <w:pPr>
              <w:pStyle w:val="Compact"/>
              <w:jc w:val="right"/>
            </w:pPr>
            <w:r>
              <w:t xml:space="preserve">0</w:t>
            </w:r>
          </w:p>
        </w:tc>
        <w:tc>
          <w:p>
            <w:pPr>
              <w:pStyle w:val="Compact"/>
              <w:jc w:val="right"/>
            </w:pPr>
            <w:r>
              <w:t xml:space="preserve">-0.41272</w:t>
            </w:r>
          </w:p>
        </w:tc>
      </w:tr>
      <w:tr>
        <w:tc>
          <w:p>
            <w:pPr>
              <w:pStyle w:val="Compact"/>
              <w:jc w:val="left"/>
            </w:pPr>
            <w:r>
              <w:t xml:space="preserve">Cane Sugar</w:t>
            </w:r>
          </w:p>
        </w:tc>
        <w:tc>
          <w:p>
            <w:pPr>
              <w:pStyle w:val="Compact"/>
              <w:jc w:val="right"/>
            </w:pPr>
            <w:r>
              <w:t xml:space="preserve">1782.389</w:t>
            </w:r>
          </w:p>
        </w:tc>
        <w:tc>
          <w:p>
            <w:pPr>
              <w:pStyle w:val="Compact"/>
              <w:jc w:val="right"/>
            </w:pPr>
            <w:r>
              <w:t xml:space="preserve">0</w:t>
            </w:r>
          </w:p>
        </w:tc>
        <w:tc>
          <w:p>
            <w:pPr>
              <w:pStyle w:val="Compact"/>
              <w:jc w:val="right"/>
            </w:pPr>
            <w:r>
              <w:t xml:space="preserve">-0.27336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4af3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