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Agricultural</w:t>
      </w:r>
      <w:r>
        <w:t xml:space="preserve"> </w:t>
      </w:r>
      <w:r>
        <w:t xml:space="preserve">trade</w:t>
      </w:r>
      <w:r>
        <w:t xml:space="preserve"> </w:t>
      </w:r>
      <w:r>
        <w:t xml:space="preserve">data</w:t>
      </w:r>
      <w:r>
        <w:t xml:space="preserve"> </w:t>
      </w:r>
      <w:r>
        <w:t xml:space="preserve">processing</w:t>
      </w:r>
    </w:p>
    <w:p>
      <w:pPr>
        <w:pStyle w:val="Date"/>
      </w:pPr>
      <w:r>
        <w:t xml:space="preserve">July</w:t>
      </w:r>
      <w:r>
        <w:t xml:space="preserve"> </w:t>
      </w:r>
      <w:r>
        <w:t xml:space="preserve">9,</w:t>
      </w:r>
      <w:r>
        <w:t xml:space="preserve"> </w:t>
      </w:r>
      <w:r>
        <w:t xml:space="preserve">2015</w:t>
      </w:r>
    </w:p>
    <w:p>
      <w:r>
        <w:t xml:space="preserve">Last update: 2015-07-13 12:08:52</w:t>
      </w:r>
    </w:p>
    <w:p>
      <w:pPr>
        <w:pStyle w:val="Heading1"/>
      </w:pPr>
      <w:bookmarkStart w:id="21" w:name="raw-trade-data"/>
      <w:bookmarkEnd w:id="21"/>
      <w:r>
        <w:t xml:space="preserve">Raw trade data</w:t>
      </w:r>
    </w:p>
    <w:p>
      <w:r>
        <w:t xml:space="preserve">FAO receives data on trade flows from</w:t>
      </w:r>
      <w:r>
        <w:t xml:space="preserve"> </w:t>
      </w:r>
      <w:hyperlink r:id="rId22">
        <w:r>
          <w:rPr>
            <w:rStyle w:val="Link"/>
          </w:rPr>
          <w:t xml:space="preserve">United Nations Statistical Division</w:t>
        </w:r>
      </w:hyperlink>
      <w:r>
        <w:t xml:space="preserve">. The division runs</w:t>
      </w:r>
      <w:r>
        <w:t xml:space="preserve"> </w:t>
      </w:r>
      <w:hyperlink r:id="rId23">
        <w:r>
          <w:rPr>
            <w:rStyle w:val="Link"/>
          </w:rPr>
          <w:t xml:space="preserve">Commodity Trade Statistics Database UN Comtrade</w:t>
        </w:r>
      </w:hyperlink>
      <w:r>
        <w:t xml:space="preserve"> </w:t>
      </w:r>
      <w:r>
        <w:t xml:space="preserve">"It stores standardised official annual trade statistics reported by countries and reflecting international merchandise flows detailed by commodity and partner country with coverage reaching up to 99 percent of world merchandise trade</w:t>
      </w:r>
      <w:r>
        <w:rPr>
          <w:rStyle w:val="FootnoteRef"/>
        </w:rPr>
        <w:footnoteReference w:id="24"/>
      </w:r>
      <w:r>
        <w:t xml:space="preserve">".</w:t>
      </w:r>
    </w:p>
    <w:p>
      <w:r>
        <w:t xml:space="preserve">One can freely download this standardised statistics from the</w:t>
      </w:r>
      <w:r>
        <w:t xml:space="preserve"> </w:t>
      </w:r>
      <w:hyperlink r:id="rId25">
        <w:r>
          <w:rPr>
            <w:rStyle w:val="Link"/>
          </w:rPr>
          <w:t xml:space="preserve">open data base</w:t>
        </w:r>
      </w:hyperlink>
      <w:r>
        <w:t xml:space="preserve">. Statistical Division of FAO gets unstandardised data.</w:t>
      </w:r>
    </w:p>
    <w:tbl>
      <w:tblPr>
        <w:tblStyle w:val="TableNormal"/>
        <w:tblW w:type="pct" w:w="0.0"/>
        <w:tblCaption w:val="Random sample of import trade flows of 2011 year, reported by the US"/>
      </w:tblPr>
      <w:tblGrid/>
      <w:t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reporter</w:t>
            </w:r>
          </w:p>
        </w:tc>
        <w:tc>
          <w:tcPr>
            <w:tcBorders>
              <w:bottom w:val="single"/>
            </w:tcBorders>
            <w:vAlign w:val="bottom"/>
          </w:tcPr>
          <w:p>
            <w:pPr>
              <w:pStyle w:val="Compact"/>
              <w:jc w:val="left"/>
            </w:pPr>
            <w:r>
              <w:t xml:space="preserve">partner</w:t>
            </w:r>
          </w:p>
        </w:tc>
        <w:tc>
          <w:tcPr>
            <w:tcBorders>
              <w:bottom w:val="single"/>
            </w:tcBorders>
            <w:vAlign w:val="bottom"/>
          </w:tcPr>
          <w:p>
            <w:pPr>
              <w:pStyle w:val="Compact"/>
              <w:jc w:val="left"/>
            </w:pPr>
            <w:r>
              <w:t xml:space="preserve">hs</w:t>
            </w:r>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right"/>
            </w:pPr>
            <w:r>
              <w:t xml:space="preserve">weight</w:t>
            </w:r>
          </w:p>
        </w:tc>
        <w:tc>
          <w:tcPr>
            <w:tcBorders>
              <w:bottom w:val="single"/>
            </w:tcBorders>
            <w:vAlign w:val="bottom"/>
          </w:tcPr>
          <w:p>
            <w:pPr>
              <w:pStyle w:val="Compact"/>
              <w:jc w:val="right"/>
            </w:pPr>
            <w:r>
              <w:t xml:space="preserve">qty</w:t>
            </w:r>
          </w:p>
        </w:tc>
        <w:tc>
          <w:tcPr>
            <w:tcBorders>
              <w:bottom w:val="single"/>
            </w:tcBorders>
            <w:vAlign w:val="bottom"/>
          </w:tcPr>
          <w:p>
            <w:pPr>
              <w:pStyle w:val="Compact"/>
              <w:jc w:val="left"/>
            </w:pPr>
            <w:r>
              <w:t xml:space="preserve">qunit</w:t>
            </w:r>
          </w:p>
        </w:tc>
        <w:tc>
          <w:tcPr>
            <w:tcBorders>
              <w:bottom w:val="single"/>
            </w:tcBorders>
            <w:vAlign w:val="bottom"/>
          </w:tcPr>
          <w:p>
            <w:pPr>
              <w:pStyle w:val="Compact"/>
              <w:jc w:val="right"/>
            </w:pPr>
            <w:r>
              <w:t xml:space="preserve">value</w:t>
            </w:r>
          </w:p>
        </w:tc>
      </w:tr>
      <w:tr>
        <w:tc>
          <w:p>
            <w:pPr>
              <w:pStyle w:val="Compact"/>
              <w:jc w:val="left"/>
            </w:pPr>
            <w:r>
              <w:t xml:space="preserve">2011</w:t>
            </w:r>
          </w:p>
        </w:tc>
        <w:tc>
          <w:p>
            <w:pPr>
              <w:pStyle w:val="Compact"/>
              <w:jc w:val="left"/>
            </w:pPr>
            <w:r>
              <w:t xml:space="preserve">842</w:t>
            </w:r>
          </w:p>
        </w:tc>
        <w:tc>
          <w:p>
            <w:pPr>
              <w:pStyle w:val="Compact"/>
              <w:jc w:val="left"/>
            </w:pPr>
            <w:r>
              <w:t xml:space="preserve">380</w:t>
            </w:r>
          </w:p>
        </w:tc>
        <w:tc>
          <w:p>
            <w:pPr>
              <w:pStyle w:val="Compact"/>
              <w:jc w:val="left"/>
            </w:pPr>
            <w:r>
              <w:t xml:space="preserve">9022904000</w:t>
            </w:r>
          </w:p>
        </w:tc>
        <w:tc>
          <w:p>
            <w:pPr>
              <w:pStyle w:val="Compact"/>
              <w:jc w:val="left"/>
            </w:pPr>
            <w:r>
              <w:t xml:space="preserve">1</w:t>
            </w:r>
          </w:p>
        </w:tc>
        <w:tc>
          <w:p>
            <w:pPr>
              <w:pStyle w:val="Compact"/>
              <w:jc w:val="right"/>
            </w:pPr>
            <w:r>
              <w:t xml:space="preserve">NA</w:t>
            </w:r>
          </w:p>
        </w:tc>
        <w:tc>
          <w:p>
            <w:pPr>
              <w:pStyle w:val="Compact"/>
              <w:jc w:val="right"/>
            </w:pPr>
            <w:r>
              <w:t xml:space="preserve">NA</w:t>
            </w:r>
          </w:p>
        </w:tc>
        <w:tc>
          <w:p>
            <w:pPr>
              <w:pStyle w:val="Compact"/>
              <w:jc w:val="left"/>
            </w:pPr>
            <w:r>
              <w:t xml:space="preserve">1</w:t>
            </w:r>
          </w:p>
        </w:tc>
        <w:tc>
          <w:p>
            <w:pPr>
              <w:pStyle w:val="Compact"/>
              <w:jc w:val="right"/>
            </w:pPr>
            <w:r>
              <w:t xml:space="preserve">43346</w:t>
            </w:r>
          </w:p>
        </w:tc>
      </w:tr>
      <w:tr>
        <w:tc>
          <w:p>
            <w:pPr>
              <w:pStyle w:val="Compact"/>
              <w:jc w:val="left"/>
            </w:pPr>
            <w:r>
              <w:t xml:space="preserve">2011</w:t>
            </w:r>
          </w:p>
        </w:tc>
        <w:tc>
          <w:p>
            <w:pPr>
              <w:pStyle w:val="Compact"/>
              <w:jc w:val="left"/>
            </w:pPr>
            <w:r>
              <w:t xml:space="preserve">842</w:t>
            </w:r>
          </w:p>
        </w:tc>
        <w:tc>
          <w:p>
            <w:pPr>
              <w:pStyle w:val="Compact"/>
              <w:jc w:val="left"/>
            </w:pPr>
            <w:r>
              <w:t xml:space="preserve">76</w:t>
            </w:r>
          </w:p>
        </w:tc>
        <w:tc>
          <w:p>
            <w:pPr>
              <w:pStyle w:val="Compact"/>
              <w:jc w:val="left"/>
            </w:pPr>
            <w:r>
              <w:t xml:space="preserve">5903901000</w:t>
            </w:r>
          </w:p>
        </w:tc>
        <w:tc>
          <w:p>
            <w:pPr>
              <w:pStyle w:val="Compact"/>
              <w:jc w:val="left"/>
            </w:pPr>
            <w:r>
              <w:t xml:space="preserve">1</w:t>
            </w:r>
          </w:p>
        </w:tc>
        <w:tc>
          <w:p>
            <w:pPr>
              <w:pStyle w:val="Compact"/>
              <w:jc w:val="right"/>
            </w:pPr>
            <w:r>
              <w:t xml:space="preserve">286</w:t>
            </w:r>
          </w:p>
        </w:tc>
        <w:tc>
          <w:p>
            <w:pPr>
              <w:pStyle w:val="Compact"/>
              <w:jc w:val="right"/>
            </w:pPr>
            <w:r>
              <w:t xml:space="preserve">960</w:t>
            </w:r>
          </w:p>
        </w:tc>
        <w:tc>
          <w:p>
            <w:pPr>
              <w:pStyle w:val="Compact"/>
              <w:jc w:val="left"/>
            </w:pPr>
            <w:r>
              <w:t xml:space="preserve">2</w:t>
            </w:r>
          </w:p>
        </w:tc>
        <w:tc>
          <w:p>
            <w:pPr>
              <w:pStyle w:val="Compact"/>
              <w:jc w:val="right"/>
            </w:pPr>
            <w:r>
              <w:t xml:space="preserve">9447</w:t>
            </w:r>
          </w:p>
        </w:tc>
      </w:tr>
      <w:tr>
        <w:tc>
          <w:p>
            <w:pPr>
              <w:pStyle w:val="Compact"/>
              <w:jc w:val="left"/>
            </w:pPr>
            <w:r>
              <w:t xml:space="preserve">2011</w:t>
            </w:r>
          </w:p>
        </w:tc>
        <w:tc>
          <w:p>
            <w:pPr>
              <w:pStyle w:val="Compact"/>
              <w:jc w:val="left"/>
            </w:pPr>
            <w:r>
              <w:t xml:space="preserve">842</w:t>
            </w:r>
          </w:p>
        </w:tc>
        <w:tc>
          <w:p>
            <w:pPr>
              <w:pStyle w:val="Compact"/>
              <w:jc w:val="left"/>
            </w:pPr>
            <w:r>
              <w:t xml:space="preserve">144</w:t>
            </w:r>
          </w:p>
        </w:tc>
        <w:tc>
          <w:p>
            <w:pPr>
              <w:pStyle w:val="Compact"/>
              <w:jc w:val="left"/>
            </w:pPr>
            <w:r>
              <w:t xml:space="preserve">8302609000</w:t>
            </w:r>
          </w:p>
        </w:tc>
        <w:tc>
          <w:p>
            <w:pPr>
              <w:pStyle w:val="Compact"/>
              <w:jc w:val="left"/>
            </w:pPr>
            <w:r>
              <w:t xml:space="preserve">1</w:t>
            </w:r>
          </w:p>
        </w:tc>
        <w:tc>
          <w:p>
            <w:pPr>
              <w:pStyle w:val="Compact"/>
              <w:jc w:val="right"/>
            </w:pPr>
            <w:r>
              <w:t xml:space="preserve">2504</w:t>
            </w:r>
          </w:p>
        </w:tc>
        <w:tc>
          <w:p>
            <w:pPr>
              <w:pStyle w:val="Compact"/>
              <w:jc w:val="right"/>
            </w:pPr>
            <w:r>
              <w:t xml:space="preserve">2504</w:t>
            </w:r>
          </w:p>
        </w:tc>
        <w:tc>
          <w:p>
            <w:pPr>
              <w:pStyle w:val="Compact"/>
              <w:jc w:val="left"/>
            </w:pPr>
            <w:r>
              <w:t xml:space="preserve">8</w:t>
            </w:r>
          </w:p>
        </w:tc>
        <w:tc>
          <w:p>
            <w:pPr>
              <w:pStyle w:val="Compact"/>
              <w:jc w:val="right"/>
            </w:pPr>
            <w:r>
              <w:t xml:space="preserve">45137</w:t>
            </w:r>
          </w:p>
        </w:tc>
      </w:tr>
      <w:tr>
        <w:tc>
          <w:p>
            <w:pPr>
              <w:pStyle w:val="Compact"/>
              <w:jc w:val="left"/>
            </w:pPr>
            <w:r>
              <w:t xml:space="preserve">2011</w:t>
            </w:r>
          </w:p>
        </w:tc>
        <w:tc>
          <w:p>
            <w:pPr>
              <w:pStyle w:val="Compact"/>
              <w:jc w:val="left"/>
            </w:pPr>
            <w:r>
              <w:t xml:space="preserve">842</w:t>
            </w:r>
          </w:p>
        </w:tc>
        <w:tc>
          <w:p>
            <w:pPr>
              <w:pStyle w:val="Compact"/>
              <w:jc w:val="left"/>
            </w:pPr>
            <w:r>
              <w:t xml:space="preserve">392</w:t>
            </w:r>
          </w:p>
        </w:tc>
        <w:tc>
          <w:p>
            <w:pPr>
              <w:pStyle w:val="Compact"/>
              <w:jc w:val="left"/>
            </w:pPr>
            <w:r>
              <w:t xml:space="preserve">8536610000</w:t>
            </w:r>
          </w:p>
        </w:tc>
        <w:tc>
          <w:p>
            <w:pPr>
              <w:pStyle w:val="Compact"/>
              <w:jc w:val="left"/>
            </w:pPr>
            <w:r>
              <w:t xml:space="preserve">1</w:t>
            </w:r>
          </w:p>
        </w:tc>
        <w:tc>
          <w:p>
            <w:pPr>
              <w:pStyle w:val="Compact"/>
              <w:jc w:val="right"/>
            </w:pPr>
            <w:r>
              <w:t xml:space="preserve">NA</w:t>
            </w:r>
          </w:p>
        </w:tc>
        <w:tc>
          <w:p>
            <w:pPr>
              <w:pStyle w:val="Compact"/>
              <w:jc w:val="right"/>
            </w:pPr>
            <w:r>
              <w:t xml:space="preserve">3826127</w:t>
            </w:r>
          </w:p>
        </w:tc>
        <w:tc>
          <w:p>
            <w:pPr>
              <w:pStyle w:val="Compact"/>
              <w:jc w:val="left"/>
            </w:pPr>
            <w:r>
              <w:t xml:space="preserve">5</w:t>
            </w:r>
          </w:p>
        </w:tc>
        <w:tc>
          <w:p>
            <w:pPr>
              <w:pStyle w:val="Compact"/>
              <w:jc w:val="right"/>
            </w:pPr>
            <w:r>
              <w:t xml:space="preserve">2085478</w:t>
            </w:r>
          </w:p>
        </w:tc>
      </w:tr>
      <w:tr>
        <w:tc>
          <w:p>
            <w:pPr>
              <w:pStyle w:val="Compact"/>
              <w:jc w:val="left"/>
            </w:pPr>
            <w:r>
              <w:t xml:space="preserve">2011</w:t>
            </w:r>
          </w:p>
        </w:tc>
        <w:tc>
          <w:p>
            <w:pPr>
              <w:pStyle w:val="Compact"/>
              <w:jc w:val="left"/>
            </w:pPr>
            <w:r>
              <w:t xml:space="preserve">842</w:t>
            </w:r>
          </w:p>
        </w:tc>
        <w:tc>
          <w:p>
            <w:pPr>
              <w:pStyle w:val="Compact"/>
              <w:jc w:val="left"/>
            </w:pPr>
            <w:r>
              <w:t xml:space="preserve">480</w:t>
            </w:r>
          </w:p>
        </w:tc>
        <w:tc>
          <w:p>
            <w:pPr>
              <w:pStyle w:val="Compact"/>
              <w:jc w:val="left"/>
            </w:pPr>
            <w:r>
              <w:t xml:space="preserve">6111206010</w:t>
            </w:r>
          </w:p>
        </w:tc>
        <w:tc>
          <w:p>
            <w:pPr>
              <w:pStyle w:val="Compact"/>
              <w:jc w:val="left"/>
            </w:pPr>
            <w:r>
              <w:t xml:space="preserve">1</w:t>
            </w:r>
          </w:p>
        </w:tc>
        <w:tc>
          <w:p>
            <w:pPr>
              <w:pStyle w:val="Compact"/>
              <w:jc w:val="right"/>
            </w:pPr>
            <w:r>
              <w:t xml:space="preserve">45</w:t>
            </w:r>
          </w:p>
        </w:tc>
        <w:tc>
          <w:p>
            <w:pPr>
              <w:pStyle w:val="Compact"/>
              <w:jc w:val="right"/>
            </w:pPr>
            <w:r>
              <w:t xml:space="preserve">30</w:t>
            </w:r>
          </w:p>
        </w:tc>
        <w:tc>
          <w:p>
            <w:pPr>
              <w:pStyle w:val="Compact"/>
              <w:jc w:val="left"/>
            </w:pPr>
            <w:r>
              <w:t xml:space="preserve">11</w:t>
            </w:r>
          </w:p>
        </w:tc>
        <w:tc>
          <w:p>
            <w:pPr>
              <w:pStyle w:val="Compact"/>
              <w:jc w:val="right"/>
            </w:pPr>
            <w:r>
              <w:t xml:space="preserve">2408</w:t>
            </w:r>
          </w:p>
        </w:tc>
      </w:tr>
      <w:tr>
        <w:tc>
          <w:p>
            <w:pPr>
              <w:pStyle w:val="Compact"/>
              <w:jc w:val="left"/>
            </w:pPr>
            <w:r>
              <w:t xml:space="preserve">2011</w:t>
            </w:r>
          </w:p>
        </w:tc>
        <w:tc>
          <w:p>
            <w:pPr>
              <w:pStyle w:val="Compact"/>
              <w:jc w:val="left"/>
            </w:pPr>
            <w:r>
              <w:t xml:space="preserve">842</w:t>
            </w:r>
          </w:p>
        </w:tc>
        <w:tc>
          <w:p>
            <w:pPr>
              <w:pStyle w:val="Compact"/>
              <w:jc w:val="left"/>
            </w:pPr>
            <w:r>
              <w:t xml:space="preserve">380</w:t>
            </w:r>
          </w:p>
        </w:tc>
        <w:tc>
          <w:p>
            <w:pPr>
              <w:pStyle w:val="Compact"/>
              <w:jc w:val="left"/>
            </w:pPr>
            <w:r>
              <w:t xml:space="preserve">3809931000</w:t>
            </w:r>
          </w:p>
        </w:tc>
        <w:tc>
          <w:p>
            <w:pPr>
              <w:pStyle w:val="Compact"/>
              <w:jc w:val="left"/>
            </w:pPr>
            <w:r>
              <w:t xml:space="preserve">1</w:t>
            </w:r>
          </w:p>
        </w:tc>
        <w:tc>
          <w:p>
            <w:pPr>
              <w:pStyle w:val="Compact"/>
              <w:jc w:val="right"/>
            </w:pPr>
            <w:r>
              <w:t xml:space="preserve">2400</w:t>
            </w:r>
          </w:p>
        </w:tc>
        <w:tc>
          <w:p>
            <w:pPr>
              <w:pStyle w:val="Compact"/>
              <w:jc w:val="right"/>
            </w:pPr>
            <w:r>
              <w:t xml:space="preserve">2400</w:t>
            </w:r>
          </w:p>
        </w:tc>
        <w:tc>
          <w:p>
            <w:pPr>
              <w:pStyle w:val="Compact"/>
              <w:jc w:val="left"/>
            </w:pPr>
            <w:r>
              <w:t xml:space="preserve">8</w:t>
            </w:r>
          </w:p>
        </w:tc>
        <w:tc>
          <w:p>
            <w:pPr>
              <w:pStyle w:val="Compact"/>
              <w:jc w:val="right"/>
            </w:pPr>
            <w:r>
              <w:t xml:space="preserve">15588</w:t>
            </w:r>
          </w:p>
        </w:tc>
      </w:tr>
      <w:tr>
        <w:tc>
          <w:p>
            <w:pPr>
              <w:pStyle w:val="Compact"/>
              <w:jc w:val="left"/>
            </w:pPr>
            <w:r>
              <w:t xml:space="preserve">2011</w:t>
            </w:r>
          </w:p>
        </w:tc>
        <w:tc>
          <w:p>
            <w:pPr>
              <w:pStyle w:val="Compact"/>
              <w:jc w:val="left"/>
            </w:pPr>
            <w:r>
              <w:t xml:space="preserve">842</w:t>
            </w:r>
          </w:p>
        </w:tc>
        <w:tc>
          <w:p>
            <w:pPr>
              <w:pStyle w:val="Compact"/>
              <w:jc w:val="left"/>
            </w:pPr>
            <w:r>
              <w:t xml:space="preserve">784</w:t>
            </w:r>
          </w:p>
        </w:tc>
        <w:tc>
          <w:p>
            <w:pPr>
              <w:pStyle w:val="Compact"/>
              <w:jc w:val="left"/>
            </w:pPr>
            <w:r>
              <w:t xml:space="preserve">8483208080</w:t>
            </w:r>
          </w:p>
        </w:tc>
        <w:tc>
          <w:p>
            <w:pPr>
              <w:pStyle w:val="Compact"/>
              <w:jc w:val="left"/>
            </w:pPr>
            <w:r>
              <w:t xml:space="preserve">1</w:t>
            </w:r>
          </w:p>
        </w:tc>
        <w:tc>
          <w:p>
            <w:pPr>
              <w:pStyle w:val="Compact"/>
              <w:jc w:val="right"/>
            </w:pPr>
            <w:r>
              <w:t xml:space="preserve">NA</w:t>
            </w:r>
          </w:p>
        </w:tc>
        <w:tc>
          <w:p>
            <w:pPr>
              <w:pStyle w:val="Compact"/>
              <w:jc w:val="right"/>
            </w:pPr>
            <w:r>
              <w:t xml:space="preserve">302</w:t>
            </w:r>
          </w:p>
        </w:tc>
        <w:tc>
          <w:p>
            <w:pPr>
              <w:pStyle w:val="Compact"/>
              <w:jc w:val="left"/>
            </w:pPr>
            <w:r>
              <w:t xml:space="preserve">5</w:t>
            </w:r>
          </w:p>
        </w:tc>
        <w:tc>
          <w:p>
            <w:pPr>
              <w:pStyle w:val="Compact"/>
              <w:jc w:val="right"/>
            </w:pPr>
            <w:r>
              <w:t xml:space="preserve">4678</w:t>
            </w:r>
          </w:p>
        </w:tc>
      </w:tr>
      <w:tr>
        <w:tc>
          <w:p>
            <w:pPr>
              <w:pStyle w:val="Compact"/>
              <w:jc w:val="left"/>
            </w:pPr>
            <w:r>
              <w:t xml:space="preserve">2011</w:t>
            </w:r>
          </w:p>
        </w:tc>
        <w:tc>
          <w:p>
            <w:pPr>
              <w:pStyle w:val="Compact"/>
              <w:jc w:val="left"/>
            </w:pPr>
            <w:r>
              <w:t xml:space="preserve">842</w:t>
            </w:r>
          </w:p>
        </w:tc>
        <w:tc>
          <w:p>
            <w:pPr>
              <w:pStyle w:val="Compact"/>
              <w:jc w:val="left"/>
            </w:pPr>
            <w:r>
              <w:t xml:space="preserve">156</w:t>
            </w:r>
          </w:p>
        </w:tc>
        <w:tc>
          <w:p>
            <w:pPr>
              <w:pStyle w:val="Compact"/>
              <w:jc w:val="left"/>
            </w:pPr>
            <w:r>
              <w:t xml:space="preserve">2601120060</w:t>
            </w:r>
          </w:p>
        </w:tc>
        <w:tc>
          <w:p>
            <w:pPr>
              <w:pStyle w:val="Compact"/>
              <w:jc w:val="left"/>
            </w:pPr>
            <w:r>
              <w:t xml:space="preserve">1</w:t>
            </w:r>
          </w:p>
        </w:tc>
        <w:tc>
          <w:p>
            <w:pPr>
              <w:pStyle w:val="Compact"/>
              <w:jc w:val="right"/>
            </w:pPr>
            <w:r>
              <w:t xml:space="preserve">6000</w:t>
            </w:r>
          </w:p>
        </w:tc>
        <w:tc>
          <w:p>
            <w:pPr>
              <w:pStyle w:val="Compact"/>
              <w:jc w:val="right"/>
            </w:pPr>
            <w:r>
              <w:t xml:space="preserve">6000</w:t>
            </w:r>
          </w:p>
        </w:tc>
        <w:tc>
          <w:p>
            <w:pPr>
              <w:pStyle w:val="Compact"/>
              <w:jc w:val="left"/>
            </w:pPr>
            <w:r>
              <w:t xml:space="preserve">8</w:t>
            </w:r>
          </w:p>
        </w:tc>
        <w:tc>
          <w:p>
            <w:pPr>
              <w:pStyle w:val="Compact"/>
              <w:jc w:val="right"/>
            </w:pPr>
            <w:r>
              <w:t xml:space="preserve">11141</w:t>
            </w:r>
          </w:p>
        </w:tc>
      </w:tr>
      <w:tr>
        <w:tc>
          <w:p>
            <w:pPr>
              <w:pStyle w:val="Compact"/>
              <w:jc w:val="left"/>
            </w:pPr>
            <w:r>
              <w:t xml:space="preserve">2011</w:t>
            </w:r>
          </w:p>
        </w:tc>
        <w:tc>
          <w:p>
            <w:pPr>
              <w:pStyle w:val="Compact"/>
              <w:jc w:val="left"/>
            </w:pPr>
            <w:r>
              <w:t xml:space="preserve">842</w:t>
            </w:r>
          </w:p>
        </w:tc>
        <w:tc>
          <w:p>
            <w:pPr>
              <w:pStyle w:val="Compact"/>
              <w:jc w:val="left"/>
            </w:pPr>
            <w:r>
              <w:t xml:space="preserve">76</w:t>
            </w:r>
          </w:p>
        </w:tc>
        <w:tc>
          <w:p>
            <w:pPr>
              <w:pStyle w:val="Compact"/>
              <w:jc w:val="left"/>
            </w:pPr>
            <w:r>
              <w:t xml:space="preserve">6406109090</w:t>
            </w:r>
          </w:p>
        </w:tc>
        <w:tc>
          <w:p>
            <w:pPr>
              <w:pStyle w:val="Compact"/>
              <w:jc w:val="left"/>
            </w:pPr>
            <w:r>
              <w:t xml:space="preserve">1</w:t>
            </w:r>
          </w:p>
        </w:tc>
        <w:tc>
          <w:p>
            <w:pPr>
              <w:pStyle w:val="Compact"/>
              <w:jc w:val="right"/>
            </w:pPr>
            <w:r>
              <w:t xml:space="preserve">NA</w:t>
            </w:r>
          </w:p>
        </w:tc>
        <w:tc>
          <w:p>
            <w:pPr>
              <w:pStyle w:val="Compact"/>
              <w:jc w:val="right"/>
            </w:pPr>
            <w:r>
              <w:t xml:space="preserve">NA</w:t>
            </w:r>
          </w:p>
        </w:tc>
        <w:tc>
          <w:p>
            <w:pPr>
              <w:pStyle w:val="Compact"/>
              <w:jc w:val="left"/>
            </w:pPr>
            <w:r>
              <w:t xml:space="preserve">1</w:t>
            </w:r>
          </w:p>
        </w:tc>
        <w:tc>
          <w:p>
            <w:pPr>
              <w:pStyle w:val="Compact"/>
              <w:jc w:val="right"/>
            </w:pPr>
            <w:r>
              <w:t xml:space="preserve">510080</w:t>
            </w:r>
          </w:p>
        </w:tc>
      </w:tr>
      <w:tr>
        <w:tc>
          <w:p>
            <w:pPr>
              <w:pStyle w:val="Compact"/>
              <w:jc w:val="left"/>
            </w:pPr>
            <w:r>
              <w:t xml:space="preserve">2011</w:t>
            </w:r>
          </w:p>
        </w:tc>
        <w:tc>
          <w:p>
            <w:pPr>
              <w:pStyle w:val="Compact"/>
              <w:jc w:val="left"/>
            </w:pPr>
            <w:r>
              <w:t xml:space="preserve">842</w:t>
            </w:r>
          </w:p>
        </w:tc>
        <w:tc>
          <w:p>
            <w:pPr>
              <w:pStyle w:val="Compact"/>
              <w:jc w:val="left"/>
            </w:pPr>
            <w:r>
              <w:t xml:space="preserve">36</w:t>
            </w:r>
          </w:p>
        </w:tc>
        <w:tc>
          <w:p>
            <w:pPr>
              <w:pStyle w:val="Compact"/>
              <w:jc w:val="left"/>
            </w:pPr>
            <w:r>
              <w:t xml:space="preserve">4421100000</w:t>
            </w:r>
          </w:p>
        </w:tc>
        <w:tc>
          <w:p>
            <w:pPr>
              <w:pStyle w:val="Compact"/>
              <w:jc w:val="left"/>
            </w:pPr>
            <w:r>
              <w:t xml:space="preserve">1</w:t>
            </w:r>
          </w:p>
        </w:tc>
        <w:tc>
          <w:p>
            <w:pPr>
              <w:pStyle w:val="Compact"/>
              <w:jc w:val="right"/>
            </w:pPr>
            <w:r>
              <w:t xml:space="preserve">NA</w:t>
            </w:r>
          </w:p>
        </w:tc>
        <w:tc>
          <w:p>
            <w:pPr>
              <w:pStyle w:val="Compact"/>
              <w:jc w:val="right"/>
            </w:pPr>
            <w:r>
              <w:t xml:space="preserve">NA</w:t>
            </w:r>
          </w:p>
        </w:tc>
        <w:tc>
          <w:p>
            <w:pPr>
              <w:pStyle w:val="Compact"/>
              <w:jc w:val="left"/>
            </w:pPr>
            <w:r>
              <w:t xml:space="preserve">1</w:t>
            </w:r>
          </w:p>
        </w:tc>
        <w:tc>
          <w:p>
            <w:pPr>
              <w:pStyle w:val="Compact"/>
              <w:jc w:val="right"/>
            </w:pPr>
            <w:r>
              <w:t xml:space="preserve">2823</w:t>
            </w:r>
          </w:p>
        </w:tc>
      </w:tr>
    </w:tbl>
    <w:p>
      <w:pPr>
        <w:pStyle w:val="TableCaption"/>
      </w:pPr>
      <w:r>
        <w:t xml:space="preserve">Random sample of import trade flows of 2011 year, reported by the US</w:t>
      </w:r>
    </w:p>
    <w:p>
      <w:r>
        <w:t xml:space="preserve">This is an example of unstandardised data on trade inflows in 2011, reported by the United States. Reporters and trade partners are represented with three-digit numerical</w:t>
      </w:r>
      <w:r>
        <w:t xml:space="preserve"> </w:t>
      </w:r>
      <w:hyperlink r:id="rId26">
        <w:r>
          <w:rPr>
            <w:rStyle w:val="Link"/>
          </w:rPr>
          <w:t xml:space="preserve">codes</w:t>
        </w:r>
      </w:hyperlink>
      <w:r>
        <w:t xml:space="preserve"> </w:t>
      </w:r>
      <w:r>
        <w:t xml:space="preserve">used by the Statistics Division of the United Nations. Trade commodities are classified with extended Harmonized Commodity Description and Coding System (HS)</w:t>
      </w:r>
      <w:r>
        <w:rPr>
          <w:rStyle w:val="FootnoteRef"/>
        </w:rPr>
        <w:footnoteReference w:id="27"/>
      </w:r>
      <w:r>
        <w:t xml:space="preserve"> </w:t>
      </w:r>
      <w:r>
        <w:t xml:space="preserve">maintained by the World Customs Organization</w:t>
      </w:r>
      <w:r>
        <w:rPr>
          <w:rStyle w:val="FootnoteRef"/>
        </w:rPr>
        <w:footnoteReference w:id="29"/>
      </w:r>
      <w:r>
        <w:t xml:space="preserve">.</w:t>
      </w:r>
    </w:p>
    <w:p>
      <w:r>
        <w:t xml:space="preserve">Weight is measured in kilograms and value in US dollars. Quantity (qty column) is an optional alternative for weight. It could be measured in different units (qunit column). See full list of possible units and their descriptions in Annex I of Quantity and Weight Data in UN Comtrade</w:t>
      </w:r>
      <w:r>
        <w:rPr>
          <w:rStyle w:val="FootnoteRef"/>
        </w:rPr>
        <w:footnoteReference w:id="31"/>
      </w:r>
      <w:r>
        <w:t xml:space="preserve">.</w:t>
      </w:r>
    </w:p>
    <w:p>
      <w:pPr>
        <w:pStyle w:val="Heading2"/>
      </w:pPr>
      <w:bookmarkStart w:id="33" w:name="country-specific-hs-commodity-codes"/>
      <w:bookmarkEnd w:id="33"/>
      <w:r>
        <w:t xml:space="preserve">Country-specific HS commodity codes</w:t>
      </w:r>
    </w:p>
    <w:p>
      <w:r>
        <w:t xml:space="preserve">Harmonized system classification is declared by WCO up to 6 digits. A country may extend HS to more detailed level to better respond to local circumstances. Let's compare differencies in codes under subheading 0202 Meat of bovine animals, frozen between the US and Brazil</w:t>
      </w:r>
      <w:r>
        <w:rPr>
          <w:rStyle w:val="FootnoteRef"/>
        </w:rPr>
        <w:footnoteReference w:id="34"/>
      </w:r>
      <w:r>
        <w:t xml:space="preserve">.</w:t>
      </w:r>
    </w:p>
    <w:tbl>
      <w:tblPr>
        <w:tblStyle w:val="TableNormal"/>
        <w:tblW w:type="pct" w:w="0.0"/>
        <w:tblCaption w:val="Extension of HS codes by the US"/>
      </w:tblPr>
      <w:tblGrid/>
      <w:tr>
        <w:tc>
          <w:tcPr>
            <w:tcBorders>
              <w:bottom w:val="single"/>
            </w:tcBorders>
            <w:vAlign w:val="bottom"/>
          </w:tcPr>
          <w:p>
            <w:pPr>
              <w:pStyle w:val="Compact"/>
              <w:jc w:val="left"/>
            </w:pPr>
            <w:r>
              <w:t xml:space="preserve">hs</w:t>
            </w:r>
          </w:p>
        </w:tc>
        <w:tc>
          <w:tcPr>
            <w:tcBorders>
              <w:bottom w:val="single"/>
            </w:tcBorders>
            <w:vAlign w:val="bottom"/>
          </w:tcPr>
          <w:p>
            <w:pPr>
              <w:pStyle w:val="Compact"/>
              <w:jc w:val="left"/>
            </w:pPr>
            <w:r>
              <w:t xml:space="preserve">Description</w:t>
            </w:r>
          </w:p>
        </w:tc>
      </w:tr>
      <w:tr>
        <w:tc>
          <w:p>
            <w:pPr>
              <w:pStyle w:val="Compact"/>
              <w:jc w:val="left"/>
            </w:pPr>
            <w:r>
              <w:t xml:space="preserve">02</w:t>
            </w:r>
          </w:p>
        </w:tc>
        <w:tc>
          <w:p>
            <w:pPr>
              <w:pStyle w:val="Compact"/>
              <w:jc w:val="left"/>
            </w:pPr>
            <w:r>
              <w:t xml:space="preserve">CHAPTER 2 MEAT AND EDIBLE MEAT OFFAL</w:t>
            </w:r>
          </w:p>
        </w:tc>
      </w:tr>
      <w:tr>
        <w:tc>
          <w:p>
            <w:pPr>
              <w:pStyle w:val="Compact"/>
              <w:jc w:val="left"/>
            </w:pPr>
            <w:r>
              <w:t xml:space="preserve">0202</w:t>
            </w:r>
          </w:p>
        </w:tc>
        <w:tc>
          <w:p>
            <w:pPr>
              <w:pStyle w:val="Compact"/>
              <w:jc w:val="left"/>
            </w:pPr>
            <w:r>
              <w:t xml:space="preserve">Meat of bovine animals, frozen:</w:t>
            </w:r>
          </w:p>
        </w:tc>
      </w:tr>
      <w:tr>
        <w:tc>
          <w:p>
            <w:pPr>
              <w:pStyle w:val="Compact"/>
              <w:jc w:val="left"/>
            </w:pPr>
            <w:r>
              <w:t xml:space="preserve">0202.10</w:t>
            </w:r>
          </w:p>
        </w:tc>
        <w:tc>
          <w:p>
            <w:pPr>
              <w:pStyle w:val="Compact"/>
              <w:jc w:val="left"/>
            </w:pPr>
            <w:r>
              <w:t xml:space="preserve">- Carcases and half-carcases:</w:t>
            </w:r>
          </w:p>
        </w:tc>
      </w:tr>
      <w:tr>
        <w:tc>
          <w:p>
            <w:pPr>
              <w:pStyle w:val="Compact"/>
              <w:jc w:val="left"/>
            </w:pPr>
            <w:r>
              <w:t xml:space="preserve">0202.10.05</w:t>
            </w:r>
          </w:p>
        </w:tc>
        <w:tc>
          <w:p>
            <w:pPr>
              <w:pStyle w:val="Compact"/>
              <w:jc w:val="left"/>
            </w:pPr>
            <w:r>
              <w:t xml:space="preserve">- - Described in general note 15 of the tariff schedule ...:</w:t>
            </w:r>
          </w:p>
        </w:tc>
      </w:tr>
      <w:tr>
        <w:tc>
          <w:p>
            <w:pPr>
              <w:pStyle w:val="Compact"/>
              <w:jc w:val="left"/>
            </w:pPr>
            <w:r>
              <w:t xml:space="preserve">0202.10.05.10</w:t>
            </w:r>
          </w:p>
        </w:tc>
        <w:tc>
          <w:p>
            <w:pPr>
              <w:pStyle w:val="Compact"/>
              <w:jc w:val="left"/>
            </w:pPr>
            <w:r>
              <w:t xml:space="preserve">- - - Veal</w:t>
            </w:r>
          </w:p>
        </w:tc>
      </w:tr>
      <w:tr>
        <w:tc>
          <w:p>
            <w:pPr>
              <w:pStyle w:val="Compact"/>
              <w:jc w:val="left"/>
            </w:pPr>
            <w:r>
              <w:t xml:space="preserve">0202.10.05.90</w:t>
            </w:r>
          </w:p>
        </w:tc>
        <w:tc>
          <w:p>
            <w:pPr>
              <w:pStyle w:val="Compact"/>
              <w:jc w:val="left"/>
            </w:pPr>
            <w:r>
              <w:t xml:space="preserve">- - - Other</w:t>
            </w:r>
          </w:p>
        </w:tc>
      </w:tr>
      <w:tr>
        <w:tc>
          <w:p>
            <w:pPr>
              <w:pStyle w:val="Compact"/>
              <w:jc w:val="left"/>
            </w:pPr>
            <w:r>
              <w:t xml:space="preserve">0202.10.10</w:t>
            </w:r>
          </w:p>
        </w:tc>
        <w:tc>
          <w:p>
            <w:pPr>
              <w:pStyle w:val="Compact"/>
              <w:jc w:val="left"/>
            </w:pPr>
            <w:r>
              <w:t xml:space="preserve">- - Described in additional U.S. note 3 to this chapter ...:</w:t>
            </w:r>
          </w:p>
        </w:tc>
      </w:tr>
      <w:tr>
        <w:tc>
          <w:p>
            <w:pPr>
              <w:pStyle w:val="Compact"/>
              <w:jc w:val="left"/>
            </w:pPr>
            <w:r>
              <w:t xml:space="preserve">0202.10.10.10</w:t>
            </w:r>
          </w:p>
        </w:tc>
        <w:tc>
          <w:p>
            <w:pPr>
              <w:pStyle w:val="Compact"/>
              <w:jc w:val="left"/>
            </w:pPr>
            <w:r>
              <w:t xml:space="preserve">- - - Veal</w:t>
            </w:r>
          </w:p>
        </w:tc>
      </w:tr>
      <w:tr>
        <w:tc>
          <w:p>
            <w:pPr>
              <w:pStyle w:val="Compact"/>
              <w:jc w:val="left"/>
            </w:pPr>
            <w:r>
              <w:t xml:space="preserve">0202.10.10.90</w:t>
            </w:r>
          </w:p>
        </w:tc>
        <w:tc>
          <w:p>
            <w:pPr>
              <w:pStyle w:val="Compact"/>
              <w:jc w:val="left"/>
            </w:pPr>
            <w:r>
              <w:t xml:space="preserve">- - - Other</w:t>
            </w:r>
          </w:p>
        </w:tc>
      </w:tr>
      <w:tr>
        <w:tc>
          <w:p>
            <w:pPr>
              <w:pStyle w:val="Compact"/>
              <w:jc w:val="left"/>
            </w:pPr>
            <w:r>
              <w:t xml:space="preserve">0202.10.50</w:t>
            </w:r>
          </w:p>
        </w:tc>
        <w:tc>
          <w:p>
            <w:pPr>
              <w:pStyle w:val="Compact"/>
              <w:jc w:val="left"/>
            </w:pPr>
            <w:r>
              <w:t xml:space="preserve">- - Other:</w:t>
            </w:r>
          </w:p>
        </w:tc>
      </w:tr>
      <w:tr>
        <w:tc>
          <w:p>
            <w:pPr>
              <w:pStyle w:val="Compact"/>
              <w:jc w:val="left"/>
            </w:pPr>
            <w:r>
              <w:t xml:space="preserve">0202.10.50.10</w:t>
            </w:r>
          </w:p>
        </w:tc>
        <w:tc>
          <w:p>
            <w:pPr>
              <w:pStyle w:val="Compact"/>
              <w:jc w:val="left"/>
            </w:pPr>
            <w:r>
              <w:t xml:space="preserve">- - - Veal</w:t>
            </w:r>
          </w:p>
        </w:tc>
      </w:tr>
      <w:tr>
        <w:tc>
          <w:p>
            <w:pPr>
              <w:pStyle w:val="Compact"/>
              <w:jc w:val="left"/>
            </w:pPr>
            <w:r>
              <w:t xml:space="preserve">0202.10.50.90</w:t>
            </w:r>
          </w:p>
        </w:tc>
        <w:tc>
          <w:p>
            <w:pPr>
              <w:pStyle w:val="Compact"/>
              <w:jc w:val="left"/>
            </w:pPr>
            <w:r>
              <w:t xml:space="preserve">- - - Other</w:t>
            </w:r>
          </w:p>
        </w:tc>
      </w:tr>
      <w:tr>
        <w:tc>
          <w:p>
            <w:pPr>
              <w:pStyle w:val="Compact"/>
              <w:jc w:val="left"/>
            </w:pPr>
            <w:r>
              <w:t xml:space="preserve">0202.20</w:t>
            </w:r>
          </w:p>
        </w:tc>
        <w:tc>
          <w:p>
            <w:pPr>
              <w:pStyle w:val="Compact"/>
              <w:jc w:val="left"/>
            </w:pPr>
            <w:r>
              <w:t xml:space="preserve">- Other cuts with bone in:</w:t>
            </w:r>
          </w:p>
        </w:tc>
      </w:tr>
      <w:tr>
        <w:tc>
          <w:p>
            <w:pPr>
              <w:pStyle w:val="Compact"/>
            </w:pPr>
          </w:p>
        </w:tc>
        <w:tc>
          <w:p>
            <w:pPr>
              <w:pStyle w:val="Compact"/>
              <w:jc w:val="left"/>
            </w:pPr>
            <w:r>
              <w:t xml:space="preserve">- - Described in general note 15 of the tariff schedule ...:</w:t>
            </w:r>
          </w:p>
        </w:tc>
      </w:tr>
      <w:tr>
        <w:tc>
          <w:p>
            <w:pPr>
              <w:pStyle w:val="Compact"/>
            </w:pPr>
          </w:p>
        </w:tc>
        <w:tc>
          <w:p>
            <w:pPr>
              <w:pStyle w:val="Compact"/>
              <w:jc w:val="left"/>
            </w:pPr>
            <w:r>
              <w:t xml:space="preserve">- - - Processed:</w:t>
            </w:r>
          </w:p>
        </w:tc>
      </w:tr>
      <w:tr>
        <w:tc>
          <w:p>
            <w:pPr>
              <w:pStyle w:val="Compact"/>
              <w:jc w:val="left"/>
            </w:pPr>
            <w:r>
              <w:t xml:space="preserve">0202.20.02</w:t>
            </w:r>
          </w:p>
        </w:tc>
        <w:tc>
          <w:p>
            <w:pPr>
              <w:pStyle w:val="Compact"/>
              <w:jc w:val="left"/>
            </w:pPr>
            <w:r>
              <w:t xml:space="preserve">- - - - High-quality beef cuts</w:t>
            </w:r>
          </w:p>
        </w:tc>
      </w:tr>
      <w:tr>
        <w:tc>
          <w:p>
            <w:pPr>
              <w:pStyle w:val="Compact"/>
              <w:jc w:val="left"/>
            </w:pPr>
            <w:r>
              <w:t xml:space="preserve">0202.20.04</w:t>
            </w:r>
          </w:p>
        </w:tc>
        <w:tc>
          <w:p>
            <w:pPr>
              <w:pStyle w:val="Compact"/>
              <w:jc w:val="left"/>
            </w:pPr>
            <w:r>
              <w:t xml:space="preserve">- - - - Other</w:t>
            </w:r>
          </w:p>
        </w:tc>
      </w:tr>
      <w:tr>
        <w:tc>
          <w:p>
            <w:pPr>
              <w:pStyle w:val="Compact"/>
              <w:jc w:val="left"/>
            </w:pPr>
            <w:r>
              <w:t xml:space="preserve">0202.20.06</w:t>
            </w:r>
          </w:p>
        </w:tc>
        <w:tc>
          <w:p>
            <w:pPr>
              <w:pStyle w:val="Compact"/>
              <w:jc w:val="left"/>
            </w:pPr>
            <w:r>
              <w:t xml:space="preserve">- - - Other</w:t>
            </w:r>
          </w:p>
        </w:tc>
      </w:tr>
      <w:tr>
        <w:tc>
          <w:p>
            <w:pPr>
              <w:pStyle w:val="Compact"/>
            </w:pPr>
          </w:p>
        </w:tc>
        <w:tc>
          <w:p>
            <w:pPr>
              <w:pStyle w:val="Compact"/>
              <w:jc w:val="left"/>
            </w:pPr>
            <w:r>
              <w:t xml:space="preserve">- - Described in additional U.S. note 3 to this chapter ...:</w:t>
            </w:r>
          </w:p>
        </w:tc>
      </w:tr>
      <w:tr>
        <w:tc>
          <w:p>
            <w:pPr>
              <w:pStyle w:val="Compact"/>
            </w:pPr>
          </w:p>
        </w:tc>
        <w:tc>
          <w:p>
            <w:pPr>
              <w:pStyle w:val="Compact"/>
              <w:jc w:val="left"/>
            </w:pPr>
            <w:r>
              <w:t xml:space="preserve">- - - Processed:</w:t>
            </w:r>
          </w:p>
        </w:tc>
      </w:tr>
      <w:tr>
        <w:tc>
          <w:p>
            <w:pPr>
              <w:pStyle w:val="Compact"/>
              <w:jc w:val="left"/>
            </w:pPr>
            <w:r>
              <w:t xml:space="preserve">0202.20.10</w:t>
            </w:r>
          </w:p>
        </w:tc>
        <w:tc>
          <w:p>
            <w:pPr>
              <w:pStyle w:val="Compact"/>
              <w:jc w:val="left"/>
            </w:pPr>
            <w:r>
              <w:t xml:space="preserve">- - - - High-quality beef cuts</w:t>
            </w:r>
          </w:p>
        </w:tc>
      </w:tr>
      <w:tr>
        <w:tc>
          <w:p>
            <w:pPr>
              <w:pStyle w:val="Compact"/>
              <w:jc w:val="left"/>
            </w:pPr>
            <w:r>
              <w:t xml:space="preserve">0202.20.30</w:t>
            </w:r>
          </w:p>
        </w:tc>
        <w:tc>
          <w:p>
            <w:pPr>
              <w:pStyle w:val="Compact"/>
              <w:jc w:val="left"/>
            </w:pPr>
            <w:r>
              <w:t xml:space="preserve">- - - - Other</w:t>
            </w:r>
          </w:p>
        </w:tc>
      </w:tr>
      <w:tr>
        <w:tc>
          <w:p>
            <w:pPr>
              <w:pStyle w:val="Compact"/>
              <w:jc w:val="left"/>
            </w:pPr>
            <w:r>
              <w:t xml:space="preserve">0202.20.50</w:t>
            </w:r>
          </w:p>
        </w:tc>
        <w:tc>
          <w:p>
            <w:pPr>
              <w:pStyle w:val="Compact"/>
              <w:jc w:val="left"/>
            </w:pPr>
            <w:r>
              <w:t xml:space="preserve">- - - Other</w:t>
            </w:r>
          </w:p>
        </w:tc>
      </w:tr>
      <w:tr>
        <w:tc>
          <w:p>
            <w:pPr>
              <w:pStyle w:val="Compact"/>
              <w:jc w:val="left"/>
            </w:pPr>
            <w:r>
              <w:t xml:space="preserve">0202.20.80</w:t>
            </w:r>
          </w:p>
        </w:tc>
        <w:tc>
          <w:p>
            <w:pPr>
              <w:pStyle w:val="Compact"/>
              <w:jc w:val="left"/>
            </w:pPr>
            <w:r>
              <w:t xml:space="preserve">- - Other</w:t>
            </w:r>
          </w:p>
        </w:tc>
      </w:tr>
      <w:tr>
        <w:tc>
          <w:p>
            <w:pPr>
              <w:pStyle w:val="Compact"/>
              <w:jc w:val="left"/>
            </w:pPr>
            <w:r>
              <w:t xml:space="preserve">0202.30</w:t>
            </w:r>
          </w:p>
        </w:tc>
        <w:tc>
          <w:p>
            <w:pPr>
              <w:pStyle w:val="Compact"/>
              <w:jc w:val="left"/>
            </w:pPr>
            <w:r>
              <w:t xml:space="preserve">- Boneless:</w:t>
            </w:r>
          </w:p>
        </w:tc>
      </w:tr>
      <w:tr>
        <w:tc>
          <w:p>
            <w:pPr>
              <w:pStyle w:val="Compact"/>
            </w:pPr>
          </w:p>
        </w:tc>
        <w:tc>
          <w:p>
            <w:pPr>
              <w:pStyle w:val="Compact"/>
              <w:jc w:val="left"/>
            </w:pPr>
            <w:r>
              <w:t xml:space="preserve">- - Described in general note 15 of the tariff schedule ...:</w:t>
            </w:r>
          </w:p>
        </w:tc>
      </w:tr>
      <w:tr>
        <w:tc>
          <w:p>
            <w:pPr>
              <w:pStyle w:val="Compact"/>
            </w:pPr>
          </w:p>
        </w:tc>
        <w:tc>
          <w:p>
            <w:pPr>
              <w:pStyle w:val="Compact"/>
              <w:jc w:val="left"/>
            </w:pPr>
            <w:r>
              <w:t xml:space="preserve">- - - Processed:</w:t>
            </w:r>
          </w:p>
        </w:tc>
      </w:tr>
      <w:tr>
        <w:tc>
          <w:p>
            <w:pPr>
              <w:pStyle w:val="Compact"/>
              <w:jc w:val="left"/>
            </w:pPr>
            <w:r>
              <w:t xml:space="preserve">0202.30.02</w:t>
            </w:r>
          </w:p>
        </w:tc>
        <w:tc>
          <w:p>
            <w:pPr>
              <w:pStyle w:val="Compact"/>
              <w:jc w:val="left"/>
            </w:pPr>
            <w:r>
              <w:t xml:space="preserve">- - - - High-quality beef cuts</w:t>
            </w:r>
          </w:p>
        </w:tc>
      </w:tr>
      <w:tr>
        <w:tc>
          <w:p>
            <w:pPr>
              <w:pStyle w:val="Compact"/>
              <w:jc w:val="left"/>
            </w:pPr>
            <w:r>
              <w:t xml:space="preserve">0202.30.04</w:t>
            </w:r>
          </w:p>
        </w:tc>
        <w:tc>
          <w:p>
            <w:pPr>
              <w:pStyle w:val="Compact"/>
              <w:jc w:val="left"/>
            </w:pPr>
            <w:r>
              <w:t xml:space="preserve">- - - - Other</w:t>
            </w:r>
          </w:p>
        </w:tc>
      </w:tr>
      <w:tr>
        <w:tc>
          <w:p>
            <w:pPr>
              <w:pStyle w:val="Compact"/>
              <w:jc w:val="left"/>
            </w:pPr>
            <w:r>
              <w:t xml:space="preserve">0202.30.06</w:t>
            </w:r>
          </w:p>
        </w:tc>
        <w:tc>
          <w:p>
            <w:pPr>
              <w:pStyle w:val="Compact"/>
              <w:jc w:val="left"/>
            </w:pPr>
            <w:r>
              <w:t xml:space="preserve">- - - Other</w:t>
            </w:r>
          </w:p>
        </w:tc>
      </w:tr>
      <w:tr>
        <w:tc>
          <w:p>
            <w:pPr>
              <w:pStyle w:val="Compact"/>
            </w:pPr>
          </w:p>
        </w:tc>
        <w:tc>
          <w:p>
            <w:pPr>
              <w:pStyle w:val="Compact"/>
              <w:jc w:val="left"/>
            </w:pPr>
            <w:r>
              <w:t xml:space="preserve">- - Described in additional U.S. note 3 to this chapter ...:</w:t>
            </w:r>
          </w:p>
        </w:tc>
      </w:tr>
      <w:tr>
        <w:tc>
          <w:p>
            <w:pPr>
              <w:pStyle w:val="Compact"/>
            </w:pPr>
          </w:p>
        </w:tc>
        <w:tc>
          <w:p>
            <w:pPr>
              <w:pStyle w:val="Compact"/>
              <w:jc w:val="left"/>
            </w:pPr>
            <w:r>
              <w:t xml:space="preserve">- - - Processed:</w:t>
            </w:r>
          </w:p>
        </w:tc>
      </w:tr>
      <w:tr>
        <w:tc>
          <w:p>
            <w:pPr>
              <w:pStyle w:val="Compact"/>
              <w:jc w:val="left"/>
            </w:pPr>
            <w:r>
              <w:t xml:space="preserve">0202.30.10</w:t>
            </w:r>
          </w:p>
        </w:tc>
        <w:tc>
          <w:p>
            <w:pPr>
              <w:pStyle w:val="Compact"/>
              <w:jc w:val="left"/>
            </w:pPr>
            <w:r>
              <w:t xml:space="preserve">- - - - High-quality beef cuts</w:t>
            </w:r>
          </w:p>
        </w:tc>
      </w:tr>
      <w:tr>
        <w:tc>
          <w:p>
            <w:pPr>
              <w:pStyle w:val="Compact"/>
              <w:jc w:val="left"/>
            </w:pPr>
            <w:r>
              <w:t xml:space="preserve">0202.30.30</w:t>
            </w:r>
          </w:p>
        </w:tc>
        <w:tc>
          <w:p>
            <w:pPr>
              <w:pStyle w:val="Compact"/>
              <w:jc w:val="left"/>
            </w:pPr>
            <w:r>
              <w:t xml:space="preserve">- - - - Other</w:t>
            </w:r>
          </w:p>
        </w:tc>
      </w:tr>
      <w:tr>
        <w:tc>
          <w:p>
            <w:pPr>
              <w:pStyle w:val="Compact"/>
              <w:jc w:val="left"/>
            </w:pPr>
            <w:r>
              <w:t xml:space="preserve">0202.30.50</w:t>
            </w:r>
          </w:p>
        </w:tc>
        <w:tc>
          <w:p>
            <w:pPr>
              <w:pStyle w:val="Compact"/>
              <w:jc w:val="left"/>
            </w:pPr>
            <w:r>
              <w:t xml:space="preserve">- - - Other</w:t>
            </w:r>
          </w:p>
        </w:tc>
      </w:tr>
      <w:tr>
        <w:tc>
          <w:p>
            <w:pPr>
              <w:pStyle w:val="Compact"/>
              <w:jc w:val="left"/>
            </w:pPr>
            <w:r>
              <w:t xml:space="preserve">0202.30.80</w:t>
            </w:r>
          </w:p>
        </w:tc>
        <w:tc>
          <w:p>
            <w:pPr>
              <w:pStyle w:val="Compact"/>
              <w:jc w:val="left"/>
            </w:pPr>
            <w:r>
              <w:t xml:space="preserve">- - Other</w:t>
            </w:r>
          </w:p>
        </w:tc>
      </w:tr>
    </w:tbl>
    <w:p>
      <w:pPr>
        <w:pStyle w:val="TableCaption"/>
      </w:pPr>
      <w:r>
        <w:t xml:space="preserve">Extension of HS codes by the US</w:t>
      </w:r>
    </w:p>
    <w:tbl>
      <w:tblPr>
        <w:tblStyle w:val="TableNormal"/>
        <w:tblW w:type="pct" w:w="0.0"/>
        <w:tblCaption w:val="Extension of HS codes by Brazil"/>
      </w:tblPr>
      <w:tblGrid/>
      <w:tr>
        <w:tc>
          <w:tcPr>
            <w:tcBorders>
              <w:bottom w:val="single"/>
            </w:tcBorders>
            <w:vAlign w:val="bottom"/>
          </w:tcPr>
          <w:p>
            <w:pPr>
              <w:pStyle w:val="Compact"/>
              <w:jc w:val="left"/>
            </w:pPr>
            <w:r>
              <w:t xml:space="preserve">hs</w:t>
            </w:r>
          </w:p>
        </w:tc>
        <w:tc>
          <w:tcPr>
            <w:tcBorders>
              <w:bottom w:val="single"/>
            </w:tcBorders>
            <w:vAlign w:val="bottom"/>
          </w:tcPr>
          <w:p>
            <w:pPr>
              <w:pStyle w:val="Compact"/>
              <w:jc w:val="left"/>
            </w:pPr>
            <w:r>
              <w:t xml:space="preserve">Description</w:t>
            </w:r>
          </w:p>
        </w:tc>
      </w:tr>
      <w:tr>
        <w:tc>
          <w:p>
            <w:pPr>
              <w:pStyle w:val="Compact"/>
              <w:jc w:val="left"/>
            </w:pPr>
            <w:r>
              <w:t xml:space="preserve">02</w:t>
            </w:r>
          </w:p>
        </w:tc>
        <w:tc>
          <w:p>
            <w:pPr>
              <w:pStyle w:val="Compact"/>
              <w:jc w:val="left"/>
            </w:pPr>
            <w:r>
              <w:t xml:space="preserve">CHAPTER 2 MEAT AND EDIBLE MEAT OFFAL</w:t>
            </w:r>
          </w:p>
        </w:tc>
      </w:tr>
      <w:tr>
        <w:tc>
          <w:p>
            <w:pPr>
              <w:pStyle w:val="Compact"/>
              <w:jc w:val="left"/>
            </w:pPr>
            <w:r>
              <w:t xml:space="preserve">0202</w:t>
            </w:r>
          </w:p>
        </w:tc>
        <w:tc>
          <w:p>
            <w:pPr>
              <w:pStyle w:val="Compact"/>
              <w:jc w:val="left"/>
            </w:pPr>
            <w:r>
              <w:t xml:space="preserve">Meat of bovine animals, frozen:</w:t>
            </w:r>
          </w:p>
        </w:tc>
      </w:tr>
      <w:tr>
        <w:tc>
          <w:p>
            <w:pPr>
              <w:pStyle w:val="Compact"/>
              <w:jc w:val="left"/>
            </w:pPr>
            <w:r>
              <w:t xml:space="preserve">0202.10</w:t>
            </w:r>
          </w:p>
        </w:tc>
        <w:tc>
          <w:p>
            <w:pPr>
              <w:pStyle w:val="Compact"/>
              <w:jc w:val="left"/>
            </w:pPr>
            <w:r>
              <w:t xml:space="preserve">- Carcases and half-carcases</w:t>
            </w:r>
          </w:p>
        </w:tc>
      </w:tr>
      <w:tr>
        <w:tc>
          <w:p>
            <w:pPr>
              <w:pStyle w:val="Compact"/>
              <w:jc w:val="left"/>
            </w:pPr>
            <w:r>
              <w:t xml:space="preserve">0202.20</w:t>
            </w:r>
          </w:p>
        </w:tc>
        <w:tc>
          <w:p>
            <w:pPr>
              <w:pStyle w:val="Compact"/>
              <w:jc w:val="left"/>
            </w:pPr>
            <w:r>
              <w:t xml:space="preserve">- Other cuts with bone in:</w:t>
            </w:r>
          </w:p>
        </w:tc>
      </w:tr>
      <w:tr>
        <w:tc>
          <w:p>
            <w:pPr>
              <w:pStyle w:val="Compact"/>
              <w:jc w:val="left"/>
            </w:pPr>
            <w:r>
              <w:t xml:space="preserve">0202.20.10</w:t>
            </w:r>
          </w:p>
        </w:tc>
        <w:tc>
          <w:p>
            <w:pPr>
              <w:pStyle w:val="Compact"/>
              <w:jc w:val="left"/>
            </w:pPr>
            <w:r>
              <w:t xml:space="preserve">- - Forequarters</w:t>
            </w:r>
          </w:p>
        </w:tc>
      </w:tr>
      <w:tr>
        <w:tc>
          <w:p>
            <w:pPr>
              <w:pStyle w:val="Compact"/>
              <w:jc w:val="left"/>
            </w:pPr>
            <w:r>
              <w:t xml:space="preserve">0202.20.20</w:t>
            </w:r>
          </w:p>
        </w:tc>
        <w:tc>
          <w:p>
            <w:pPr>
              <w:pStyle w:val="Compact"/>
              <w:jc w:val="left"/>
            </w:pPr>
            <w:r>
              <w:t xml:space="preserve">- - Hindquarters</w:t>
            </w:r>
          </w:p>
        </w:tc>
      </w:tr>
      <w:tr>
        <w:tc>
          <w:p>
            <w:pPr>
              <w:pStyle w:val="Compact"/>
              <w:jc w:val="left"/>
            </w:pPr>
            <w:r>
              <w:t xml:space="preserve">0202.20.90</w:t>
            </w:r>
          </w:p>
        </w:tc>
        <w:tc>
          <w:p>
            <w:pPr>
              <w:pStyle w:val="Compact"/>
              <w:jc w:val="left"/>
            </w:pPr>
            <w:r>
              <w:t xml:space="preserve">- - Other</w:t>
            </w:r>
          </w:p>
        </w:tc>
      </w:tr>
      <w:tr>
        <w:tc>
          <w:p>
            <w:pPr>
              <w:pStyle w:val="Compact"/>
              <w:jc w:val="left"/>
            </w:pPr>
            <w:r>
              <w:t xml:space="preserve">0202.30</w:t>
            </w:r>
          </w:p>
        </w:tc>
        <w:tc>
          <w:p>
            <w:pPr>
              <w:pStyle w:val="Compact"/>
              <w:jc w:val="left"/>
            </w:pPr>
            <w:r>
              <w:t xml:space="preserve">- Boneless</w:t>
            </w:r>
          </w:p>
        </w:tc>
      </w:tr>
    </w:tbl>
    <w:p>
      <w:pPr>
        <w:pStyle w:val="TableCaption"/>
      </w:pPr>
      <w:r>
        <w:t xml:space="preserve">Extension of HS codes by Brazil</w:t>
      </w:r>
    </w:p>
    <w:p>
      <w:r>
        <w:t xml:space="preserve">The set of HS-codes from the US is wider, than Brazilian one. For boneless meat Brazil doesn't extend standard code 0202.30, when the US use here seven additional codes.</w:t>
      </w:r>
    </w:p>
    <w:p>
      <w:pPr>
        <w:pStyle w:val="Heading1"/>
      </w:pPr>
      <w:bookmarkStart w:id="36" w:name="validation-of-trade-data"/>
      <w:bookmarkEnd w:id="36"/>
      <w:r>
        <w:t xml:space="preserve">Validation of trade data</w:t>
      </w:r>
    </w:p>
    <w:p>
      <w:pPr>
        <w:pStyle w:val="Heading3"/>
      </w:pPr>
      <w:bookmarkStart w:id="37" w:name="self-trade"/>
      <w:bookmarkEnd w:id="37"/>
      <w:r>
        <w:t xml:space="preserve">Self-trade</w:t>
      </w:r>
    </w:p>
    <w:p>
      <w:r>
        <w:t xml:space="preserve">There are cases when a country reports itself as a partner to exports or imports. Such situations can occur due to mistakes or when an entrepôt exists.</w:t>
      </w:r>
    </w:p>
    <w:p>
      <w:pPr>
        <w:pStyle w:val="Heading2"/>
      </w:pPr>
      <w:bookmarkStart w:id="38" w:name="detection-of-outliers"/>
      <w:bookmarkEnd w:id="38"/>
      <w:r>
        <w:t xml:space="preserve">Detection of outliers</w:t>
      </w:r>
    </w:p>
    <w:p>
      <w:pPr>
        <w:pStyle w:val="Heading2"/>
      </w:pPr>
      <w:bookmarkStart w:id="39" w:name="imputing-of-missing-quantities-and-replacement-of-outliers"/>
      <w:bookmarkEnd w:id="39"/>
      <w:r>
        <w:t xml:space="preserve">Imputing of missing quantities and replacement of outliers</w:t>
      </w:r>
    </w:p>
    <w:p>
      <w:pPr>
        <w:pStyle w:val="Heading1"/>
      </w:pPr>
      <w:bookmarkStart w:id="40" w:name="aggregation-of-trade-data"/>
      <w:bookmarkEnd w:id="40"/>
      <w:r>
        <w:t xml:space="preserve">Aggregation of trade data</w:t>
      </w:r>
    </w:p>
    <w:p>
      <w:pPr>
        <w:pStyle w:val="Heading2"/>
      </w:pPr>
      <w:bookmarkStart w:id="41" w:name="reliability-index"/>
      <w:bookmarkEnd w:id="41"/>
      <w:r>
        <w:t xml:space="preserve">Reliability index</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hyperlink r:id="rId23">
        <w:r>
          <w:rPr>
            <w:rStyle w:val="Link"/>
          </w:rPr>
          <w:t xml:space="preserve">http://unstats.un.org/unsd/comtrade_announcement.htm</w:t>
        </w:r>
      </w:hyperlink>
      <w:r>
        <w:t xml:space="preserve"> </w:t>
      </w:r>
      <w:r>
        <w:t xml:space="preserve">Comtrade Announcement</w:t>
      </w:r>
    </w:p>
  </w:footnote>
  <w:footnote w:id="27">
    <w:p>
      <w:pPr>
        <w:pStyle w:val="FootnoteText"/>
      </w:pPr>
      <w:r>
        <w:rPr>
          <w:rStyle w:val="FootnoteRef"/>
        </w:rPr>
        <w:footnoteRef/>
      </w:r>
      <w:hyperlink r:id="rId28">
        <w:r>
          <w:rPr>
            <w:rStyle w:val="Link"/>
          </w:rPr>
          <w:t xml:space="preserve">http://www.wcoomd.org/en/topics/nomenclature/overview/what-is-the-harmonized-system.aspx</w:t>
        </w:r>
      </w:hyperlink>
      <w:r>
        <w:t xml:space="preserve"> </w:t>
      </w:r>
      <w:r>
        <w:t xml:space="preserve">What is the Harmonized System (HS)?</w:t>
      </w:r>
    </w:p>
  </w:footnote>
  <w:footnote w:id="29">
    <w:p>
      <w:pPr>
        <w:pStyle w:val="FootnoteText"/>
      </w:pPr>
      <w:r>
        <w:rPr>
          <w:rStyle w:val="FootnoteRef"/>
        </w:rPr>
        <w:footnoteRef/>
      </w:r>
      <w:hyperlink r:id="rId30">
        <w:r>
          <w:rPr>
            <w:rStyle w:val="Link"/>
          </w:rPr>
          <w:t xml:space="preserve">http://www.wcoomd.org/en.aspx</w:t>
        </w:r>
      </w:hyperlink>
      <w:r>
        <w:t xml:space="preserve"> </w:t>
      </w:r>
      <w:r>
        <w:t xml:space="preserve">World Customs Organization</w:t>
      </w:r>
    </w:p>
  </w:footnote>
  <w:footnote w:id="31">
    <w:p>
      <w:pPr>
        <w:pStyle w:val="FootnoteText"/>
      </w:pPr>
      <w:r>
        <w:rPr>
          <w:rStyle w:val="FootnoteRef"/>
        </w:rPr>
        <w:footnoteRef/>
      </w:r>
      <w:hyperlink r:id="rId32">
        <w:r>
          <w:rPr>
            <w:rStyle w:val="Link"/>
          </w:rPr>
          <w:t xml:space="preserve">http://unstats.un.org/unsd/tradekb/Knowledgebase/Quantity-and-Weight-Data-in-UN-Comtrade</w:t>
        </w:r>
      </w:hyperlink>
      <w:r>
        <w:t xml:space="preserve"> </w:t>
      </w:r>
      <w:r>
        <w:t xml:space="preserve">Quantity and Weight Data in UN Comtrade</w:t>
      </w:r>
    </w:p>
  </w:footnote>
  <w:footnote w:id="34">
    <w:p>
      <w:pPr>
        <w:pStyle w:val="FootnoteText"/>
      </w:pPr>
      <w:r>
        <w:rPr>
          <w:rStyle w:val="FootnoteRef"/>
        </w:rPr>
        <w:footnoteRef/>
      </w:r>
      <w:hyperlink r:id="rId35">
        <w:r>
          <w:rPr>
            <w:rStyle w:val="Link"/>
          </w:rPr>
          <w:t xml:space="preserve">http://madb.europa.eu</w:t>
        </w:r>
      </w:hyperlink>
      <w:r>
        <w:t xml:space="preserve"> </w:t>
      </w:r>
      <w:r>
        <w:t xml:space="preserve">Descriptions of country-specific HS-codes are provided by Market Access Database and copyrighted by Mendel Verlag, Germany.</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5e33c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comtrade.un.org/data/" TargetMode="External" /><Relationship Type="http://schemas.openxmlformats.org/officeDocument/2006/relationships/hyperlink" Id="rId35" Target="http://madb.europa.eu" TargetMode="External" /><Relationship Type="http://schemas.openxmlformats.org/officeDocument/2006/relationships/hyperlink" Id="rId23" Target="http://unstats.un.org/unsd/comtrade_announcement.htm" TargetMode="External" /><Relationship Type="http://schemas.openxmlformats.org/officeDocument/2006/relationships/hyperlink" Id="rId22" Target="http://unstats.un.org/unsd/default.htm" TargetMode="External" /><Relationship Type="http://schemas.openxmlformats.org/officeDocument/2006/relationships/hyperlink" Id="rId26" Target="http://unstats.un.org/unsd/methods/m49/m49.htm" TargetMode="External" /><Relationship Type="http://schemas.openxmlformats.org/officeDocument/2006/relationships/hyperlink" Id="rId32" Target="http://unstats.un.org/unsd/tradekb/Knowledgebase/Quantity-and-Weight-Data-in-UN-Comtrade" TargetMode="External" /><Relationship Type="http://schemas.openxmlformats.org/officeDocument/2006/relationships/hyperlink" Id="rId30" Target="http://www.wcoomd.org/en.aspx" TargetMode="External" /><Relationship Type="http://schemas.openxmlformats.org/officeDocument/2006/relationships/hyperlink" Id="rId28" Target="http://www.wcoomd.org/en/topics/nomenclature/overview/what-is-the-harmonized-system.aspx" TargetMode="External" /></Relationships>
</file>

<file path=word/_rels/footnotes.xml.rels><?xml version="1.0" encoding="UTF-8"?>
<Relationships xmlns="http://schemas.openxmlformats.org/package/2006/relationships"><Relationship Type="http://schemas.openxmlformats.org/officeDocument/2006/relationships/hyperlink" Id="rId25" Target="http://comtrade.un.org/data/" TargetMode="External" /><Relationship Type="http://schemas.openxmlformats.org/officeDocument/2006/relationships/hyperlink" Id="rId35" Target="http://madb.europa.eu" TargetMode="External" /><Relationship Type="http://schemas.openxmlformats.org/officeDocument/2006/relationships/hyperlink" Id="rId23" Target="http://unstats.un.org/unsd/comtrade_announcement.htm" TargetMode="External" /><Relationship Type="http://schemas.openxmlformats.org/officeDocument/2006/relationships/hyperlink" Id="rId22" Target="http://unstats.un.org/unsd/default.htm" TargetMode="External" /><Relationship Type="http://schemas.openxmlformats.org/officeDocument/2006/relationships/hyperlink" Id="rId26" Target="http://unstats.un.org/unsd/methods/m49/m49.htm" TargetMode="External" /><Relationship Type="http://schemas.openxmlformats.org/officeDocument/2006/relationships/hyperlink" Id="rId32" Target="http://unstats.un.org/unsd/tradekb/Knowledgebase/Quantity-and-Weight-Data-in-UN-Comtrade" TargetMode="External" /><Relationship Type="http://schemas.openxmlformats.org/officeDocument/2006/relationships/hyperlink" Id="rId30" Target="http://www.wcoomd.org/en.aspx" TargetMode="External" /><Relationship Type="http://schemas.openxmlformats.org/officeDocument/2006/relationships/hyperlink" Id="rId28" Target="http://www.wcoomd.org/en/topics/nomenclature/overview/what-is-the-harmonized-system.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Agricultural trade data processing</dc:title>
  <dc:creator/>
</cp:coreProperties>
</file>