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50.png" ContentType="image/png"/>
  <Override PartName="/word/media/rId54.png" ContentType="image/png"/>
  <Override PartName="/word/media/rId5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Agricultural</w:t>
      </w:r>
      <w:r>
        <w:t xml:space="preserve"> </w:t>
      </w:r>
      <w:r>
        <w:t xml:space="preserve">trade</w:t>
      </w:r>
      <w:r>
        <w:t xml:space="preserve"> </w:t>
      </w:r>
      <w:r>
        <w:t xml:space="preserve">data</w:t>
      </w:r>
      <w:r>
        <w:t xml:space="preserve"> </w:t>
      </w:r>
      <w:r>
        <w:t xml:space="preserve">processing</w:t>
      </w:r>
    </w:p>
    <w:p>
      <w:pPr>
        <w:pStyle w:val="Date"/>
      </w:pPr>
      <w:r>
        <w:t xml:space="preserve">July</w:t>
      </w:r>
      <w:r>
        <w:t xml:space="preserve"> </w:t>
      </w:r>
      <w:r>
        <w:t xml:space="preserve">9,</w:t>
      </w:r>
      <w:r>
        <w:t xml:space="preserve"> </w:t>
      </w:r>
      <w:r>
        <w:t xml:space="preserve">2015</w:t>
      </w:r>
    </w:p>
    <w:p>
      <w:r>
        <w:t xml:space="preserve">Last update: 2015-08-10 10:38:17</w:t>
      </w:r>
    </w:p>
    <w:p>
      <w:pPr>
        <w:pStyle w:val="Heading1"/>
      </w:pPr>
      <w:bookmarkStart w:id="21" w:name="raw-trade-data"/>
      <w:bookmarkEnd w:id="21"/>
      <w:r>
        <w:t xml:space="preserve">Raw trade data</w:t>
      </w:r>
    </w:p>
    <w:p>
      <w:r>
        <w:t xml:space="preserve">FAO receives data on trade flows from</w:t>
      </w:r>
      <w:r>
        <w:t xml:space="preserve"> </w:t>
      </w:r>
      <w:hyperlink r:id="rId22">
        <w:r>
          <w:rPr>
            <w:rStyle w:val="Link"/>
          </w:rPr>
          <w:t xml:space="preserve">United Nations Statistical Division</w:t>
        </w:r>
      </w:hyperlink>
      <w:r>
        <w:t xml:space="preserve">. The division runs</w:t>
      </w:r>
      <w:r>
        <w:t xml:space="preserve"> </w:t>
      </w:r>
      <w:hyperlink r:id="rId23">
        <w:r>
          <w:rPr>
            <w:rStyle w:val="Link"/>
          </w:rPr>
          <w:t xml:space="preserve">Commodity Trade Statistics Database UN Comtrade</w:t>
        </w:r>
      </w:hyperlink>
      <w:r>
        <w:t xml:space="preserve"> </w:t>
      </w:r>
      <w:r>
        <w:t xml:space="preserve">"It stores standardised official annual trade statistics reported by countries and reflecting international merchandise flows detailed by commodity and partner country with coverage reaching up to 99 percent of world merchandise trade</w:t>
      </w:r>
      <w:r>
        <w:rPr>
          <w:rStyle w:val="FootnoteRef"/>
        </w:rPr>
        <w:footnoteReference w:id="24"/>
      </w:r>
      <w:r>
        <w:t xml:space="preserve">".</w:t>
      </w:r>
    </w:p>
    <w:p>
      <w:r>
        <w:t xml:space="preserve">One can freely download this standardised statistics from the</w:t>
      </w:r>
      <w:r>
        <w:t xml:space="preserve"> </w:t>
      </w:r>
      <w:hyperlink r:id="rId25">
        <w:r>
          <w:rPr>
            <w:rStyle w:val="Link"/>
          </w:rPr>
          <w:t xml:space="preserve">open data base</w:t>
        </w:r>
      </w:hyperlink>
      <w:r>
        <w:t xml:space="preserve">. Statistical Division of FAO gets unstandardised data.</w:t>
      </w:r>
    </w:p>
    <w:tbl>
      <w:tblPr>
        <w:tblStyle w:val="TableNormal"/>
        <w:tblW w:type="pct" w:w="0.0"/>
        <w:tblCaption w:val="Random sample of import trade flows of 2011 year, reported by the US"/>
      </w:tblPr>
      <w:tblGrid/>
      <w:tr>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qty</w:t>
            </w:r>
          </w:p>
        </w:tc>
        <w:tc>
          <w:tcPr>
            <w:tcBorders>
              <w:bottom w:val="single"/>
            </w:tcBorders>
            <w:vAlign w:val="bottom"/>
          </w:tcPr>
          <w:p>
            <w:pPr>
              <w:pStyle w:val="Compact"/>
              <w:jc w:val="left"/>
            </w:pPr>
            <w:r>
              <w:t xml:space="preserve">qunit</w:t>
            </w:r>
          </w:p>
        </w:tc>
        <w:tc>
          <w:tcPr>
            <w:tcBorders>
              <w:bottom w:val="single"/>
            </w:tcBorders>
            <w:vAlign w:val="bottom"/>
          </w:tcPr>
          <w:p>
            <w:pPr>
              <w:pStyle w:val="Compact"/>
              <w:jc w:val="right"/>
            </w:pPr>
            <w:r>
              <w:t xml:space="preserve">value</w:t>
            </w:r>
          </w:p>
        </w:tc>
      </w:tr>
      <w:tr>
        <w:tc>
          <w:p>
            <w:pPr>
              <w:pStyle w:val="Compact"/>
              <w:jc w:val="left"/>
            </w:pPr>
            <w:r>
              <w:t xml:space="preserve">2011</w:t>
            </w:r>
          </w:p>
        </w:tc>
        <w:tc>
          <w:p>
            <w:pPr>
              <w:pStyle w:val="Compact"/>
              <w:jc w:val="left"/>
            </w:pPr>
            <w:r>
              <w:t xml:space="preserve">842</w:t>
            </w:r>
          </w:p>
        </w:tc>
        <w:tc>
          <w:p>
            <w:pPr>
              <w:pStyle w:val="Compact"/>
              <w:jc w:val="left"/>
            </w:pPr>
            <w:r>
              <w:t xml:space="preserve">300</w:t>
            </w:r>
          </w:p>
        </w:tc>
        <w:tc>
          <w:p>
            <w:pPr>
              <w:pStyle w:val="Compact"/>
              <w:jc w:val="left"/>
            </w:pPr>
            <w:r>
              <w:t xml:space="preserve">9801001095</w:t>
            </w:r>
          </w:p>
        </w:tc>
        <w:tc>
          <w:p>
            <w:pPr>
              <w:pStyle w:val="Compact"/>
              <w:jc w:val="left"/>
            </w:pPr>
            <w:r>
              <w:t xml:space="preserve">1</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right"/>
            </w:pPr>
            <w:r>
              <w:t xml:space="preserve">4603671</w:t>
            </w:r>
          </w:p>
        </w:tc>
      </w:tr>
      <w:tr>
        <w:tc>
          <w:p>
            <w:pPr>
              <w:pStyle w:val="Compact"/>
              <w:jc w:val="left"/>
            </w:pPr>
            <w:r>
              <w:t xml:space="preserve">2011</w:t>
            </w:r>
          </w:p>
        </w:tc>
        <w:tc>
          <w:p>
            <w:pPr>
              <w:pStyle w:val="Compact"/>
              <w:jc w:val="left"/>
            </w:pPr>
            <w:r>
              <w:t xml:space="preserve">842</w:t>
            </w:r>
          </w:p>
        </w:tc>
        <w:tc>
          <w:p>
            <w:pPr>
              <w:pStyle w:val="Compact"/>
              <w:jc w:val="left"/>
            </w:pPr>
            <w:r>
              <w:t xml:space="preserve">480</w:t>
            </w:r>
          </w:p>
        </w:tc>
        <w:tc>
          <w:p>
            <w:pPr>
              <w:pStyle w:val="Compact"/>
              <w:jc w:val="left"/>
            </w:pPr>
            <w:r>
              <w:t xml:space="preserve">6208993020</w:t>
            </w:r>
          </w:p>
        </w:tc>
        <w:tc>
          <w:p>
            <w:pPr>
              <w:pStyle w:val="Compact"/>
              <w:jc w:val="left"/>
            </w:pPr>
            <w:r>
              <w:t xml:space="preserve">1</w:t>
            </w:r>
          </w:p>
        </w:tc>
        <w:tc>
          <w:p>
            <w:pPr>
              <w:pStyle w:val="Compact"/>
              <w:jc w:val="right"/>
            </w:pPr>
            <w:r>
              <w:t xml:space="preserve">2</w:t>
            </w:r>
          </w:p>
        </w:tc>
        <w:tc>
          <w:p>
            <w:pPr>
              <w:pStyle w:val="Compact"/>
              <w:jc w:val="right"/>
            </w:pPr>
            <w:r>
              <w:t xml:space="preserve">4</w:t>
            </w:r>
          </w:p>
        </w:tc>
        <w:tc>
          <w:p>
            <w:pPr>
              <w:pStyle w:val="Compact"/>
              <w:jc w:val="left"/>
            </w:pPr>
            <w:r>
              <w:t xml:space="preserve">11</w:t>
            </w:r>
          </w:p>
        </w:tc>
        <w:tc>
          <w:p>
            <w:pPr>
              <w:pStyle w:val="Compact"/>
              <w:jc w:val="right"/>
            </w:pPr>
            <w:r>
              <w:t xml:space="preserve">1494</w:t>
            </w:r>
          </w:p>
        </w:tc>
      </w:tr>
      <w:tr>
        <w:tc>
          <w:p>
            <w:pPr>
              <w:pStyle w:val="Compact"/>
              <w:jc w:val="left"/>
            </w:pPr>
            <w:r>
              <w:t xml:space="preserve">2011</w:t>
            </w:r>
          </w:p>
        </w:tc>
        <w:tc>
          <w:p>
            <w:pPr>
              <w:pStyle w:val="Compact"/>
              <w:jc w:val="left"/>
            </w:pPr>
            <w:r>
              <w:t xml:space="preserve">842</w:t>
            </w:r>
          </w:p>
        </w:tc>
        <w:tc>
          <w:p>
            <w:pPr>
              <w:pStyle w:val="Compact"/>
              <w:jc w:val="left"/>
            </w:pPr>
            <w:r>
              <w:t xml:space="preserve">36</w:t>
            </w:r>
          </w:p>
        </w:tc>
        <w:tc>
          <w:p>
            <w:pPr>
              <w:pStyle w:val="Compact"/>
              <w:jc w:val="left"/>
            </w:pPr>
            <w:r>
              <w:t xml:space="preserve">9401612010</w:t>
            </w:r>
          </w:p>
        </w:tc>
        <w:tc>
          <w:p>
            <w:pPr>
              <w:pStyle w:val="Compact"/>
              <w:jc w:val="left"/>
            </w:pPr>
            <w:r>
              <w:t xml:space="preserve">1</w:t>
            </w:r>
          </w:p>
        </w:tc>
        <w:tc>
          <w:p>
            <w:pPr>
              <w:pStyle w:val="Compact"/>
              <w:jc w:val="right"/>
            </w:pPr>
            <w:r>
              <w:t xml:space="preserve">NA</w:t>
            </w:r>
          </w:p>
        </w:tc>
        <w:tc>
          <w:p>
            <w:pPr>
              <w:pStyle w:val="Compact"/>
              <w:jc w:val="right"/>
            </w:pPr>
            <w:r>
              <w:t xml:space="preserve">663</w:t>
            </w:r>
          </w:p>
        </w:tc>
        <w:tc>
          <w:p>
            <w:pPr>
              <w:pStyle w:val="Compact"/>
              <w:jc w:val="left"/>
            </w:pPr>
            <w:r>
              <w:t xml:space="preserve">5</w:t>
            </w:r>
          </w:p>
        </w:tc>
        <w:tc>
          <w:p>
            <w:pPr>
              <w:pStyle w:val="Compact"/>
              <w:jc w:val="right"/>
            </w:pPr>
            <w:r>
              <w:t xml:space="preserve">41452</w:t>
            </w:r>
          </w:p>
        </w:tc>
      </w:tr>
      <w:tr>
        <w:tc>
          <w:p>
            <w:pPr>
              <w:pStyle w:val="Compact"/>
              <w:jc w:val="left"/>
            </w:pPr>
            <w:r>
              <w:t xml:space="preserve">2011</w:t>
            </w:r>
          </w:p>
        </w:tc>
        <w:tc>
          <w:p>
            <w:pPr>
              <w:pStyle w:val="Compact"/>
              <w:jc w:val="left"/>
            </w:pPr>
            <w:r>
              <w:t xml:space="preserve">842</w:t>
            </w:r>
          </w:p>
        </w:tc>
        <w:tc>
          <w:p>
            <w:pPr>
              <w:pStyle w:val="Compact"/>
              <w:jc w:val="left"/>
            </w:pPr>
            <w:r>
              <w:t xml:space="preserve">442</w:t>
            </w:r>
          </w:p>
        </w:tc>
        <w:tc>
          <w:p>
            <w:pPr>
              <w:pStyle w:val="Compact"/>
              <w:jc w:val="left"/>
            </w:pPr>
            <w:r>
              <w:t xml:space="preserve">9801001071</w:t>
            </w:r>
          </w:p>
        </w:tc>
        <w:tc>
          <w:p>
            <w:pPr>
              <w:pStyle w:val="Compact"/>
              <w:jc w:val="left"/>
            </w:pPr>
            <w:r>
              <w:t xml:space="preserve">1</w:t>
            </w:r>
          </w:p>
        </w:tc>
        <w:tc>
          <w:p>
            <w:pPr>
              <w:pStyle w:val="Compact"/>
              <w:jc w:val="right"/>
            </w:pPr>
            <w:r>
              <w:t xml:space="preserve">NA</w:t>
            </w:r>
          </w:p>
        </w:tc>
        <w:tc>
          <w:p>
            <w:pPr>
              <w:pStyle w:val="Compact"/>
              <w:jc w:val="right"/>
            </w:pPr>
            <w:r>
              <w:t xml:space="preserve">NA</w:t>
            </w:r>
          </w:p>
        </w:tc>
        <w:tc>
          <w:p>
            <w:pPr>
              <w:pStyle w:val="Compact"/>
              <w:jc w:val="left"/>
            </w:pPr>
            <w:r>
              <w:t xml:space="preserve">1</w:t>
            </w:r>
          </w:p>
        </w:tc>
        <w:tc>
          <w:p>
            <w:pPr>
              <w:pStyle w:val="Compact"/>
              <w:jc w:val="right"/>
            </w:pPr>
            <w:r>
              <w:t xml:space="preserve">80744</w:t>
            </w:r>
          </w:p>
        </w:tc>
      </w:tr>
      <w:tr>
        <w:tc>
          <w:p>
            <w:pPr>
              <w:pStyle w:val="Compact"/>
              <w:jc w:val="left"/>
            </w:pPr>
            <w:r>
              <w:t xml:space="preserve">2011</w:t>
            </w:r>
          </w:p>
        </w:tc>
        <w:tc>
          <w:p>
            <w:pPr>
              <w:pStyle w:val="Compact"/>
              <w:jc w:val="left"/>
            </w:pPr>
            <w:r>
              <w:t xml:space="preserve">842</w:t>
            </w:r>
          </w:p>
        </w:tc>
        <w:tc>
          <w:p>
            <w:pPr>
              <w:pStyle w:val="Compact"/>
              <w:jc w:val="left"/>
            </w:pPr>
            <w:r>
              <w:t xml:space="preserve">380</w:t>
            </w:r>
          </w:p>
        </w:tc>
        <w:tc>
          <w:p>
            <w:pPr>
              <w:pStyle w:val="Compact"/>
              <w:jc w:val="left"/>
            </w:pPr>
            <w:r>
              <w:t xml:space="preserve">8101998000</w:t>
            </w:r>
          </w:p>
        </w:tc>
        <w:tc>
          <w:p>
            <w:pPr>
              <w:pStyle w:val="Compact"/>
              <w:jc w:val="left"/>
            </w:pPr>
            <w:r>
              <w:t xml:space="preserve">1</w:t>
            </w:r>
          </w:p>
        </w:tc>
        <w:tc>
          <w:p>
            <w:pPr>
              <w:pStyle w:val="Compact"/>
              <w:jc w:val="right"/>
            </w:pPr>
            <w:r>
              <w:t xml:space="preserve">103</w:t>
            </w:r>
          </w:p>
        </w:tc>
        <w:tc>
          <w:p>
            <w:pPr>
              <w:pStyle w:val="Compact"/>
              <w:jc w:val="right"/>
            </w:pPr>
            <w:r>
              <w:t xml:space="preserve">103</w:t>
            </w:r>
          </w:p>
        </w:tc>
        <w:tc>
          <w:p>
            <w:pPr>
              <w:pStyle w:val="Compact"/>
              <w:jc w:val="left"/>
            </w:pPr>
            <w:r>
              <w:t xml:space="preserve">8</w:t>
            </w:r>
          </w:p>
        </w:tc>
        <w:tc>
          <w:p>
            <w:pPr>
              <w:pStyle w:val="Compact"/>
              <w:jc w:val="right"/>
            </w:pPr>
            <w:r>
              <w:t xml:space="preserve">20982</w:t>
            </w:r>
          </w:p>
        </w:tc>
      </w:tr>
      <w:tr>
        <w:tc>
          <w:p>
            <w:pPr>
              <w:pStyle w:val="Compact"/>
              <w:jc w:val="left"/>
            </w:pPr>
            <w:r>
              <w:t xml:space="preserve">2011</w:t>
            </w:r>
          </w:p>
        </w:tc>
        <w:tc>
          <w:p>
            <w:pPr>
              <w:pStyle w:val="Compact"/>
              <w:jc w:val="left"/>
            </w:pPr>
            <w:r>
              <w:t xml:space="preserve">842</w:t>
            </w:r>
          </w:p>
        </w:tc>
        <w:tc>
          <w:p>
            <w:pPr>
              <w:pStyle w:val="Compact"/>
              <w:jc w:val="left"/>
            </w:pPr>
            <w:r>
              <w:t xml:space="preserve">56</w:t>
            </w:r>
          </w:p>
        </w:tc>
        <w:tc>
          <w:p>
            <w:pPr>
              <w:pStyle w:val="Compact"/>
              <w:jc w:val="left"/>
            </w:pPr>
            <w:r>
              <w:t xml:space="preserve">5810929030</w:t>
            </w:r>
          </w:p>
        </w:tc>
        <w:tc>
          <w:p>
            <w:pPr>
              <w:pStyle w:val="Compact"/>
              <w:jc w:val="left"/>
            </w:pPr>
            <w:r>
              <w:t xml:space="preserve">1</w:t>
            </w:r>
          </w:p>
        </w:tc>
        <w:tc>
          <w:p>
            <w:pPr>
              <w:pStyle w:val="Compact"/>
              <w:jc w:val="right"/>
            </w:pPr>
            <w:r>
              <w:t xml:space="preserve">107</w:t>
            </w:r>
          </w:p>
        </w:tc>
        <w:tc>
          <w:p>
            <w:pPr>
              <w:pStyle w:val="Compact"/>
              <w:jc w:val="right"/>
            </w:pPr>
            <w:r>
              <w:t xml:space="preserve">107</w:t>
            </w:r>
          </w:p>
        </w:tc>
        <w:tc>
          <w:p>
            <w:pPr>
              <w:pStyle w:val="Compact"/>
              <w:jc w:val="left"/>
            </w:pPr>
            <w:r>
              <w:t xml:space="preserve">8</w:t>
            </w:r>
          </w:p>
        </w:tc>
        <w:tc>
          <w:p>
            <w:pPr>
              <w:pStyle w:val="Compact"/>
              <w:jc w:val="right"/>
            </w:pPr>
            <w:r>
              <w:t xml:space="preserve">3266</w:t>
            </w:r>
          </w:p>
        </w:tc>
      </w:tr>
      <w:tr>
        <w:tc>
          <w:p>
            <w:pPr>
              <w:pStyle w:val="Compact"/>
              <w:jc w:val="left"/>
            </w:pPr>
            <w:r>
              <w:t xml:space="preserve">2011</w:t>
            </w:r>
          </w:p>
        </w:tc>
        <w:tc>
          <w:p>
            <w:pPr>
              <w:pStyle w:val="Compact"/>
              <w:jc w:val="left"/>
            </w:pPr>
            <w:r>
              <w:t xml:space="preserve">842</w:t>
            </w:r>
          </w:p>
        </w:tc>
        <w:tc>
          <w:p>
            <w:pPr>
              <w:pStyle w:val="Compact"/>
              <w:jc w:val="left"/>
            </w:pPr>
            <w:r>
              <w:t xml:space="preserve">250</w:t>
            </w:r>
          </w:p>
        </w:tc>
        <w:tc>
          <w:p>
            <w:pPr>
              <w:pStyle w:val="Compact"/>
              <w:jc w:val="left"/>
            </w:pPr>
            <w:r>
              <w:t xml:space="preserve">0710809750</w:t>
            </w:r>
          </w:p>
        </w:tc>
        <w:tc>
          <w:p>
            <w:pPr>
              <w:pStyle w:val="Compact"/>
              <w:jc w:val="left"/>
            </w:pPr>
            <w:r>
              <w:t xml:space="preserve">1</w:t>
            </w:r>
          </w:p>
        </w:tc>
        <w:tc>
          <w:p>
            <w:pPr>
              <w:pStyle w:val="Compact"/>
              <w:jc w:val="right"/>
            </w:pPr>
            <w:r>
              <w:t xml:space="preserve">29324</w:t>
            </w:r>
          </w:p>
        </w:tc>
        <w:tc>
          <w:p>
            <w:pPr>
              <w:pStyle w:val="Compact"/>
              <w:jc w:val="right"/>
            </w:pPr>
            <w:r>
              <w:t xml:space="preserve">29324</w:t>
            </w:r>
          </w:p>
        </w:tc>
        <w:tc>
          <w:p>
            <w:pPr>
              <w:pStyle w:val="Compact"/>
              <w:jc w:val="left"/>
            </w:pPr>
            <w:r>
              <w:t xml:space="preserve">8</w:t>
            </w:r>
          </w:p>
        </w:tc>
        <w:tc>
          <w:p>
            <w:pPr>
              <w:pStyle w:val="Compact"/>
              <w:jc w:val="right"/>
            </w:pPr>
            <w:r>
              <w:t xml:space="preserve">118487</w:t>
            </w:r>
          </w:p>
        </w:tc>
      </w:tr>
      <w:tr>
        <w:tc>
          <w:p>
            <w:pPr>
              <w:pStyle w:val="Compact"/>
              <w:jc w:val="left"/>
            </w:pPr>
            <w:r>
              <w:t xml:space="preserve">2011</w:t>
            </w:r>
          </w:p>
        </w:tc>
        <w:tc>
          <w:p>
            <w:pPr>
              <w:pStyle w:val="Compact"/>
              <w:jc w:val="left"/>
            </w:pPr>
            <w:r>
              <w:t xml:space="preserve">842</w:t>
            </w:r>
          </w:p>
        </w:tc>
        <w:tc>
          <w:p>
            <w:pPr>
              <w:pStyle w:val="Compact"/>
              <w:jc w:val="left"/>
            </w:pPr>
            <w:r>
              <w:t xml:space="preserve">440</w:t>
            </w:r>
          </w:p>
        </w:tc>
        <w:tc>
          <w:p>
            <w:pPr>
              <w:pStyle w:val="Compact"/>
              <w:jc w:val="left"/>
            </w:pPr>
            <w:r>
              <w:t xml:space="preserve">8504902000</w:t>
            </w:r>
          </w:p>
        </w:tc>
        <w:tc>
          <w:p>
            <w:pPr>
              <w:pStyle w:val="Compact"/>
              <w:jc w:val="left"/>
            </w:pPr>
            <w:r>
              <w:t xml:space="preserve">1</w:t>
            </w:r>
          </w:p>
        </w:tc>
        <w:tc>
          <w:p>
            <w:pPr>
              <w:pStyle w:val="Compact"/>
              <w:jc w:val="right"/>
            </w:pPr>
            <w:r>
              <w:t xml:space="preserve">NA</w:t>
            </w:r>
          </w:p>
        </w:tc>
        <w:tc>
          <w:p>
            <w:pPr>
              <w:pStyle w:val="Compact"/>
              <w:jc w:val="right"/>
            </w:pPr>
            <w:r>
              <w:t xml:space="preserve">15</w:t>
            </w:r>
          </w:p>
        </w:tc>
        <w:tc>
          <w:p>
            <w:pPr>
              <w:pStyle w:val="Compact"/>
              <w:jc w:val="left"/>
            </w:pPr>
            <w:r>
              <w:t xml:space="preserve">5</w:t>
            </w:r>
          </w:p>
        </w:tc>
        <w:tc>
          <w:p>
            <w:pPr>
              <w:pStyle w:val="Compact"/>
              <w:jc w:val="right"/>
            </w:pPr>
            <w:r>
              <w:t xml:space="preserve">3257</w:t>
            </w:r>
          </w:p>
        </w:tc>
      </w:tr>
      <w:tr>
        <w:tc>
          <w:p>
            <w:pPr>
              <w:pStyle w:val="Compact"/>
              <w:jc w:val="left"/>
            </w:pPr>
            <w:r>
              <w:t xml:space="preserve">2011</w:t>
            </w:r>
          </w:p>
        </w:tc>
        <w:tc>
          <w:p>
            <w:pPr>
              <w:pStyle w:val="Compact"/>
              <w:jc w:val="left"/>
            </w:pPr>
            <w:r>
              <w:t xml:space="preserve">842</w:t>
            </w:r>
          </w:p>
        </w:tc>
        <w:tc>
          <w:p>
            <w:pPr>
              <w:pStyle w:val="Compact"/>
              <w:jc w:val="left"/>
            </w:pPr>
            <w:r>
              <w:t xml:space="preserve">124</w:t>
            </w:r>
          </w:p>
        </w:tc>
        <w:tc>
          <w:p>
            <w:pPr>
              <w:pStyle w:val="Compact"/>
              <w:jc w:val="left"/>
            </w:pPr>
            <w:r>
              <w:t xml:space="preserve">6116939400</w:t>
            </w:r>
          </w:p>
        </w:tc>
        <w:tc>
          <w:p>
            <w:pPr>
              <w:pStyle w:val="Compact"/>
              <w:jc w:val="left"/>
            </w:pPr>
            <w:r>
              <w:t xml:space="preserve">1</w:t>
            </w:r>
          </w:p>
        </w:tc>
        <w:tc>
          <w:p>
            <w:pPr>
              <w:pStyle w:val="Compact"/>
              <w:jc w:val="right"/>
            </w:pPr>
            <w:r>
              <w:t xml:space="preserve">24888</w:t>
            </w:r>
          </w:p>
        </w:tc>
        <w:tc>
          <w:p>
            <w:pPr>
              <w:pStyle w:val="Compact"/>
              <w:jc w:val="right"/>
            </w:pPr>
            <w:r>
              <w:t xml:space="preserve">619296</w:t>
            </w:r>
          </w:p>
        </w:tc>
        <w:tc>
          <w:p>
            <w:pPr>
              <w:pStyle w:val="Compact"/>
              <w:jc w:val="left"/>
            </w:pPr>
            <w:r>
              <w:t xml:space="preserve">6</w:t>
            </w:r>
          </w:p>
        </w:tc>
        <w:tc>
          <w:p>
            <w:pPr>
              <w:pStyle w:val="Compact"/>
              <w:jc w:val="right"/>
            </w:pPr>
            <w:r>
              <w:t xml:space="preserve">1720974</w:t>
            </w:r>
          </w:p>
        </w:tc>
      </w:tr>
      <w:tr>
        <w:tc>
          <w:p>
            <w:pPr>
              <w:pStyle w:val="Compact"/>
              <w:jc w:val="left"/>
            </w:pPr>
            <w:r>
              <w:t xml:space="preserve">2011</w:t>
            </w:r>
          </w:p>
        </w:tc>
        <w:tc>
          <w:p>
            <w:pPr>
              <w:pStyle w:val="Compact"/>
              <w:jc w:val="left"/>
            </w:pPr>
            <w:r>
              <w:t xml:space="preserve">842</w:t>
            </w:r>
          </w:p>
        </w:tc>
        <w:tc>
          <w:p>
            <w:pPr>
              <w:pStyle w:val="Compact"/>
              <w:jc w:val="left"/>
            </w:pPr>
            <w:r>
              <w:t xml:space="preserve">116</w:t>
            </w:r>
          </w:p>
        </w:tc>
        <w:tc>
          <w:p>
            <w:pPr>
              <w:pStyle w:val="Compact"/>
              <w:jc w:val="left"/>
            </w:pPr>
            <w:r>
              <w:t xml:space="preserve">6211499070</w:t>
            </w:r>
          </w:p>
        </w:tc>
        <w:tc>
          <w:p>
            <w:pPr>
              <w:pStyle w:val="Compact"/>
              <w:jc w:val="left"/>
            </w:pPr>
            <w:r>
              <w:t xml:space="preserve">1</w:t>
            </w:r>
          </w:p>
        </w:tc>
        <w:tc>
          <w:p>
            <w:pPr>
              <w:pStyle w:val="Compact"/>
              <w:jc w:val="right"/>
            </w:pPr>
            <w:r>
              <w:t xml:space="preserve">1205</w:t>
            </w:r>
          </w:p>
        </w:tc>
        <w:tc>
          <w:p>
            <w:pPr>
              <w:pStyle w:val="Compact"/>
              <w:jc w:val="right"/>
            </w:pPr>
            <w:r>
              <w:t xml:space="preserve">900</w:t>
            </w:r>
          </w:p>
        </w:tc>
        <w:tc>
          <w:p>
            <w:pPr>
              <w:pStyle w:val="Compact"/>
              <w:jc w:val="left"/>
            </w:pPr>
            <w:r>
              <w:t xml:space="preserve">11</w:t>
            </w:r>
          </w:p>
        </w:tc>
        <w:tc>
          <w:p>
            <w:pPr>
              <w:pStyle w:val="Compact"/>
              <w:jc w:val="right"/>
            </w:pPr>
            <w:r>
              <w:t xml:space="preserve">41083</w:t>
            </w:r>
          </w:p>
        </w:tc>
      </w:tr>
    </w:tbl>
    <w:p>
      <w:pPr>
        <w:pStyle w:val="TableCaption"/>
      </w:pPr>
      <w:r>
        <w:t xml:space="preserve">Random sample of import trade flows of 2011 year, reported by the US</w:t>
      </w:r>
    </w:p>
    <w:p>
      <w:r>
        <w:t xml:space="preserve">This is an example of unstandardised data on trade inflows in 2011, reported by the United States. Reporters and trade partners are represented with three-digit numerical</w:t>
      </w:r>
      <w:r>
        <w:t xml:space="preserve"> </w:t>
      </w:r>
      <w:hyperlink r:id="rId26">
        <w:r>
          <w:rPr>
            <w:rStyle w:val="Link"/>
          </w:rPr>
          <w:t xml:space="preserve">codes</w:t>
        </w:r>
      </w:hyperlink>
      <w:r>
        <w:t xml:space="preserve"> </w:t>
      </w:r>
      <w:r>
        <w:t xml:space="preserve">used by the Statistics Division of the United Nations. Trade commodities are classified with extended Harmonized Commodity Description and Coding System (HS)</w:t>
      </w:r>
      <w:r>
        <w:rPr>
          <w:rStyle w:val="FootnoteRef"/>
        </w:rPr>
        <w:footnoteReference w:id="27"/>
      </w:r>
      <w:r>
        <w:t xml:space="preserve"> </w:t>
      </w:r>
      <w:r>
        <w:t xml:space="preserve">maintained by the World Customs Organization</w:t>
      </w:r>
      <w:r>
        <w:rPr>
          <w:rStyle w:val="FootnoteRef"/>
        </w:rPr>
        <w:footnoteReference w:id="29"/>
      </w:r>
      <w:r>
        <w:t xml:space="preserve">.</w:t>
      </w:r>
    </w:p>
    <w:p>
      <w:r>
        <w:t xml:space="preserve">Weight is measured in kilograms and value in US dollars. Quantity (qty column) is an optional alternative for weight. It could be measured in different units (qunit column). See full list of possible units and their descriptions in Annex I of Quantity and Weight Data in UN Comtrade</w:t>
      </w:r>
      <w:r>
        <w:rPr>
          <w:rStyle w:val="FootnoteRef"/>
        </w:rPr>
        <w:footnoteReference w:id="31"/>
      </w:r>
      <w:r>
        <w:t xml:space="preserve">.</w:t>
      </w:r>
    </w:p>
    <w:p>
      <w:pPr>
        <w:pStyle w:val="Heading2"/>
      </w:pPr>
      <w:bookmarkStart w:id="33" w:name="country-specific-hs-commodity-codes"/>
      <w:bookmarkEnd w:id="33"/>
      <w:r>
        <w:t xml:space="preserve">Country-specific HS commodity codes</w:t>
      </w:r>
    </w:p>
    <w:p>
      <w:r>
        <w:t xml:space="preserve">Harmonized system classification is declared by WCO up to 6 digits. A country may extend HS to more detailed level to better respond to local circumstances. Let's compare differencies in codes under subheading 0202 Meat of bovine animals, frozen between the US and Brazil</w:t>
      </w:r>
      <w:r>
        <w:rPr>
          <w:rStyle w:val="FootnoteRef"/>
        </w:rPr>
        <w:footnoteReference w:id="34"/>
      </w:r>
      <w:r>
        <w:t xml:space="preserve">.</w:t>
      </w:r>
    </w:p>
    <w:tbl>
      <w:tblPr>
        <w:tblStyle w:val="TableNormal"/>
        <w:tblW w:type="pct" w:w="0.0"/>
        <w:tblCaption w:val="Extension of HS codes by the US"/>
      </w:tblPr>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Compact"/>
              <w:jc w:val="left"/>
            </w:pPr>
            <w:r>
              <w:t xml:space="preserve">02</w:t>
            </w:r>
          </w:p>
        </w:tc>
        <w:tc>
          <w:p>
            <w:pPr>
              <w:pStyle w:val="Compact"/>
              <w:jc w:val="left"/>
            </w:pPr>
            <w:r>
              <w:t xml:space="preserve">CHAPTER 2 MEAT AND EDIBLE MEAT OFFAL</w:t>
            </w:r>
          </w:p>
        </w:tc>
      </w:tr>
      <w:tr>
        <w:tc>
          <w:p>
            <w:pPr>
              <w:pStyle w:val="Compact"/>
              <w:jc w:val="left"/>
            </w:pPr>
            <w:r>
              <w:t xml:space="preserve">0202</w:t>
            </w:r>
          </w:p>
        </w:tc>
        <w:tc>
          <w:p>
            <w:pPr>
              <w:pStyle w:val="Compact"/>
              <w:jc w:val="left"/>
            </w:pPr>
            <w:r>
              <w:t xml:space="preserve">Meat of bovine animals, frozen:</w:t>
            </w:r>
          </w:p>
        </w:tc>
      </w:tr>
      <w:tr>
        <w:tc>
          <w:p>
            <w:pPr>
              <w:pStyle w:val="Compact"/>
              <w:jc w:val="left"/>
            </w:pPr>
            <w:r>
              <w:t xml:space="preserve">0202.10</w:t>
            </w:r>
          </w:p>
        </w:tc>
        <w:tc>
          <w:p>
            <w:pPr>
              <w:pStyle w:val="Compact"/>
              <w:jc w:val="left"/>
            </w:pPr>
            <w:r>
              <w:t xml:space="preserve">- Carcases and half-carcases:</w:t>
            </w:r>
          </w:p>
        </w:tc>
      </w:tr>
      <w:tr>
        <w:tc>
          <w:p>
            <w:pPr>
              <w:pStyle w:val="Compact"/>
              <w:jc w:val="left"/>
            </w:pPr>
            <w:r>
              <w:t xml:space="preserve">0202.10.05</w:t>
            </w:r>
          </w:p>
        </w:tc>
        <w:tc>
          <w:p>
            <w:pPr>
              <w:pStyle w:val="Compact"/>
              <w:jc w:val="left"/>
            </w:pPr>
            <w:r>
              <w:t xml:space="preserve">- - Described in general note 15 of the tariff schedule ...:</w:t>
            </w:r>
          </w:p>
        </w:tc>
      </w:tr>
      <w:tr>
        <w:tc>
          <w:p>
            <w:pPr>
              <w:pStyle w:val="Compact"/>
              <w:jc w:val="left"/>
            </w:pPr>
            <w:r>
              <w:t xml:space="preserve">0202.10.05.10</w:t>
            </w:r>
          </w:p>
        </w:tc>
        <w:tc>
          <w:p>
            <w:pPr>
              <w:pStyle w:val="Compact"/>
              <w:jc w:val="left"/>
            </w:pPr>
            <w:r>
              <w:t xml:space="preserve">- - - Veal</w:t>
            </w:r>
          </w:p>
        </w:tc>
      </w:tr>
      <w:tr>
        <w:tc>
          <w:p>
            <w:pPr>
              <w:pStyle w:val="Compact"/>
              <w:jc w:val="left"/>
            </w:pPr>
            <w:r>
              <w:t xml:space="preserve">0202.10.05.90</w:t>
            </w:r>
          </w:p>
        </w:tc>
        <w:tc>
          <w:p>
            <w:pPr>
              <w:pStyle w:val="Compact"/>
              <w:jc w:val="left"/>
            </w:pPr>
            <w:r>
              <w:t xml:space="preserve">- - - Other</w:t>
            </w:r>
          </w:p>
        </w:tc>
      </w:tr>
      <w:tr>
        <w:tc>
          <w:p>
            <w:pPr>
              <w:pStyle w:val="Compact"/>
              <w:jc w:val="left"/>
            </w:pPr>
            <w:r>
              <w:t xml:space="preserve">0202.10.10</w:t>
            </w:r>
          </w:p>
        </w:tc>
        <w:tc>
          <w:p>
            <w:pPr>
              <w:pStyle w:val="Compact"/>
              <w:jc w:val="left"/>
            </w:pPr>
            <w:r>
              <w:t xml:space="preserve">- - Described in additional U.S. note 3 to this chapter ...:</w:t>
            </w:r>
          </w:p>
        </w:tc>
      </w:tr>
      <w:tr>
        <w:tc>
          <w:p>
            <w:pPr>
              <w:pStyle w:val="Compact"/>
              <w:jc w:val="left"/>
            </w:pPr>
            <w:r>
              <w:t xml:space="preserve">0202.10.10.10</w:t>
            </w:r>
          </w:p>
        </w:tc>
        <w:tc>
          <w:p>
            <w:pPr>
              <w:pStyle w:val="Compact"/>
              <w:jc w:val="left"/>
            </w:pPr>
            <w:r>
              <w:t xml:space="preserve">- - - Veal</w:t>
            </w:r>
          </w:p>
        </w:tc>
      </w:tr>
      <w:tr>
        <w:tc>
          <w:p>
            <w:pPr>
              <w:pStyle w:val="Compact"/>
              <w:jc w:val="left"/>
            </w:pPr>
            <w:r>
              <w:t xml:space="preserve">0202.10.10.90</w:t>
            </w:r>
          </w:p>
        </w:tc>
        <w:tc>
          <w:p>
            <w:pPr>
              <w:pStyle w:val="Compact"/>
              <w:jc w:val="left"/>
            </w:pPr>
            <w:r>
              <w:t xml:space="preserve">- - - Other</w:t>
            </w:r>
          </w:p>
        </w:tc>
      </w:tr>
      <w:tr>
        <w:tc>
          <w:p>
            <w:pPr>
              <w:pStyle w:val="Compact"/>
              <w:jc w:val="left"/>
            </w:pPr>
            <w:r>
              <w:t xml:space="preserve">0202.10.50</w:t>
            </w:r>
          </w:p>
        </w:tc>
        <w:tc>
          <w:p>
            <w:pPr>
              <w:pStyle w:val="Compact"/>
              <w:jc w:val="left"/>
            </w:pPr>
            <w:r>
              <w:t xml:space="preserve">- - Other:</w:t>
            </w:r>
          </w:p>
        </w:tc>
      </w:tr>
      <w:tr>
        <w:tc>
          <w:p>
            <w:pPr>
              <w:pStyle w:val="Compact"/>
              <w:jc w:val="left"/>
            </w:pPr>
            <w:r>
              <w:t xml:space="preserve">0202.10.50.10</w:t>
            </w:r>
          </w:p>
        </w:tc>
        <w:tc>
          <w:p>
            <w:pPr>
              <w:pStyle w:val="Compact"/>
              <w:jc w:val="left"/>
            </w:pPr>
            <w:r>
              <w:t xml:space="preserve">- - - Veal</w:t>
            </w:r>
          </w:p>
        </w:tc>
      </w:tr>
      <w:tr>
        <w:tc>
          <w:p>
            <w:pPr>
              <w:pStyle w:val="Compact"/>
              <w:jc w:val="left"/>
            </w:pPr>
            <w:r>
              <w:t xml:space="preserve">0202.10.50.90</w:t>
            </w:r>
          </w:p>
        </w:tc>
        <w:tc>
          <w:p>
            <w:pPr>
              <w:pStyle w:val="Compact"/>
              <w:jc w:val="left"/>
            </w:pPr>
            <w:r>
              <w:t xml:space="preserve">- - - Other</w:t>
            </w:r>
          </w:p>
        </w:tc>
      </w:tr>
      <w:tr>
        <w:tc>
          <w:p>
            <w:pPr>
              <w:pStyle w:val="Compact"/>
              <w:jc w:val="left"/>
            </w:pPr>
            <w:r>
              <w:t xml:space="preserve">0202.20</w:t>
            </w:r>
          </w:p>
        </w:tc>
        <w:tc>
          <w:p>
            <w:pPr>
              <w:pStyle w:val="Compact"/>
              <w:jc w:val="left"/>
            </w:pPr>
            <w:r>
              <w:t xml:space="preserve">- Other cuts with bone in:</w:t>
            </w:r>
          </w:p>
        </w:tc>
      </w:tr>
      <w:tr>
        <w:tc>
          <w:p>
            <w:pPr>
              <w:pStyle w:val="Compact"/>
            </w:pPr>
          </w:p>
        </w:tc>
        <w:tc>
          <w:p>
            <w:pPr>
              <w:pStyle w:val="Compact"/>
              <w:jc w:val="left"/>
            </w:pPr>
            <w:r>
              <w:t xml:space="preserve">- - Described in general note 15 of the tariff schedule ...:</w:t>
            </w:r>
          </w:p>
        </w:tc>
      </w:tr>
      <w:tr>
        <w:tc>
          <w:p>
            <w:pPr>
              <w:pStyle w:val="Compact"/>
            </w:pPr>
          </w:p>
        </w:tc>
        <w:tc>
          <w:p>
            <w:pPr>
              <w:pStyle w:val="Compact"/>
              <w:jc w:val="left"/>
            </w:pPr>
            <w:r>
              <w:t xml:space="preserve">- - - Processed:</w:t>
            </w:r>
          </w:p>
        </w:tc>
      </w:tr>
      <w:tr>
        <w:tc>
          <w:p>
            <w:pPr>
              <w:pStyle w:val="Compact"/>
              <w:jc w:val="left"/>
            </w:pPr>
            <w:r>
              <w:t xml:space="preserve">0202.20.02</w:t>
            </w:r>
          </w:p>
        </w:tc>
        <w:tc>
          <w:p>
            <w:pPr>
              <w:pStyle w:val="Compact"/>
              <w:jc w:val="left"/>
            </w:pPr>
            <w:r>
              <w:t xml:space="preserve">- - - - High-quality beef cuts</w:t>
            </w:r>
          </w:p>
        </w:tc>
      </w:tr>
      <w:tr>
        <w:tc>
          <w:p>
            <w:pPr>
              <w:pStyle w:val="Compact"/>
              <w:jc w:val="left"/>
            </w:pPr>
            <w:r>
              <w:t xml:space="preserve">0202.20.04</w:t>
            </w:r>
          </w:p>
        </w:tc>
        <w:tc>
          <w:p>
            <w:pPr>
              <w:pStyle w:val="Compact"/>
              <w:jc w:val="left"/>
            </w:pPr>
            <w:r>
              <w:t xml:space="preserve">- - - - Other</w:t>
            </w:r>
          </w:p>
        </w:tc>
      </w:tr>
      <w:tr>
        <w:tc>
          <w:p>
            <w:pPr>
              <w:pStyle w:val="Compact"/>
              <w:jc w:val="left"/>
            </w:pPr>
            <w:r>
              <w:t xml:space="preserve">0202.20.06</w:t>
            </w:r>
          </w:p>
        </w:tc>
        <w:tc>
          <w:p>
            <w:pPr>
              <w:pStyle w:val="Compact"/>
              <w:jc w:val="left"/>
            </w:pPr>
            <w:r>
              <w:t xml:space="preserve">- - - Other</w:t>
            </w:r>
          </w:p>
        </w:tc>
      </w:tr>
      <w:tr>
        <w:tc>
          <w:p>
            <w:pPr>
              <w:pStyle w:val="Compact"/>
            </w:pPr>
          </w:p>
        </w:tc>
        <w:tc>
          <w:p>
            <w:pPr>
              <w:pStyle w:val="Compact"/>
              <w:jc w:val="left"/>
            </w:pPr>
            <w:r>
              <w:t xml:space="preserve">- - Described in additional U.S. note 3 to this chapter ...:</w:t>
            </w:r>
          </w:p>
        </w:tc>
      </w:tr>
      <w:tr>
        <w:tc>
          <w:p>
            <w:pPr>
              <w:pStyle w:val="Compact"/>
            </w:pPr>
          </w:p>
        </w:tc>
        <w:tc>
          <w:p>
            <w:pPr>
              <w:pStyle w:val="Compact"/>
              <w:jc w:val="left"/>
            </w:pPr>
            <w:r>
              <w:t xml:space="preserve">- - - Processed:</w:t>
            </w:r>
          </w:p>
        </w:tc>
      </w:tr>
      <w:tr>
        <w:tc>
          <w:p>
            <w:pPr>
              <w:pStyle w:val="Compact"/>
              <w:jc w:val="left"/>
            </w:pPr>
            <w:r>
              <w:t xml:space="preserve">0202.20.10</w:t>
            </w:r>
          </w:p>
        </w:tc>
        <w:tc>
          <w:p>
            <w:pPr>
              <w:pStyle w:val="Compact"/>
              <w:jc w:val="left"/>
            </w:pPr>
            <w:r>
              <w:t xml:space="preserve">- - - - High-quality beef cuts</w:t>
            </w:r>
          </w:p>
        </w:tc>
      </w:tr>
      <w:tr>
        <w:tc>
          <w:p>
            <w:pPr>
              <w:pStyle w:val="Compact"/>
              <w:jc w:val="left"/>
            </w:pPr>
            <w:r>
              <w:t xml:space="preserve">0202.20.30</w:t>
            </w:r>
          </w:p>
        </w:tc>
        <w:tc>
          <w:p>
            <w:pPr>
              <w:pStyle w:val="Compact"/>
              <w:jc w:val="left"/>
            </w:pPr>
            <w:r>
              <w:t xml:space="preserve">- - - - Other</w:t>
            </w:r>
          </w:p>
        </w:tc>
      </w:tr>
      <w:tr>
        <w:tc>
          <w:p>
            <w:pPr>
              <w:pStyle w:val="Compact"/>
              <w:jc w:val="left"/>
            </w:pPr>
            <w:r>
              <w:t xml:space="preserve">0202.20.50</w:t>
            </w:r>
          </w:p>
        </w:tc>
        <w:tc>
          <w:p>
            <w:pPr>
              <w:pStyle w:val="Compact"/>
              <w:jc w:val="left"/>
            </w:pPr>
            <w:r>
              <w:t xml:space="preserve">- - - Other</w:t>
            </w:r>
          </w:p>
        </w:tc>
      </w:tr>
      <w:tr>
        <w:tc>
          <w:p>
            <w:pPr>
              <w:pStyle w:val="Compact"/>
              <w:jc w:val="left"/>
            </w:pPr>
            <w:r>
              <w:t xml:space="preserve">0202.20.80</w:t>
            </w:r>
          </w:p>
        </w:tc>
        <w:tc>
          <w:p>
            <w:pPr>
              <w:pStyle w:val="Compact"/>
              <w:jc w:val="left"/>
            </w:pPr>
            <w:r>
              <w:t xml:space="preserve">- - Other</w:t>
            </w:r>
          </w:p>
        </w:tc>
      </w:tr>
      <w:tr>
        <w:tc>
          <w:p>
            <w:pPr>
              <w:pStyle w:val="Compact"/>
              <w:jc w:val="left"/>
            </w:pPr>
            <w:r>
              <w:t xml:space="preserve">0202.30</w:t>
            </w:r>
          </w:p>
        </w:tc>
        <w:tc>
          <w:p>
            <w:pPr>
              <w:pStyle w:val="Compact"/>
              <w:jc w:val="left"/>
            </w:pPr>
            <w:r>
              <w:t xml:space="preserve">- Boneless:</w:t>
            </w:r>
          </w:p>
        </w:tc>
      </w:tr>
      <w:tr>
        <w:tc>
          <w:p>
            <w:pPr>
              <w:pStyle w:val="Compact"/>
            </w:pPr>
          </w:p>
        </w:tc>
        <w:tc>
          <w:p>
            <w:pPr>
              <w:pStyle w:val="Compact"/>
              <w:jc w:val="left"/>
            </w:pPr>
            <w:r>
              <w:t xml:space="preserve">- - Described in general note 15 of the tariff schedule ...:</w:t>
            </w:r>
          </w:p>
        </w:tc>
      </w:tr>
      <w:tr>
        <w:tc>
          <w:p>
            <w:pPr>
              <w:pStyle w:val="Compact"/>
            </w:pPr>
          </w:p>
        </w:tc>
        <w:tc>
          <w:p>
            <w:pPr>
              <w:pStyle w:val="Compact"/>
              <w:jc w:val="left"/>
            </w:pPr>
            <w:r>
              <w:t xml:space="preserve">- - - Processed:</w:t>
            </w:r>
          </w:p>
        </w:tc>
      </w:tr>
      <w:tr>
        <w:tc>
          <w:p>
            <w:pPr>
              <w:pStyle w:val="Compact"/>
              <w:jc w:val="left"/>
            </w:pPr>
            <w:r>
              <w:t xml:space="preserve">0202.30.02</w:t>
            </w:r>
          </w:p>
        </w:tc>
        <w:tc>
          <w:p>
            <w:pPr>
              <w:pStyle w:val="Compact"/>
              <w:jc w:val="left"/>
            </w:pPr>
            <w:r>
              <w:t xml:space="preserve">- - - - High-quality beef cuts</w:t>
            </w:r>
          </w:p>
        </w:tc>
      </w:tr>
      <w:tr>
        <w:tc>
          <w:p>
            <w:pPr>
              <w:pStyle w:val="Compact"/>
              <w:jc w:val="left"/>
            </w:pPr>
            <w:r>
              <w:t xml:space="preserve">0202.30.04</w:t>
            </w:r>
          </w:p>
        </w:tc>
        <w:tc>
          <w:p>
            <w:pPr>
              <w:pStyle w:val="Compact"/>
              <w:jc w:val="left"/>
            </w:pPr>
            <w:r>
              <w:t xml:space="preserve">- - - - Other</w:t>
            </w:r>
          </w:p>
        </w:tc>
      </w:tr>
      <w:tr>
        <w:tc>
          <w:p>
            <w:pPr>
              <w:pStyle w:val="Compact"/>
              <w:jc w:val="left"/>
            </w:pPr>
            <w:r>
              <w:t xml:space="preserve">0202.30.06</w:t>
            </w:r>
          </w:p>
        </w:tc>
        <w:tc>
          <w:p>
            <w:pPr>
              <w:pStyle w:val="Compact"/>
              <w:jc w:val="left"/>
            </w:pPr>
            <w:r>
              <w:t xml:space="preserve">- - - Other</w:t>
            </w:r>
          </w:p>
        </w:tc>
      </w:tr>
      <w:tr>
        <w:tc>
          <w:p>
            <w:pPr>
              <w:pStyle w:val="Compact"/>
            </w:pPr>
          </w:p>
        </w:tc>
        <w:tc>
          <w:p>
            <w:pPr>
              <w:pStyle w:val="Compact"/>
              <w:jc w:val="left"/>
            </w:pPr>
            <w:r>
              <w:t xml:space="preserve">- - Described in additional U.S. note 3 to this chapter ...:</w:t>
            </w:r>
          </w:p>
        </w:tc>
      </w:tr>
      <w:tr>
        <w:tc>
          <w:p>
            <w:pPr>
              <w:pStyle w:val="Compact"/>
            </w:pPr>
          </w:p>
        </w:tc>
        <w:tc>
          <w:p>
            <w:pPr>
              <w:pStyle w:val="Compact"/>
              <w:jc w:val="left"/>
            </w:pPr>
            <w:r>
              <w:t xml:space="preserve">- - - Processed:</w:t>
            </w:r>
          </w:p>
        </w:tc>
      </w:tr>
      <w:tr>
        <w:tc>
          <w:p>
            <w:pPr>
              <w:pStyle w:val="Compact"/>
              <w:jc w:val="left"/>
            </w:pPr>
            <w:r>
              <w:t xml:space="preserve">0202.30.10</w:t>
            </w:r>
          </w:p>
        </w:tc>
        <w:tc>
          <w:p>
            <w:pPr>
              <w:pStyle w:val="Compact"/>
              <w:jc w:val="left"/>
            </w:pPr>
            <w:r>
              <w:t xml:space="preserve">- - - - High-quality beef cuts</w:t>
            </w:r>
          </w:p>
        </w:tc>
      </w:tr>
      <w:tr>
        <w:tc>
          <w:p>
            <w:pPr>
              <w:pStyle w:val="Compact"/>
              <w:jc w:val="left"/>
            </w:pPr>
            <w:r>
              <w:t xml:space="preserve">0202.30.30</w:t>
            </w:r>
          </w:p>
        </w:tc>
        <w:tc>
          <w:p>
            <w:pPr>
              <w:pStyle w:val="Compact"/>
              <w:jc w:val="left"/>
            </w:pPr>
            <w:r>
              <w:t xml:space="preserve">- - - - Other</w:t>
            </w:r>
          </w:p>
        </w:tc>
      </w:tr>
      <w:tr>
        <w:tc>
          <w:p>
            <w:pPr>
              <w:pStyle w:val="Compact"/>
              <w:jc w:val="left"/>
            </w:pPr>
            <w:r>
              <w:t xml:space="preserve">0202.30.50</w:t>
            </w:r>
          </w:p>
        </w:tc>
        <w:tc>
          <w:p>
            <w:pPr>
              <w:pStyle w:val="Compact"/>
              <w:jc w:val="left"/>
            </w:pPr>
            <w:r>
              <w:t xml:space="preserve">- - - Other</w:t>
            </w:r>
          </w:p>
        </w:tc>
      </w:tr>
      <w:tr>
        <w:tc>
          <w:p>
            <w:pPr>
              <w:pStyle w:val="Compact"/>
              <w:jc w:val="left"/>
            </w:pPr>
            <w:r>
              <w:t xml:space="preserve">0202.30.80</w:t>
            </w:r>
          </w:p>
        </w:tc>
        <w:tc>
          <w:p>
            <w:pPr>
              <w:pStyle w:val="Compact"/>
              <w:jc w:val="left"/>
            </w:pPr>
            <w:r>
              <w:t xml:space="preserve">- - Other</w:t>
            </w:r>
          </w:p>
        </w:tc>
      </w:tr>
    </w:tbl>
    <w:p>
      <w:pPr>
        <w:pStyle w:val="TableCaption"/>
      </w:pPr>
      <w:r>
        <w:t xml:space="preserve">Extension of HS codes by the US</w:t>
      </w:r>
    </w:p>
    <w:tbl>
      <w:tblPr>
        <w:tblStyle w:val="TableNormal"/>
        <w:tblW w:type="pct" w:w="0.0"/>
        <w:tblCaption w:val="Extension of HS codes by Brazil"/>
      </w:tblPr>
      <w:tblGrid/>
      <w:tr>
        <w:tc>
          <w:tcPr>
            <w:tcBorders>
              <w:bottom w:val="single"/>
            </w:tcBorders>
            <w:vAlign w:val="bottom"/>
          </w:tcPr>
          <w:p>
            <w:pPr>
              <w:pStyle w:val="Compact"/>
              <w:jc w:val="left"/>
            </w:pPr>
            <w:r>
              <w:t xml:space="preserve">hs</w:t>
            </w:r>
          </w:p>
        </w:tc>
        <w:tc>
          <w:tcPr>
            <w:tcBorders>
              <w:bottom w:val="single"/>
            </w:tcBorders>
            <w:vAlign w:val="bottom"/>
          </w:tcPr>
          <w:p>
            <w:pPr>
              <w:pStyle w:val="Compact"/>
              <w:jc w:val="left"/>
            </w:pPr>
            <w:r>
              <w:t xml:space="preserve">Description</w:t>
            </w:r>
          </w:p>
        </w:tc>
      </w:tr>
      <w:tr>
        <w:tc>
          <w:p>
            <w:pPr>
              <w:pStyle w:val="Compact"/>
              <w:jc w:val="left"/>
            </w:pPr>
            <w:r>
              <w:t xml:space="preserve">02</w:t>
            </w:r>
          </w:p>
        </w:tc>
        <w:tc>
          <w:p>
            <w:pPr>
              <w:pStyle w:val="Compact"/>
              <w:jc w:val="left"/>
            </w:pPr>
            <w:r>
              <w:t xml:space="preserve">CHAPTER 2 MEAT AND EDIBLE MEAT OFFAL</w:t>
            </w:r>
          </w:p>
        </w:tc>
      </w:tr>
      <w:tr>
        <w:tc>
          <w:p>
            <w:pPr>
              <w:pStyle w:val="Compact"/>
              <w:jc w:val="left"/>
            </w:pPr>
            <w:r>
              <w:t xml:space="preserve">0202</w:t>
            </w:r>
          </w:p>
        </w:tc>
        <w:tc>
          <w:p>
            <w:pPr>
              <w:pStyle w:val="Compact"/>
              <w:jc w:val="left"/>
            </w:pPr>
            <w:r>
              <w:t xml:space="preserve">Meat of bovine animals, frozen:</w:t>
            </w:r>
          </w:p>
        </w:tc>
      </w:tr>
      <w:tr>
        <w:tc>
          <w:p>
            <w:pPr>
              <w:pStyle w:val="Compact"/>
              <w:jc w:val="left"/>
            </w:pPr>
            <w:r>
              <w:t xml:space="preserve">0202.10</w:t>
            </w:r>
          </w:p>
        </w:tc>
        <w:tc>
          <w:p>
            <w:pPr>
              <w:pStyle w:val="Compact"/>
              <w:jc w:val="left"/>
            </w:pPr>
            <w:r>
              <w:t xml:space="preserve">- Carcases and half-carcases</w:t>
            </w:r>
          </w:p>
        </w:tc>
      </w:tr>
      <w:tr>
        <w:tc>
          <w:p>
            <w:pPr>
              <w:pStyle w:val="Compact"/>
              <w:jc w:val="left"/>
            </w:pPr>
            <w:r>
              <w:t xml:space="preserve">0202.20</w:t>
            </w:r>
          </w:p>
        </w:tc>
        <w:tc>
          <w:p>
            <w:pPr>
              <w:pStyle w:val="Compact"/>
              <w:jc w:val="left"/>
            </w:pPr>
            <w:r>
              <w:t xml:space="preserve">- Other cuts with bone in:</w:t>
            </w:r>
          </w:p>
        </w:tc>
      </w:tr>
      <w:tr>
        <w:tc>
          <w:p>
            <w:pPr>
              <w:pStyle w:val="Compact"/>
              <w:jc w:val="left"/>
            </w:pPr>
            <w:r>
              <w:t xml:space="preserve">0202.20.10</w:t>
            </w:r>
          </w:p>
        </w:tc>
        <w:tc>
          <w:p>
            <w:pPr>
              <w:pStyle w:val="Compact"/>
              <w:jc w:val="left"/>
            </w:pPr>
            <w:r>
              <w:t xml:space="preserve">- - Forequarters</w:t>
            </w:r>
          </w:p>
        </w:tc>
      </w:tr>
      <w:tr>
        <w:tc>
          <w:p>
            <w:pPr>
              <w:pStyle w:val="Compact"/>
              <w:jc w:val="left"/>
            </w:pPr>
            <w:r>
              <w:t xml:space="preserve">0202.20.20</w:t>
            </w:r>
          </w:p>
        </w:tc>
        <w:tc>
          <w:p>
            <w:pPr>
              <w:pStyle w:val="Compact"/>
              <w:jc w:val="left"/>
            </w:pPr>
            <w:r>
              <w:t xml:space="preserve">- - Hindquarters</w:t>
            </w:r>
          </w:p>
        </w:tc>
      </w:tr>
      <w:tr>
        <w:tc>
          <w:p>
            <w:pPr>
              <w:pStyle w:val="Compact"/>
              <w:jc w:val="left"/>
            </w:pPr>
            <w:r>
              <w:t xml:space="preserve">0202.20.90</w:t>
            </w:r>
          </w:p>
        </w:tc>
        <w:tc>
          <w:p>
            <w:pPr>
              <w:pStyle w:val="Compact"/>
              <w:jc w:val="left"/>
            </w:pPr>
            <w:r>
              <w:t xml:space="preserve">- - Other</w:t>
            </w:r>
          </w:p>
        </w:tc>
      </w:tr>
      <w:tr>
        <w:tc>
          <w:p>
            <w:pPr>
              <w:pStyle w:val="Compact"/>
              <w:jc w:val="left"/>
            </w:pPr>
            <w:r>
              <w:t xml:space="preserve">0202.30</w:t>
            </w:r>
          </w:p>
        </w:tc>
        <w:tc>
          <w:p>
            <w:pPr>
              <w:pStyle w:val="Compact"/>
              <w:jc w:val="left"/>
            </w:pPr>
            <w:r>
              <w:t xml:space="preserve">- Boneless</w:t>
            </w:r>
          </w:p>
        </w:tc>
      </w:tr>
    </w:tbl>
    <w:p>
      <w:pPr>
        <w:pStyle w:val="TableCaption"/>
      </w:pPr>
      <w:r>
        <w:t xml:space="preserve">Extension of HS codes by Brazil</w:t>
      </w:r>
    </w:p>
    <w:p>
      <w:r>
        <w:t xml:space="preserve">The set of HS-codes from the US is wider, than Brazilian one. For boneless meat Brazil doesn't extend standard code 0202.30, when the US use here seven additional codes.</w:t>
      </w:r>
    </w:p>
    <w:p>
      <w:pPr>
        <w:pStyle w:val="Heading2"/>
      </w:pPr>
      <w:bookmarkStart w:id="36" w:name="country-codes"/>
      <w:bookmarkEnd w:id="36"/>
      <w:r>
        <w:t xml:space="preserve">Country codes</w:t>
      </w:r>
    </w:p>
    <w:p>
      <w:pPr>
        <w:pStyle w:val="Heading3"/>
      </w:pPr>
      <w:bookmarkStart w:id="37" w:name="codes-of-reporters"/>
      <w:bookmarkEnd w:id="37"/>
      <w:r>
        <w:t xml:space="preserve">Codes of reporters</w:t>
      </w:r>
    </w:p>
    <w:p>
      <w:r>
        <w:t xml:space="preserve">Area codes of reporters are standardized by the Statistical Department. The SD follows</w:t>
      </w:r>
      <w:r>
        <w:t xml:space="preserve"> </w:t>
      </w:r>
      <w:r>
        <w:rPr>
          <w:i/>
        </w:rPr>
        <w:t xml:space="preserve">in general</w:t>
      </w:r>
      <w:r>
        <w:t xml:space="preserve"> </w:t>
      </w:r>
      <w:r>
        <w:t xml:space="preserve">the United Nations Standard Country or Area Codes for Statistical Use</w:t>
      </w:r>
      <w:r>
        <w:rPr>
          <w:rStyle w:val="FootnoteRef"/>
        </w:rPr>
        <w:footnoteReference w:id="38"/>
      </w:r>
      <w:r>
        <w:t xml:space="preserve">. The code scheme used by the SD</w:t>
      </w:r>
      <w:r>
        <w:rPr>
          <w:rStyle w:val="FootnoteRef"/>
        </w:rPr>
        <w:footnoteReference w:id="40"/>
      </w:r>
      <w:r>
        <w:t xml:space="preserve"> </w:t>
      </w:r>
      <w:r>
        <w:t xml:space="preserve">is slightly modified from the official one</w:t>
      </w:r>
      <w:r>
        <w:rPr>
          <w:rStyle w:val="FootnoteRef"/>
        </w:rPr>
        <w:footnoteReference w:id="42"/>
      </w:r>
      <w:r>
        <w:t xml:space="preserve">. For example the official scheme offers code 840 for the US, when the modified version uses 842.</w:t>
      </w:r>
    </w:p>
    <w:p>
      <w:pPr>
        <w:pStyle w:val="Heading3"/>
      </w:pPr>
      <w:bookmarkStart w:id="44" w:name="codes-of-partners"/>
      <w:bookmarkEnd w:id="44"/>
      <w:r>
        <w:t xml:space="preserve">Codes of partners</w:t>
      </w:r>
    </w:p>
    <w:p>
      <w:r>
        <w:t xml:space="preserve">Partners' codes in Tariffline data are not standardised and presented as they were reported by countries. Reporters can use as standard version of codes, so the version of the Statistical Department. For example, in Tariffline data there are 27 country codes which are not presented in official scheme and 40 codes not covered by the modified version.</w:t>
      </w:r>
      <w:r>
        <w:rPr>
          <w:rStyle w:val="FootnoteRef"/>
        </w:rPr>
        <w:footnoteReference w:id="45"/>
      </w:r>
    </w:p>
    <w:p>
      <w:pPr>
        <w:pStyle w:val="Heading1"/>
      </w:pPr>
      <w:bookmarkStart w:id="47" w:name="initial-validation-of-trade-data"/>
      <w:bookmarkEnd w:id="47"/>
      <w:r>
        <w:t xml:space="preserve">Initial validation of trade data</w:t>
      </w:r>
    </w:p>
    <w:p>
      <w:r>
        <w:t xml:space="preserve">At prevalidation step we are to make a decision should we accept data from a specific country for the further processing or not. A country could provide data of good quality for one part of commodities and inadequate level of quality for another part. We want to estimate quality differences between commodities of a country.</w:t>
      </w:r>
    </w:p>
    <w:p>
      <w:r>
        <w:t xml:space="preserve">Quality of data is estimated by following indicators:</w:t>
      </w:r>
    </w:p>
    <w:p>
      <w:pPr>
        <w:pStyle w:val="Compact"/>
        <w:numPr>
          <w:numId w:val="1001"/>
          <w:ilvl w:val="0"/>
        </w:numPr>
      </w:pPr>
      <w:r>
        <w:t xml:space="preserve">Share per cent of missing quantities</w:t>
      </w:r>
    </w:p>
    <w:p>
      <w:pPr>
        <w:pStyle w:val="Compact"/>
        <w:numPr>
          <w:numId w:val="1001"/>
          <w:ilvl w:val="0"/>
        </w:numPr>
      </w:pPr>
      <w:r>
        <w:t xml:space="preserve">Share per cent of unit value outliers</w:t>
      </w:r>
    </w:p>
    <w:p>
      <w:pPr>
        <w:pStyle w:val="Heading2"/>
      </w:pPr>
      <w:bookmarkStart w:id="48" w:name="self-trade"/>
      <w:bookmarkEnd w:id="48"/>
      <w:r>
        <w:t xml:space="preserve">Self-trade</w:t>
      </w:r>
    </w:p>
    <w:p>
      <w:r>
        <w:t xml:space="preserve">There are cases when a country reports itself as a partner to exports or imports. Such situations can occur due to mistakes or when an entrepôt exists.</w:t>
      </w:r>
    </w:p>
    <w:tbl>
      <w:tblPr>
        <w:tblStyle w:val="TableNormal"/>
        <w:tblW w:type="pct" w:w="0.0"/>
        <w:tblCaption w:val="Self-trade of commodities from 2nd, 10th and 15th HS chapters in 2011"/>
      </w:tblPr>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right"/>
            </w:pPr>
            <w:r>
              <w:t xml:space="preserve">Total</w:t>
            </w:r>
          </w:p>
        </w:tc>
      </w:tr>
      <w:tr>
        <w:tc>
          <w:p>
            <w:pPr>
              <w:pStyle w:val="Compact"/>
              <w:jc w:val="left"/>
            </w:pPr>
            <w:r>
              <w:t xml:space="preserve">France</w:t>
            </w:r>
          </w:p>
        </w:tc>
        <w:tc>
          <w:p>
            <w:pPr>
              <w:pStyle w:val="Compact"/>
              <w:jc w:val="left"/>
            </w:pPr>
            <w:r>
              <w:t xml:space="preserve">Import</w:t>
            </w:r>
          </w:p>
        </w:tc>
        <w:tc>
          <w:p>
            <w:pPr>
              <w:pStyle w:val="Compact"/>
              <w:jc w:val="right"/>
            </w:pPr>
            <w:r>
              <w:t xml:space="preserve">163</w:t>
            </w:r>
          </w:p>
        </w:tc>
      </w:tr>
      <w:tr>
        <w:tc>
          <w:p>
            <w:pPr>
              <w:pStyle w:val="Compact"/>
              <w:jc w:val="left"/>
            </w:pPr>
            <w:r>
              <w:t xml:space="preserve">Canada</w:t>
            </w:r>
          </w:p>
        </w:tc>
        <w:tc>
          <w:p>
            <w:pPr>
              <w:pStyle w:val="Compact"/>
              <w:jc w:val="left"/>
            </w:pPr>
            <w:r>
              <w:t xml:space="preserve">Import</w:t>
            </w:r>
          </w:p>
        </w:tc>
        <w:tc>
          <w:p>
            <w:pPr>
              <w:pStyle w:val="Compact"/>
              <w:jc w:val="right"/>
            </w:pPr>
            <w:r>
              <w:t xml:space="preserve">56</w:t>
            </w:r>
          </w:p>
        </w:tc>
      </w:tr>
      <w:tr>
        <w:tc>
          <w:p>
            <w:pPr>
              <w:pStyle w:val="Compact"/>
              <w:jc w:val="left"/>
            </w:pPr>
            <w:r>
              <w:t xml:space="preserve">Portugal</w:t>
            </w:r>
          </w:p>
        </w:tc>
        <w:tc>
          <w:p>
            <w:pPr>
              <w:pStyle w:val="Compact"/>
              <w:jc w:val="left"/>
            </w:pPr>
            <w:r>
              <w:t xml:space="preserve">Import</w:t>
            </w:r>
          </w:p>
        </w:tc>
        <w:tc>
          <w:p>
            <w:pPr>
              <w:pStyle w:val="Compact"/>
              <w:jc w:val="right"/>
            </w:pPr>
            <w:r>
              <w:t xml:space="preserve">50</w:t>
            </w:r>
          </w:p>
        </w:tc>
      </w:tr>
      <w:tr>
        <w:tc>
          <w:p>
            <w:pPr>
              <w:pStyle w:val="Compact"/>
              <w:jc w:val="left"/>
            </w:pPr>
            <w:r>
              <w:t xml:space="preserve">Slovakia</w:t>
            </w:r>
          </w:p>
        </w:tc>
        <w:tc>
          <w:p>
            <w:pPr>
              <w:pStyle w:val="Compact"/>
              <w:jc w:val="left"/>
            </w:pPr>
            <w:r>
              <w:t xml:space="preserve">Import</w:t>
            </w:r>
          </w:p>
        </w:tc>
        <w:tc>
          <w:p>
            <w:pPr>
              <w:pStyle w:val="Compact"/>
              <w:jc w:val="right"/>
            </w:pPr>
            <w:r>
              <w:t xml:space="preserve">50</w:t>
            </w:r>
          </w:p>
        </w:tc>
      </w:tr>
      <w:tr>
        <w:tc>
          <w:p>
            <w:pPr>
              <w:pStyle w:val="Compact"/>
              <w:jc w:val="left"/>
            </w:pPr>
            <w:r>
              <w:t xml:space="preserve">New Zealand</w:t>
            </w:r>
          </w:p>
        </w:tc>
        <w:tc>
          <w:p>
            <w:pPr>
              <w:pStyle w:val="Compact"/>
              <w:jc w:val="left"/>
            </w:pPr>
            <w:r>
              <w:t xml:space="preserve">Import</w:t>
            </w:r>
          </w:p>
        </w:tc>
        <w:tc>
          <w:p>
            <w:pPr>
              <w:pStyle w:val="Compact"/>
              <w:jc w:val="right"/>
            </w:pPr>
            <w:r>
              <w:t xml:space="preserve">31</w:t>
            </w:r>
          </w:p>
        </w:tc>
      </w:tr>
      <w:tr>
        <w:tc>
          <w:p>
            <w:pPr>
              <w:pStyle w:val="Compact"/>
              <w:jc w:val="left"/>
            </w:pPr>
            <w:r>
              <w:t xml:space="preserve">South Africa</w:t>
            </w:r>
          </w:p>
        </w:tc>
        <w:tc>
          <w:p>
            <w:pPr>
              <w:pStyle w:val="Compact"/>
              <w:jc w:val="left"/>
            </w:pPr>
            <w:r>
              <w:t xml:space="preserve">Import</w:t>
            </w:r>
          </w:p>
        </w:tc>
        <w:tc>
          <w:p>
            <w:pPr>
              <w:pStyle w:val="Compact"/>
              <w:jc w:val="right"/>
            </w:pPr>
            <w:r>
              <w:t xml:space="preserve">27</w:t>
            </w:r>
          </w:p>
        </w:tc>
      </w:tr>
      <w:tr>
        <w:tc>
          <w:p>
            <w:pPr>
              <w:pStyle w:val="Compact"/>
              <w:jc w:val="left"/>
            </w:pPr>
            <w:r>
              <w:t xml:space="preserve">United Kingdom</w:t>
            </w:r>
          </w:p>
        </w:tc>
        <w:tc>
          <w:p>
            <w:pPr>
              <w:pStyle w:val="Compact"/>
              <w:jc w:val="left"/>
            </w:pPr>
            <w:r>
              <w:t xml:space="preserve">Import</w:t>
            </w:r>
          </w:p>
        </w:tc>
        <w:tc>
          <w:p>
            <w:pPr>
              <w:pStyle w:val="Compact"/>
              <w:jc w:val="right"/>
            </w:pPr>
            <w:r>
              <w:t xml:space="preserve">17</w:t>
            </w:r>
          </w:p>
        </w:tc>
      </w:tr>
      <w:tr>
        <w:tc>
          <w:p>
            <w:pPr>
              <w:pStyle w:val="Compact"/>
              <w:jc w:val="left"/>
            </w:pPr>
            <w:r>
              <w:t xml:space="preserve">Slovenia</w:t>
            </w:r>
          </w:p>
        </w:tc>
        <w:tc>
          <w:p>
            <w:pPr>
              <w:pStyle w:val="Compact"/>
              <w:jc w:val="left"/>
            </w:pPr>
            <w:r>
              <w:t xml:space="preserve">Import</w:t>
            </w:r>
          </w:p>
        </w:tc>
        <w:tc>
          <w:p>
            <w:pPr>
              <w:pStyle w:val="Compact"/>
              <w:jc w:val="right"/>
            </w:pPr>
            <w:r>
              <w:t xml:space="preserve">16</w:t>
            </w:r>
          </w:p>
        </w:tc>
      </w:tr>
      <w:tr>
        <w:tc>
          <w:p>
            <w:pPr>
              <w:pStyle w:val="Compact"/>
              <w:jc w:val="left"/>
            </w:pPr>
            <w:r>
              <w:t xml:space="preserve">Estonia</w:t>
            </w:r>
          </w:p>
        </w:tc>
        <w:tc>
          <w:p>
            <w:pPr>
              <w:pStyle w:val="Compact"/>
              <w:jc w:val="left"/>
            </w:pPr>
            <w:r>
              <w:t xml:space="preserve">Import</w:t>
            </w:r>
          </w:p>
        </w:tc>
        <w:tc>
          <w:p>
            <w:pPr>
              <w:pStyle w:val="Compact"/>
              <w:jc w:val="right"/>
            </w:pPr>
            <w:r>
              <w:t xml:space="preserve">12</w:t>
            </w:r>
          </w:p>
        </w:tc>
      </w:tr>
      <w:tr>
        <w:tc>
          <w:p>
            <w:pPr>
              <w:pStyle w:val="Compact"/>
              <w:jc w:val="left"/>
            </w:pPr>
            <w:r>
              <w:t xml:space="preserve">Thailand</w:t>
            </w:r>
          </w:p>
        </w:tc>
        <w:tc>
          <w:p>
            <w:pPr>
              <w:pStyle w:val="Compact"/>
              <w:jc w:val="left"/>
            </w:pPr>
            <w:r>
              <w:t xml:space="preserve">Import</w:t>
            </w:r>
          </w:p>
        </w:tc>
        <w:tc>
          <w:p>
            <w:pPr>
              <w:pStyle w:val="Compact"/>
              <w:jc w:val="right"/>
            </w:pPr>
            <w:r>
              <w:t xml:space="preserve">12</w:t>
            </w:r>
          </w:p>
        </w:tc>
      </w:tr>
      <w:tr>
        <w:tc>
          <w:p>
            <w:pPr>
              <w:pStyle w:val="Compact"/>
              <w:jc w:val="left"/>
            </w:pPr>
            <w:r>
              <w:t xml:space="preserve">China</w:t>
            </w:r>
          </w:p>
        </w:tc>
        <w:tc>
          <w:p>
            <w:pPr>
              <w:pStyle w:val="Compact"/>
              <w:jc w:val="left"/>
            </w:pPr>
            <w:r>
              <w:t xml:space="preserve">Import</w:t>
            </w:r>
          </w:p>
        </w:tc>
        <w:tc>
          <w:p>
            <w:pPr>
              <w:pStyle w:val="Compact"/>
              <w:jc w:val="right"/>
            </w:pPr>
            <w:r>
              <w:t xml:space="preserve">7</w:t>
            </w:r>
          </w:p>
        </w:tc>
      </w:tr>
      <w:tr>
        <w:tc>
          <w:p>
            <w:pPr>
              <w:pStyle w:val="Compact"/>
              <w:jc w:val="left"/>
            </w:pPr>
            <w:r>
              <w:t xml:space="preserve">Greenland</w:t>
            </w:r>
          </w:p>
        </w:tc>
        <w:tc>
          <w:p>
            <w:pPr>
              <w:pStyle w:val="Compact"/>
              <w:jc w:val="left"/>
            </w:pPr>
            <w:r>
              <w:t xml:space="preserve">Import</w:t>
            </w:r>
          </w:p>
        </w:tc>
        <w:tc>
          <w:p>
            <w:pPr>
              <w:pStyle w:val="Compact"/>
              <w:jc w:val="right"/>
            </w:pPr>
            <w:r>
              <w:t xml:space="preserve">3</w:t>
            </w:r>
          </w:p>
        </w:tc>
      </w:tr>
      <w:tr>
        <w:tc>
          <w:p>
            <w:pPr>
              <w:pStyle w:val="Compact"/>
              <w:jc w:val="left"/>
            </w:pPr>
            <w:r>
              <w:t xml:space="preserve">Ethiopia</w:t>
            </w:r>
          </w:p>
        </w:tc>
        <w:tc>
          <w:p>
            <w:pPr>
              <w:pStyle w:val="Compact"/>
              <w:jc w:val="left"/>
            </w:pPr>
            <w:r>
              <w:t xml:space="preserve">Import</w:t>
            </w:r>
          </w:p>
        </w:tc>
        <w:tc>
          <w:p>
            <w:pPr>
              <w:pStyle w:val="Compact"/>
              <w:jc w:val="right"/>
            </w:pPr>
            <w:r>
              <w:t xml:space="preserve">2</w:t>
            </w:r>
          </w:p>
        </w:tc>
      </w:tr>
      <w:tr>
        <w:tc>
          <w:p>
            <w:pPr>
              <w:pStyle w:val="Compact"/>
              <w:jc w:val="left"/>
            </w:pPr>
            <w:r>
              <w:t xml:space="preserve">Papua New Guinea</w:t>
            </w:r>
          </w:p>
        </w:tc>
        <w:tc>
          <w:p>
            <w:pPr>
              <w:pStyle w:val="Compact"/>
              <w:jc w:val="left"/>
            </w:pPr>
            <w:r>
              <w:t xml:space="preserve">Import</w:t>
            </w:r>
          </w:p>
        </w:tc>
        <w:tc>
          <w:p>
            <w:pPr>
              <w:pStyle w:val="Compact"/>
              <w:jc w:val="right"/>
            </w:pPr>
            <w:r>
              <w:t xml:space="preserve">2</w:t>
            </w:r>
          </w:p>
        </w:tc>
      </w:tr>
      <w:tr>
        <w:tc>
          <w:p>
            <w:pPr>
              <w:pStyle w:val="Compact"/>
              <w:jc w:val="left"/>
            </w:pPr>
            <w:r>
              <w:t xml:space="preserve">Saint Kitts and Nevis</w:t>
            </w:r>
          </w:p>
        </w:tc>
        <w:tc>
          <w:p>
            <w:pPr>
              <w:pStyle w:val="Compact"/>
              <w:jc w:val="left"/>
            </w:pPr>
            <w:r>
              <w:t xml:space="preserve">Import</w:t>
            </w:r>
          </w:p>
        </w:tc>
        <w:tc>
          <w:p>
            <w:pPr>
              <w:pStyle w:val="Compact"/>
              <w:jc w:val="right"/>
            </w:pPr>
            <w:r>
              <w:t xml:space="preserve">2</w:t>
            </w:r>
          </w:p>
        </w:tc>
      </w:tr>
      <w:tr>
        <w:tc>
          <w:p>
            <w:pPr>
              <w:pStyle w:val="Compact"/>
              <w:jc w:val="left"/>
            </w:pPr>
            <w:r>
              <w:t xml:space="preserve">Indonesia</w:t>
            </w:r>
          </w:p>
        </w:tc>
        <w:tc>
          <w:p>
            <w:pPr>
              <w:pStyle w:val="Compact"/>
              <w:jc w:val="left"/>
            </w:pPr>
            <w:r>
              <w:t xml:space="preserve">Import</w:t>
            </w:r>
          </w:p>
        </w:tc>
        <w:tc>
          <w:p>
            <w:pPr>
              <w:pStyle w:val="Compact"/>
              <w:jc w:val="right"/>
            </w:pPr>
            <w:r>
              <w:t xml:space="preserve">1</w:t>
            </w:r>
          </w:p>
        </w:tc>
      </w:tr>
      <w:tr>
        <w:tc>
          <w:p>
            <w:pPr>
              <w:pStyle w:val="Compact"/>
              <w:jc w:val="left"/>
            </w:pPr>
            <w:r>
              <w:t xml:space="preserve">Malaysia</w:t>
            </w:r>
          </w:p>
        </w:tc>
        <w:tc>
          <w:p>
            <w:pPr>
              <w:pStyle w:val="Compact"/>
              <w:jc w:val="left"/>
            </w:pPr>
            <w:r>
              <w:t xml:space="preserve">Import</w:t>
            </w:r>
          </w:p>
        </w:tc>
        <w:tc>
          <w:p>
            <w:pPr>
              <w:pStyle w:val="Compact"/>
              <w:jc w:val="right"/>
            </w:pPr>
            <w:r>
              <w:t xml:space="preserve">1</w:t>
            </w:r>
          </w:p>
        </w:tc>
      </w:tr>
      <w:tr>
        <w:tc>
          <w:p>
            <w:pPr>
              <w:pStyle w:val="Compact"/>
              <w:jc w:val="left"/>
            </w:pPr>
            <w:r>
              <w:t xml:space="preserve">Palau</w:t>
            </w:r>
          </w:p>
        </w:tc>
        <w:tc>
          <w:p>
            <w:pPr>
              <w:pStyle w:val="Compact"/>
              <w:jc w:val="left"/>
            </w:pPr>
            <w:r>
              <w:t xml:space="preserve">Import</w:t>
            </w:r>
          </w:p>
        </w:tc>
        <w:tc>
          <w:p>
            <w:pPr>
              <w:pStyle w:val="Compact"/>
              <w:jc w:val="right"/>
            </w:pPr>
            <w:r>
              <w:t xml:space="preserve">1</w:t>
            </w:r>
          </w:p>
        </w:tc>
      </w:tr>
    </w:tbl>
    <w:p>
      <w:pPr>
        <w:pStyle w:val="TableCaption"/>
      </w:pPr>
      <w:r>
        <w:t xml:space="preserve">Self-trade of commodities from 2nd, 10th and 15th HS chapters in 2011</w:t>
      </w:r>
    </w:p>
    <w:p>
      <w:pPr>
        <w:pStyle w:val="Heading2"/>
      </w:pPr>
      <w:bookmarkStart w:id="49" w:name="missing-quantity"/>
      <w:bookmarkEnd w:id="49"/>
      <w:r>
        <w:t xml:space="preserve">Missing quantity</w:t>
      </w:r>
    </w:p>
    <w:p>
      <w:r>
        <w:t xml:space="preserve">We identify which reporters provide data of insufficient quality. Firstly for every reporter proportion of trade flows with missing quantity is calculated.</w:t>
      </w:r>
    </w:p>
    <w:p>
      <w:r>
        <w:drawing>
          <wp:inline>
            <wp:extent cx="4584700" cy="4584700"/>
            <wp:effectExtent b="0" l="0" r="0" t="0"/>
            <wp:docPr descr="" id="1" name="Picture"/>
            <a:graphic>
              <a:graphicData uri="http://schemas.openxmlformats.org/drawingml/2006/picture">
                <pic:pic>
                  <pic:nvPicPr>
                    <pic:cNvPr descr="trade_files/figure-docx/missing_quantity_props_per_country-1.png" id="0" name="Picture"/>
                    <pic:cNvPicPr>
                      <a:picLocks noChangeArrowheads="1" noChangeAspect="1"/>
                    </pic:cNvPicPr>
                  </pic:nvPicPr>
                  <pic:blipFill>
                    <a:blip r:embed="rId50"/>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1" w:name="detection-of-outliers"/>
      <w:bookmarkEnd w:id="51"/>
      <w:r>
        <w:t xml:space="preserve">Detection of outliers</w:t>
      </w:r>
    </w:p>
    <w:p>
      <w:r>
        <w:t xml:space="preserve">We define outliers as observations located outside the range:</w:t>
      </w:r>
    </w:p>
    <w:p>
      <m:oMathPara>
        <m:oMathParaPr>
          <m:jc m:val="center"/>
        </m:oMathParaPr>
        <m:oMath>
          <m:r>
            <m:rPr>
              <m:sty m:val="p"/>
            </m:rPr>
            <m:t>[</m:t>
          </m:r>
          <m:sSub>
            <m:e>
              <m:r>
                <m:rPr>
                  <m:sty m:val="p"/>
                </m:rPr>
                <m:t>Q</m:t>
              </m:r>
            </m:e>
            <m:sub>
              <m:r>
                <m:rPr>
                  <m:sty m:val="p"/>
                </m:rPr>
                <m:t>1</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sSub>
            <m:e>
              <m:r>
                <m:rPr>
                  <m:sty m:val="p"/>
                </m:rPr>
                <m:t>Q</m:t>
              </m:r>
            </m:e>
            <m:sub>
              <m:r>
                <m:rPr>
                  <m:sty m:val="p"/>
                </m:rPr>
                <m:t>3</m:t>
              </m:r>
            </m:sub>
          </m:sSub>
          <m:r>
            <m:rPr>
              <m:sty m:val="p"/>
            </m:rPr>
            <m:t>+</m:t>
          </m:r>
          <m:r>
            <m:rPr>
              <m:sty m:val="p"/>
            </m:rPr>
            <m:t>k</m:t>
          </m:r>
          <m:r>
            <m:rPr>
              <m:sty m:val="p"/>
            </m:rPr>
            <m:t>(</m:t>
          </m:r>
          <m:sSub>
            <m:e>
              <m:r>
                <m:rPr>
                  <m:sty m:val="p"/>
                </m:rPr>
                <m:t>Q</m:t>
              </m:r>
            </m:e>
            <m:sub>
              <m:r>
                <m:rPr>
                  <m:sty m:val="p"/>
                </m:rPr>
                <m:t>3</m:t>
              </m:r>
            </m:sub>
          </m:sSub>
          <m:r>
            <m:rPr>
              <m:sty m:val="p"/>
            </m:rPr>
            <m:t>−</m:t>
          </m:r>
          <m:sSub>
            <m:e>
              <m:r>
                <m:rPr>
                  <m:sty m:val="p"/>
                </m:rPr>
                <m:t>Q</m:t>
              </m:r>
            </m:e>
            <m:sub>
              <m:r>
                <m:rPr>
                  <m:sty m:val="p"/>
                </m:rPr>
                <m:t>1</m:t>
              </m:r>
            </m:sub>
          </m:sSub>
          <m:r>
            <m:rPr>
              <m:sty m:val="p"/>
            </m:rPr>
            <m:t>)</m:t>
          </m:r>
          <m:r>
            <m:rPr>
              <m:sty m:val="p"/>
            </m:rPr>
            <m:t>]</m:t>
          </m:r>
        </m:oMath>
      </m:oMathPara>
    </w:p>
    <w:p>
      <w:r>
        <w:t xml:space="preserve">where</w:t>
      </w:r>
      <w:r>
        <w:t xml:space="preserve"> </w:t>
      </w:r>
      <m:oMath>
        <m:sSub>
          <m:e>
            <m:r>
              <m:rPr>
                <m:sty m:val="p"/>
              </m:rPr>
              <m:t>Q</m:t>
            </m:r>
          </m:e>
          <m:sub>
            <m:r>
              <m:rPr>
                <m:sty m:val="p"/>
              </m:rPr>
              <m:t>1</m:t>
            </m:r>
          </m:sub>
        </m:sSub>
      </m:oMath>
      <w:r>
        <w:t xml:space="preserve"> </w:t>
      </w:r>
      <w:r>
        <w:t xml:space="preserve">and</w:t>
      </w:r>
      <w:r>
        <w:t xml:space="preserve"> </w:t>
      </w:r>
      <m:oMath>
        <m:sSub>
          <m:e>
            <m:r>
              <m:rPr>
                <m:sty m:val="p"/>
              </m:rPr>
              <m:t>Q</m:t>
            </m:r>
          </m:e>
          <m:sub>
            <m:r>
              <m:rPr>
                <m:sty m:val="p"/>
              </m:rPr>
              <m:t>3</m:t>
            </m:r>
          </m:sub>
        </m:sSub>
      </m:oMath>
      <w:r>
        <w:t xml:space="preserve"> </w:t>
      </w:r>
      <w:r>
        <w:t xml:space="preserve">are the lower and upper quartiles respectively, and</w:t>
      </w:r>
      <w:r>
        <w:t xml:space="preserve"> </w:t>
      </w:r>
      <m:oMath>
        <m:r>
          <m:rPr>
            <m:sty m:val="p"/>
          </m:rPr>
          <m:t>k</m:t>
        </m:r>
      </m:oMath>
      <w:r>
        <w:t xml:space="preserve"> </w:t>
      </w:r>
      <w:r>
        <w:t xml:space="preserve">is a non negative constant. In this paper we use</w:t>
      </w:r>
      <w:r>
        <w:t xml:space="preserve"> </w:t>
      </w:r>
      <m:oMath>
        <m:r>
          <m:rPr>
            <m:sty m:val="p"/>
          </m:rPr>
          <m:t>k</m:t>
        </m:r>
      </m:oMath>
      <w:r>
        <w:t xml:space="preserve"> </w:t>
      </w:r>
      <w:r>
        <w:t xml:space="preserve">equals 1.5.</w:t>
      </w:r>
    </w:p>
    <w:p>
      <w:r>
        <w:drawing>
          <wp:inline>
            <wp:extent cx="4584700" cy="4584700"/>
            <wp:effectExtent b="0" l="0" r="0" t="0"/>
            <wp:docPr descr="" id="1" name="Picture"/>
            <a:graphic>
              <a:graphicData uri="http://schemas.openxmlformats.org/drawingml/2006/picture">
                <pic:pic>
                  <pic:nvPicPr>
                    <pic:cNvPr descr="trade_files/figure-docx/prop_of_outliers_per_country-1.png" id="0" name="Picture"/>
                    <pic:cNvPicPr>
                      <a:picLocks noChangeArrowheads="1" noChangeAspect="1"/>
                    </pic:cNvPicPr>
                  </pic:nvPicPr>
                  <pic:blipFill>
                    <a:blip r:embed="rId52"/>
                    <a:stretch>
                      <a:fillRect/>
                    </a:stretch>
                  </pic:blipFill>
                  <pic:spPr bwMode="auto">
                    <a:xfrm>
                      <a:off x="0" y="0"/>
                      <a:ext cx="4584700" cy="4584700"/>
                    </a:xfrm>
                    <a:prstGeom prst="rect">
                      <a:avLst/>
                    </a:prstGeom>
                    <a:noFill/>
                    <a:ln w="9525">
                      <a:noFill/>
                      <a:headEnd/>
                      <a:tailEnd/>
                    </a:ln>
                  </pic:spPr>
                </pic:pic>
              </a:graphicData>
            </a:graphic>
          </wp:inline>
        </w:drawing>
      </w:r>
    </w:p>
    <w:p>
      <w:pPr>
        <w:pStyle w:val="Heading2"/>
      </w:pPr>
      <w:bookmarkStart w:id="53" w:name="missing-quantites-and-outliers-combined"/>
      <w:bookmarkEnd w:id="53"/>
      <w:r>
        <w:t xml:space="preserve">Missing quantites and outliers combined</w:t>
      </w:r>
    </w:p>
    <w:p>
      <w:r>
        <w:drawing>
          <wp:inline>
            <wp:extent cx="5440680" cy="4530784"/>
            <wp:effectExtent b="0" l="0" r="0" t="0"/>
            <wp:docPr descr="" id="1" name="Picture"/>
            <a:graphic>
              <a:graphicData uri="http://schemas.openxmlformats.org/drawingml/2006/picture">
                <pic:pic>
                  <pic:nvPicPr>
                    <pic:cNvPr descr="trade_files/figure-docx/missings_outliers_together-1.png" id="0" name="Picture"/>
                    <pic:cNvPicPr>
                      <a:picLocks noChangeArrowheads="1" noChangeAspect="1"/>
                    </pic:cNvPicPr>
                  </pic:nvPicPr>
                  <pic:blipFill>
                    <a:blip r:embed="rId54"/>
                    <a:stretch>
                      <a:fillRect/>
                    </a:stretch>
                  </pic:blipFill>
                  <pic:spPr bwMode="auto">
                    <a:xfrm>
                      <a:off x="0" y="0"/>
                      <a:ext cx="5440680" cy="4530784"/>
                    </a:xfrm>
                    <a:prstGeom prst="rect">
                      <a:avLst/>
                    </a:prstGeom>
                    <a:noFill/>
                    <a:ln w="9525">
                      <a:noFill/>
                      <a:headEnd/>
                      <a:tailEnd/>
                    </a:ln>
                  </pic:spPr>
                </pic:pic>
              </a:graphicData>
            </a:graphic>
          </wp:inline>
        </w:drawing>
      </w:r>
    </w:p>
    <w:p>
      <w:pPr>
        <w:pStyle w:val="Heading1"/>
      </w:pPr>
      <w:bookmarkStart w:id="55" w:name="imputing-of-missing-quantities-and-replacement-of-outliers"/>
      <w:bookmarkEnd w:id="55"/>
      <w:r>
        <w:t xml:space="preserve">Imputing of missing quantities and replacement of outliers</w:t>
      </w:r>
    </w:p>
    <w:p>
      <w:r>
        <w:t xml:space="preserve">In data reported by USA for 2011 year in HS chapters 2, 10 and 15 there are 0 trade flows with missing quantity and 33 trade flows with UV-outliers.</w:t>
      </w:r>
    </w:p>
    <w:tbl>
      <w:tblPr>
        <w:tblStyle w:val="TableNormal"/>
        <w:tblW w:type="pct" w:w="0.0"/>
        <w:tblCaption w:val="Example trade flows with outlied unit values"/>
      </w:tblPr>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Value</w:t>
            </w:r>
          </w:p>
        </w:tc>
        <w:tc>
          <w:tcPr>
            <w:tcBorders>
              <w:bottom w:val="single"/>
            </w:tcBorders>
            <w:vAlign w:val="bottom"/>
          </w:tcPr>
          <w:p>
            <w:pPr>
              <w:pStyle w:val="Compact"/>
              <w:jc w:val="right"/>
            </w:pPr>
            <w:r>
              <w:t xml:space="preserve">UV</w:t>
            </w:r>
          </w:p>
        </w:tc>
        <w:tc>
          <w:tcPr>
            <w:tcBorders>
              <w:bottom w:val="single"/>
            </w:tcBorders>
            <w:vAlign w:val="bottom"/>
          </w:tcPr>
          <w:p>
            <w:pPr>
              <w:pStyle w:val="Compact"/>
              <w:jc w:val="right"/>
            </w:pPr>
            <w:r>
              <w:t xml:space="preserve">UV_me</w:t>
            </w:r>
          </w:p>
        </w:tc>
      </w:tr>
      <w:tr>
        <w:tc>
          <w:p>
            <w:pPr>
              <w:pStyle w:val="Compact"/>
              <w:jc w:val="left"/>
            </w:pPr>
            <w:r>
              <w:t xml:space="preserve">United States</w:t>
            </w:r>
          </w:p>
        </w:tc>
        <w:tc>
          <w:p>
            <w:pPr>
              <w:pStyle w:val="Compact"/>
              <w:jc w:val="left"/>
            </w:pPr>
            <w:r>
              <w:t xml:space="preserve">Netherlands</w:t>
            </w:r>
          </w:p>
        </w:tc>
        <w:tc>
          <w:p>
            <w:pPr>
              <w:pStyle w:val="Compact"/>
              <w:jc w:val="left"/>
            </w:pPr>
            <w:r>
              <w:t xml:space="preserve">Import</w:t>
            </w:r>
          </w:p>
        </w:tc>
        <w:tc>
          <w:p>
            <w:pPr>
              <w:pStyle w:val="Compact"/>
              <w:jc w:val="left"/>
            </w:pPr>
            <w:r>
              <w:t xml:space="preserve">1504204000</w:t>
            </w:r>
          </w:p>
        </w:tc>
        <w:tc>
          <w:p>
            <w:pPr>
              <w:pStyle w:val="Compact"/>
              <w:jc w:val="right"/>
            </w:pPr>
            <w:r>
              <w:t xml:space="preserve">160571</w:t>
            </w:r>
          </w:p>
        </w:tc>
        <w:tc>
          <w:p>
            <w:pPr>
              <w:pStyle w:val="Compact"/>
              <w:jc w:val="right"/>
            </w:pPr>
            <w:r>
              <w:t xml:space="preserve">4932146</w:t>
            </w:r>
          </w:p>
        </w:tc>
        <w:tc>
          <w:p>
            <w:pPr>
              <w:pStyle w:val="Compact"/>
              <w:jc w:val="right"/>
            </w:pPr>
            <w:r>
              <w:t xml:space="preserve">30.72</w:t>
            </w:r>
          </w:p>
        </w:tc>
        <w:tc>
          <w:p>
            <w:pPr>
              <w:pStyle w:val="Compact"/>
              <w:jc w:val="right"/>
            </w:pPr>
            <w:r>
              <w:t xml:space="preserve">5.83</w:t>
            </w:r>
          </w:p>
        </w:tc>
      </w:tr>
      <w:tr>
        <w:tc>
          <w:p>
            <w:pPr>
              <w:pStyle w:val="Compact"/>
              <w:jc w:val="left"/>
            </w:pPr>
            <w:r>
              <w:t xml:space="preserve">United States</w:t>
            </w:r>
          </w:p>
        </w:tc>
        <w:tc>
          <w:p>
            <w:pPr>
              <w:pStyle w:val="Compact"/>
              <w:jc w:val="left"/>
            </w:pPr>
            <w:r>
              <w:t xml:space="preserve">Spain</w:t>
            </w:r>
          </w:p>
        </w:tc>
        <w:tc>
          <w:p>
            <w:pPr>
              <w:pStyle w:val="Compact"/>
              <w:jc w:val="left"/>
            </w:pPr>
            <w:r>
              <w:t xml:space="preserve">Import</w:t>
            </w:r>
          </w:p>
        </w:tc>
        <w:tc>
          <w:p>
            <w:pPr>
              <w:pStyle w:val="Compact"/>
              <w:jc w:val="left"/>
            </w:pPr>
            <w:r>
              <w:t xml:space="preserve">1512110040</w:t>
            </w:r>
          </w:p>
        </w:tc>
        <w:tc>
          <w:p>
            <w:pPr>
              <w:pStyle w:val="Compact"/>
              <w:jc w:val="right"/>
            </w:pPr>
            <w:r>
              <w:t xml:space="preserve">1140</w:t>
            </w:r>
          </w:p>
        </w:tc>
        <w:tc>
          <w:p>
            <w:pPr>
              <w:pStyle w:val="Compact"/>
              <w:jc w:val="right"/>
            </w:pPr>
            <w:r>
              <w:t xml:space="preserve">6376</w:t>
            </w:r>
          </w:p>
        </w:tc>
        <w:tc>
          <w:p>
            <w:pPr>
              <w:pStyle w:val="Compact"/>
              <w:jc w:val="right"/>
            </w:pPr>
            <w:r>
              <w:t xml:space="preserve">5.59</w:t>
            </w:r>
          </w:p>
        </w:tc>
        <w:tc>
          <w:p>
            <w:pPr>
              <w:pStyle w:val="Compact"/>
              <w:jc w:val="right"/>
            </w:pPr>
            <w:r>
              <w:t xml:space="preserve">0.92</w:t>
            </w:r>
          </w:p>
        </w:tc>
      </w:tr>
      <w:tr>
        <w:tc>
          <w:p>
            <w:pPr>
              <w:pStyle w:val="Compact"/>
              <w:jc w:val="left"/>
            </w:pPr>
            <w:r>
              <w:t xml:space="preserve">United States</w:t>
            </w:r>
          </w:p>
        </w:tc>
        <w:tc>
          <w:p>
            <w:pPr>
              <w:pStyle w:val="Compact"/>
              <w:jc w:val="left"/>
            </w:pPr>
            <w:r>
              <w:t xml:space="preserve">Japan</w:t>
            </w:r>
          </w:p>
        </w:tc>
        <w:tc>
          <w:p>
            <w:pPr>
              <w:pStyle w:val="Compact"/>
              <w:jc w:val="left"/>
            </w:pPr>
            <w:r>
              <w:t xml:space="preserve">Import</w:t>
            </w:r>
          </w:p>
        </w:tc>
        <w:tc>
          <w:p>
            <w:pPr>
              <w:pStyle w:val="Compact"/>
              <w:jc w:val="left"/>
            </w:pPr>
            <w:r>
              <w:t xml:space="preserve">1008100000</w:t>
            </w:r>
          </w:p>
        </w:tc>
        <w:tc>
          <w:p>
            <w:pPr>
              <w:pStyle w:val="Compact"/>
              <w:jc w:val="right"/>
            </w:pPr>
            <w:r>
              <w:t xml:space="preserve">810</w:t>
            </w:r>
          </w:p>
        </w:tc>
        <w:tc>
          <w:p>
            <w:pPr>
              <w:pStyle w:val="Compact"/>
              <w:jc w:val="right"/>
            </w:pPr>
            <w:r>
              <w:t xml:space="preserve">7833</w:t>
            </w:r>
          </w:p>
        </w:tc>
        <w:tc>
          <w:p>
            <w:pPr>
              <w:pStyle w:val="Compact"/>
              <w:jc w:val="right"/>
            </w:pPr>
            <w:r>
              <w:t xml:space="preserve">9.67</w:t>
            </w:r>
          </w:p>
        </w:tc>
        <w:tc>
          <w:p>
            <w:pPr>
              <w:pStyle w:val="Compact"/>
              <w:jc w:val="right"/>
            </w:pPr>
            <w:r>
              <w:t xml:space="preserve">1.24</w:t>
            </w:r>
          </w:p>
        </w:tc>
      </w:tr>
      <w:tr>
        <w:tc>
          <w:p>
            <w:pPr>
              <w:pStyle w:val="Compact"/>
              <w:jc w:val="left"/>
            </w:pPr>
            <w:r>
              <w:t xml:space="preserve">United States</w:t>
            </w:r>
          </w:p>
        </w:tc>
        <w:tc>
          <w:p>
            <w:pPr>
              <w:pStyle w:val="Compact"/>
              <w:jc w:val="left"/>
            </w:pPr>
            <w:r>
              <w:t xml:space="preserve">Germany</w:t>
            </w:r>
          </w:p>
        </w:tc>
        <w:tc>
          <w:p>
            <w:pPr>
              <w:pStyle w:val="Compact"/>
              <w:jc w:val="left"/>
            </w:pPr>
            <w:r>
              <w:t xml:space="preserve">Import</w:t>
            </w:r>
          </w:p>
        </w:tc>
        <w:tc>
          <w:p>
            <w:pPr>
              <w:pStyle w:val="Compact"/>
              <w:jc w:val="left"/>
            </w:pPr>
            <w:r>
              <w:t xml:space="preserve">1505009000</w:t>
            </w:r>
          </w:p>
        </w:tc>
        <w:tc>
          <w:p>
            <w:pPr>
              <w:pStyle w:val="Compact"/>
              <w:jc w:val="right"/>
            </w:pPr>
            <w:r>
              <w:t xml:space="preserve">105784</w:t>
            </w:r>
          </w:p>
        </w:tc>
        <w:tc>
          <w:p>
            <w:pPr>
              <w:pStyle w:val="Compact"/>
              <w:jc w:val="right"/>
            </w:pPr>
            <w:r>
              <w:t xml:space="preserve">2191650</w:t>
            </w:r>
          </w:p>
        </w:tc>
        <w:tc>
          <w:p>
            <w:pPr>
              <w:pStyle w:val="Compact"/>
              <w:jc w:val="right"/>
            </w:pPr>
            <w:r>
              <w:t xml:space="preserve">20.72</w:t>
            </w:r>
          </w:p>
        </w:tc>
        <w:tc>
          <w:p>
            <w:pPr>
              <w:pStyle w:val="Compact"/>
              <w:jc w:val="right"/>
            </w:pPr>
            <w:r>
              <w:t xml:space="preserve">7.15</w:t>
            </w:r>
          </w:p>
        </w:tc>
      </w:tr>
      <w:tr>
        <w:tc>
          <w:p>
            <w:pPr>
              <w:pStyle w:val="Compact"/>
              <w:jc w:val="left"/>
            </w:pPr>
            <w:r>
              <w:t xml:space="preserve">United States</w:t>
            </w:r>
          </w:p>
        </w:tc>
        <w:tc>
          <w:p>
            <w:pPr>
              <w:pStyle w:val="Compact"/>
              <w:jc w:val="left"/>
            </w:pPr>
            <w:r>
              <w:t xml:space="preserve">United Kingdom</w:t>
            </w:r>
          </w:p>
        </w:tc>
        <w:tc>
          <w:p>
            <w:pPr>
              <w:pStyle w:val="Compact"/>
              <w:jc w:val="left"/>
            </w:pPr>
            <w:r>
              <w:t xml:space="preserve">Import</w:t>
            </w:r>
          </w:p>
        </w:tc>
        <w:tc>
          <w:p>
            <w:pPr>
              <w:pStyle w:val="Compact"/>
              <w:jc w:val="left"/>
            </w:pPr>
            <w:r>
              <w:t xml:space="preserve">1514999010</w:t>
            </w:r>
          </w:p>
        </w:tc>
        <w:tc>
          <w:p>
            <w:pPr>
              <w:pStyle w:val="Compact"/>
              <w:jc w:val="right"/>
            </w:pPr>
            <w:r>
              <w:t xml:space="preserve">2290</w:t>
            </w:r>
          </w:p>
        </w:tc>
        <w:tc>
          <w:p>
            <w:pPr>
              <w:pStyle w:val="Compact"/>
              <w:jc w:val="right"/>
            </w:pPr>
            <w:r>
              <w:t xml:space="preserve">24200</w:t>
            </w:r>
          </w:p>
        </w:tc>
        <w:tc>
          <w:p>
            <w:pPr>
              <w:pStyle w:val="Compact"/>
              <w:jc w:val="right"/>
            </w:pPr>
            <w:r>
              <w:t xml:space="preserve">10.57</w:t>
            </w:r>
          </w:p>
        </w:tc>
        <w:tc>
          <w:p>
            <w:pPr>
              <w:pStyle w:val="Compact"/>
              <w:jc w:val="right"/>
            </w:pPr>
            <w:r>
              <w:t xml:space="preserve">2.67</w:t>
            </w:r>
          </w:p>
        </w:tc>
      </w:tr>
      <w:tr>
        <w:tc>
          <w:p>
            <w:pPr>
              <w:pStyle w:val="Compact"/>
              <w:jc w:val="left"/>
            </w:pPr>
            <w:r>
              <w:t xml:space="preserve">United States</w:t>
            </w:r>
          </w:p>
        </w:tc>
        <w:tc>
          <w:p>
            <w:pPr>
              <w:pStyle w:val="Compact"/>
              <w:jc w:val="left"/>
            </w:pPr>
            <w:r>
              <w:t xml:space="preserve">Japan</w:t>
            </w:r>
          </w:p>
        </w:tc>
        <w:tc>
          <w:p>
            <w:pPr>
              <w:pStyle w:val="Compact"/>
              <w:jc w:val="left"/>
            </w:pPr>
            <w:r>
              <w:t xml:space="preserve">Import</w:t>
            </w:r>
          </w:p>
        </w:tc>
        <w:tc>
          <w:p>
            <w:pPr>
              <w:pStyle w:val="Compact"/>
              <w:jc w:val="left"/>
            </w:pPr>
            <w:r>
              <w:t xml:space="preserve">1516100000</w:t>
            </w:r>
          </w:p>
        </w:tc>
        <w:tc>
          <w:p>
            <w:pPr>
              <w:pStyle w:val="Compact"/>
              <w:jc w:val="right"/>
            </w:pPr>
            <w:r>
              <w:t xml:space="preserve">1090</w:t>
            </w:r>
          </w:p>
        </w:tc>
        <w:tc>
          <w:p>
            <w:pPr>
              <w:pStyle w:val="Compact"/>
              <w:jc w:val="right"/>
            </w:pPr>
            <w:r>
              <w:t xml:space="preserve">93260</w:t>
            </w:r>
          </w:p>
        </w:tc>
        <w:tc>
          <w:p>
            <w:pPr>
              <w:pStyle w:val="Compact"/>
              <w:jc w:val="right"/>
            </w:pPr>
            <w:r>
              <w:t xml:space="preserve">85.56</w:t>
            </w:r>
          </w:p>
        </w:tc>
        <w:tc>
          <w:p>
            <w:pPr>
              <w:pStyle w:val="Compact"/>
              <w:jc w:val="right"/>
            </w:pPr>
            <w:r>
              <w:t xml:space="preserve">27.54</w:t>
            </w:r>
          </w:p>
        </w:tc>
      </w:tr>
      <w:tr>
        <w:tc>
          <w:p>
            <w:pPr>
              <w:pStyle w:val="Compact"/>
              <w:jc w:val="left"/>
            </w:pPr>
            <w:r>
              <w:t xml:space="preserve">United States</w:t>
            </w:r>
          </w:p>
        </w:tc>
        <w:tc>
          <w:p>
            <w:pPr>
              <w:pStyle w:val="Compact"/>
              <w:jc w:val="left"/>
            </w:pPr>
            <w:r>
              <w:t xml:space="preserve">Japan</w:t>
            </w:r>
          </w:p>
        </w:tc>
        <w:tc>
          <w:p>
            <w:pPr>
              <w:pStyle w:val="Compact"/>
              <w:jc w:val="left"/>
            </w:pPr>
            <w:r>
              <w:t xml:space="preserve">Import</w:t>
            </w:r>
          </w:p>
        </w:tc>
        <w:tc>
          <w:p>
            <w:pPr>
              <w:pStyle w:val="Compact"/>
              <w:jc w:val="left"/>
            </w:pPr>
            <w:r>
              <w:t xml:space="preserve">1008200000</w:t>
            </w:r>
          </w:p>
        </w:tc>
        <w:tc>
          <w:p>
            <w:pPr>
              <w:pStyle w:val="Compact"/>
              <w:jc w:val="right"/>
            </w:pPr>
            <w:r>
              <w:t xml:space="preserve">327</w:t>
            </w:r>
          </w:p>
        </w:tc>
        <w:tc>
          <w:p>
            <w:pPr>
              <w:pStyle w:val="Compact"/>
              <w:jc w:val="right"/>
            </w:pPr>
            <w:r>
              <w:t xml:space="preserve">2479</w:t>
            </w:r>
          </w:p>
        </w:tc>
        <w:tc>
          <w:p>
            <w:pPr>
              <w:pStyle w:val="Compact"/>
              <w:jc w:val="right"/>
            </w:pPr>
            <w:r>
              <w:t xml:space="preserve">7.58</w:t>
            </w:r>
          </w:p>
        </w:tc>
        <w:tc>
          <w:p>
            <w:pPr>
              <w:pStyle w:val="Compact"/>
              <w:jc w:val="right"/>
            </w:pPr>
            <w:r>
              <w:t xml:space="preserve">1.88</w:t>
            </w:r>
          </w:p>
        </w:tc>
      </w:tr>
      <w:tr>
        <w:tc>
          <w:p>
            <w:pPr>
              <w:pStyle w:val="Compact"/>
              <w:jc w:val="left"/>
            </w:pPr>
            <w:r>
              <w:t xml:space="preserve">United States</w:t>
            </w:r>
          </w:p>
        </w:tc>
        <w:tc>
          <w:p>
            <w:pPr>
              <w:pStyle w:val="Compact"/>
              <w:jc w:val="left"/>
            </w:pPr>
            <w:r>
              <w:t xml:space="preserve">France</w:t>
            </w:r>
          </w:p>
        </w:tc>
        <w:tc>
          <w:p>
            <w:pPr>
              <w:pStyle w:val="Compact"/>
              <w:jc w:val="left"/>
            </w:pPr>
            <w:r>
              <w:t xml:space="preserve">Import</w:t>
            </w:r>
          </w:p>
        </w:tc>
        <w:tc>
          <w:p>
            <w:pPr>
              <w:pStyle w:val="Compact"/>
              <w:jc w:val="left"/>
            </w:pPr>
            <w:r>
              <w:t xml:space="preserve">1510004000</w:t>
            </w:r>
          </w:p>
        </w:tc>
        <w:tc>
          <w:p>
            <w:pPr>
              <w:pStyle w:val="Compact"/>
              <w:jc w:val="right"/>
            </w:pPr>
            <w:r>
              <w:t xml:space="preserve">279</w:t>
            </w:r>
          </w:p>
        </w:tc>
        <w:tc>
          <w:p>
            <w:pPr>
              <w:pStyle w:val="Compact"/>
              <w:jc w:val="right"/>
            </w:pPr>
            <w:r>
              <w:t xml:space="preserve">3517</w:t>
            </w:r>
          </w:p>
        </w:tc>
        <w:tc>
          <w:p>
            <w:pPr>
              <w:pStyle w:val="Compact"/>
              <w:jc w:val="right"/>
            </w:pPr>
            <w:r>
              <w:t xml:space="preserve">12.61</w:t>
            </w:r>
          </w:p>
        </w:tc>
        <w:tc>
          <w:p>
            <w:pPr>
              <w:pStyle w:val="Compact"/>
              <w:jc w:val="right"/>
            </w:pPr>
            <w:r>
              <w:t xml:space="preserve">2.45</w:t>
            </w:r>
          </w:p>
        </w:tc>
      </w:tr>
      <w:tr>
        <w:tc>
          <w:p>
            <w:pPr>
              <w:pStyle w:val="Compact"/>
              <w:jc w:val="left"/>
            </w:pPr>
            <w:r>
              <w:t xml:space="preserve">United States</w:t>
            </w:r>
          </w:p>
        </w:tc>
        <w:tc>
          <w:p>
            <w:pPr>
              <w:pStyle w:val="Compact"/>
              <w:jc w:val="left"/>
            </w:pPr>
            <w:r>
              <w:t xml:space="preserve">Netherlands</w:t>
            </w:r>
          </w:p>
        </w:tc>
        <w:tc>
          <w:p>
            <w:pPr>
              <w:pStyle w:val="Compact"/>
              <w:jc w:val="left"/>
            </w:pPr>
            <w:r>
              <w:t xml:space="preserve">Import</w:t>
            </w:r>
          </w:p>
        </w:tc>
        <w:tc>
          <w:p>
            <w:pPr>
              <w:pStyle w:val="Compact"/>
              <w:jc w:val="left"/>
            </w:pPr>
            <w:r>
              <w:t xml:space="preserve">1505001000</w:t>
            </w:r>
          </w:p>
        </w:tc>
        <w:tc>
          <w:p>
            <w:pPr>
              <w:pStyle w:val="Compact"/>
              <w:jc w:val="right"/>
            </w:pPr>
            <w:r>
              <w:t xml:space="preserve">280</w:t>
            </w:r>
          </w:p>
        </w:tc>
        <w:tc>
          <w:p>
            <w:pPr>
              <w:pStyle w:val="Compact"/>
              <w:jc w:val="right"/>
            </w:pPr>
            <w:r>
              <w:t xml:space="preserve">4124</w:t>
            </w:r>
          </w:p>
        </w:tc>
        <w:tc>
          <w:p>
            <w:pPr>
              <w:pStyle w:val="Compact"/>
              <w:jc w:val="right"/>
            </w:pPr>
            <w:r>
              <w:t xml:space="preserve">14.73</w:t>
            </w:r>
          </w:p>
        </w:tc>
        <w:tc>
          <w:p>
            <w:pPr>
              <w:pStyle w:val="Compact"/>
              <w:jc w:val="right"/>
            </w:pPr>
            <w:r>
              <w:t xml:space="preserve">3.92</w:t>
            </w:r>
          </w:p>
        </w:tc>
      </w:tr>
      <w:tr>
        <w:tc>
          <w:p>
            <w:pPr>
              <w:pStyle w:val="Compact"/>
              <w:jc w:val="left"/>
            </w:pPr>
            <w:r>
              <w:t xml:space="preserve">United States</w:t>
            </w:r>
          </w:p>
        </w:tc>
        <w:tc>
          <w:p>
            <w:pPr>
              <w:pStyle w:val="Compact"/>
              <w:jc w:val="left"/>
            </w:pPr>
            <w:r>
              <w:t xml:space="preserve">Canada</w:t>
            </w:r>
          </w:p>
        </w:tc>
        <w:tc>
          <w:p>
            <w:pPr>
              <w:pStyle w:val="Compact"/>
              <w:jc w:val="left"/>
            </w:pPr>
            <w:r>
              <w:t xml:space="preserve">Import</w:t>
            </w:r>
          </w:p>
        </w:tc>
        <w:tc>
          <w:p>
            <w:pPr>
              <w:pStyle w:val="Compact"/>
              <w:jc w:val="left"/>
            </w:pPr>
            <w:r>
              <w:t xml:space="preserve">1006309015</w:t>
            </w:r>
          </w:p>
        </w:tc>
        <w:tc>
          <w:p>
            <w:pPr>
              <w:pStyle w:val="Compact"/>
              <w:jc w:val="right"/>
            </w:pPr>
            <w:r>
              <w:t xml:space="preserve">5634</w:t>
            </w:r>
          </w:p>
        </w:tc>
        <w:tc>
          <w:p>
            <w:pPr>
              <w:pStyle w:val="Compact"/>
              <w:jc w:val="right"/>
            </w:pPr>
            <w:r>
              <w:t xml:space="preserve">66825</w:t>
            </w:r>
          </w:p>
        </w:tc>
        <w:tc>
          <w:p>
            <w:pPr>
              <w:pStyle w:val="Compact"/>
              <w:jc w:val="right"/>
            </w:pPr>
            <w:r>
              <w:t xml:space="preserve">11.86</w:t>
            </w:r>
          </w:p>
        </w:tc>
        <w:tc>
          <w:p>
            <w:pPr>
              <w:pStyle w:val="Compact"/>
              <w:jc w:val="right"/>
            </w:pPr>
            <w:r>
              <w:t xml:space="preserve">1.54</w:t>
            </w:r>
          </w:p>
        </w:tc>
      </w:tr>
    </w:tbl>
    <w:p>
      <w:pPr>
        <w:pStyle w:val="TableCaption"/>
      </w:pPr>
      <w:r>
        <w:t xml:space="preserve">Example trade flows with outlied unit values</w:t>
      </w:r>
    </w:p>
    <w:p>
      <w:pPr>
        <w:pStyle w:val="Heading2"/>
      </w:pPr>
      <w:bookmarkStart w:id="56" w:name="imputing-using-reporter-median-unit-values"/>
      <w:bookmarkEnd w:id="56"/>
      <w:r>
        <w:t xml:space="preserve">Imputing using reporter median unit values</w:t>
      </w:r>
    </w:p>
    <w:p>
      <w:r>
        <w:t xml:space="preserve">Now we correct weight of this outlied trade flows with help of median reporter unit value for a given commodity.</w:t>
      </w:r>
    </w:p>
    <w:tbl>
      <w:tblPr>
        <w:tblStyle w:val="TableNormal"/>
        <w:tblW w:type="pct" w:w="0.0"/>
        <w:tblCaption w:val="Example trade flows with corrected weight"/>
      </w:tblPr>
      <w:tblGrid/>
      <w:tr>
        <w:tc>
          <w:tcPr>
            <w:tcBorders>
              <w:bottom w:val="single"/>
            </w:tcBorders>
            <w:vAlign w:val="bottom"/>
          </w:tcPr>
          <w:p>
            <w:pPr>
              <w:pStyle w:val="Compact"/>
              <w:jc w:val="left"/>
            </w:pPr>
            <w:r>
              <w:t xml:space="preserve">Reporter</w:t>
            </w:r>
          </w:p>
        </w:tc>
        <w:tc>
          <w:tcPr>
            <w:tcBorders>
              <w:bottom w:val="single"/>
            </w:tcBorders>
            <w:vAlign w:val="bottom"/>
          </w:tcPr>
          <w:p>
            <w:pPr>
              <w:pStyle w:val="Compact"/>
              <w:jc w:val="left"/>
            </w:pPr>
            <w:r>
              <w:t xml:space="preserve">Partner</w:t>
            </w:r>
          </w:p>
        </w:tc>
        <w:tc>
          <w:tcPr>
            <w:tcBorders>
              <w:bottom w:val="single"/>
            </w:tcBorders>
            <w:vAlign w:val="bottom"/>
          </w:tcPr>
          <w:p>
            <w:pPr>
              <w:pStyle w:val="Compact"/>
              <w:jc w:val="left"/>
            </w:pPr>
            <w:r>
              <w:t xml:space="preserve">Flow</w:t>
            </w:r>
          </w:p>
        </w:tc>
        <w:tc>
          <w:tcPr>
            <w:tcBorders>
              <w:bottom w:val="single"/>
            </w:tcBorders>
            <w:vAlign w:val="bottom"/>
          </w:tcPr>
          <w:p>
            <w:pPr>
              <w:pStyle w:val="Compact"/>
              <w:jc w:val="left"/>
            </w:pPr>
            <w:r>
              <w:t xml:space="preserve">Commodity</w:t>
            </w:r>
          </w:p>
        </w:tc>
        <w:tc>
          <w:tcPr>
            <w:tcBorders>
              <w:bottom w:val="single"/>
            </w:tcBorders>
            <w:vAlign w:val="bottom"/>
          </w:tcPr>
          <w:p>
            <w:pPr>
              <w:pStyle w:val="Compact"/>
              <w:jc w:val="right"/>
            </w:pPr>
            <w:r>
              <w:t xml:space="preserve">Weight</w:t>
            </w:r>
          </w:p>
        </w:tc>
        <w:tc>
          <w:tcPr>
            <w:tcBorders>
              <w:bottom w:val="single"/>
            </w:tcBorders>
            <w:vAlign w:val="bottom"/>
          </w:tcPr>
          <w:p>
            <w:pPr>
              <w:pStyle w:val="Compact"/>
              <w:jc w:val="right"/>
            </w:pPr>
            <w:r>
              <w:t xml:space="preserve">Weight_corr</w:t>
            </w:r>
          </w:p>
        </w:tc>
        <w:tc>
          <w:tcPr>
            <w:tcBorders>
              <w:bottom w:val="single"/>
            </w:tcBorders>
            <w:vAlign w:val="bottom"/>
          </w:tcPr>
          <w:p>
            <w:pPr>
              <w:pStyle w:val="Compact"/>
              <w:jc w:val="right"/>
            </w:pPr>
            <w:r>
              <w:t xml:space="preserve">Weight_diff</w:t>
            </w:r>
          </w:p>
        </w:tc>
      </w:tr>
      <w:tr>
        <w:tc>
          <w:p>
            <w:pPr>
              <w:pStyle w:val="Compact"/>
              <w:jc w:val="left"/>
            </w:pPr>
            <w:r>
              <w:t xml:space="preserve">United States</w:t>
            </w:r>
          </w:p>
        </w:tc>
        <w:tc>
          <w:p>
            <w:pPr>
              <w:pStyle w:val="Compact"/>
              <w:jc w:val="left"/>
            </w:pPr>
            <w:r>
              <w:t xml:space="preserve">Netherlands</w:t>
            </w:r>
          </w:p>
        </w:tc>
        <w:tc>
          <w:p>
            <w:pPr>
              <w:pStyle w:val="Compact"/>
              <w:jc w:val="left"/>
            </w:pPr>
            <w:r>
              <w:t xml:space="preserve">Import</w:t>
            </w:r>
          </w:p>
        </w:tc>
        <w:tc>
          <w:p>
            <w:pPr>
              <w:pStyle w:val="Compact"/>
              <w:jc w:val="left"/>
            </w:pPr>
            <w:r>
              <w:t xml:space="preserve">1504204000</w:t>
            </w:r>
          </w:p>
        </w:tc>
        <w:tc>
          <w:p>
            <w:pPr>
              <w:pStyle w:val="Compact"/>
              <w:jc w:val="right"/>
            </w:pPr>
            <w:r>
              <w:t xml:space="preserve">160571</w:t>
            </w:r>
          </w:p>
        </w:tc>
        <w:tc>
          <w:p>
            <w:pPr>
              <w:pStyle w:val="Compact"/>
              <w:jc w:val="right"/>
            </w:pPr>
            <w:r>
              <w:t xml:space="preserve">845994</w:t>
            </w:r>
          </w:p>
        </w:tc>
        <w:tc>
          <w:p>
            <w:pPr>
              <w:pStyle w:val="Compact"/>
              <w:jc w:val="right"/>
            </w:pPr>
            <w:r>
              <w:t xml:space="preserve">-685423</w:t>
            </w:r>
          </w:p>
        </w:tc>
      </w:tr>
      <w:tr>
        <w:tc>
          <w:p>
            <w:pPr>
              <w:pStyle w:val="Compact"/>
              <w:jc w:val="left"/>
            </w:pPr>
            <w:r>
              <w:t xml:space="preserve">United States</w:t>
            </w:r>
          </w:p>
        </w:tc>
        <w:tc>
          <w:p>
            <w:pPr>
              <w:pStyle w:val="Compact"/>
              <w:jc w:val="left"/>
            </w:pPr>
            <w:r>
              <w:t xml:space="preserve">Spain</w:t>
            </w:r>
          </w:p>
        </w:tc>
        <w:tc>
          <w:p>
            <w:pPr>
              <w:pStyle w:val="Compact"/>
              <w:jc w:val="left"/>
            </w:pPr>
            <w:r>
              <w:t xml:space="preserve">Import</w:t>
            </w:r>
          </w:p>
        </w:tc>
        <w:tc>
          <w:p>
            <w:pPr>
              <w:pStyle w:val="Compact"/>
              <w:jc w:val="left"/>
            </w:pPr>
            <w:r>
              <w:t xml:space="preserve">1512110040</w:t>
            </w:r>
          </w:p>
        </w:tc>
        <w:tc>
          <w:p>
            <w:pPr>
              <w:pStyle w:val="Compact"/>
              <w:jc w:val="right"/>
            </w:pPr>
            <w:r>
              <w:t xml:space="preserve">1140</w:t>
            </w:r>
          </w:p>
        </w:tc>
        <w:tc>
          <w:p>
            <w:pPr>
              <w:pStyle w:val="Compact"/>
              <w:jc w:val="right"/>
            </w:pPr>
            <w:r>
              <w:t xml:space="preserve">6930</w:t>
            </w:r>
          </w:p>
        </w:tc>
        <w:tc>
          <w:p>
            <w:pPr>
              <w:pStyle w:val="Compact"/>
              <w:jc w:val="right"/>
            </w:pPr>
            <w:r>
              <w:t xml:space="preserve">-5790</w:t>
            </w:r>
          </w:p>
        </w:tc>
      </w:tr>
      <w:tr>
        <w:tc>
          <w:p>
            <w:pPr>
              <w:pStyle w:val="Compact"/>
              <w:jc w:val="left"/>
            </w:pPr>
            <w:r>
              <w:t xml:space="preserve">United States</w:t>
            </w:r>
          </w:p>
        </w:tc>
        <w:tc>
          <w:p>
            <w:pPr>
              <w:pStyle w:val="Compact"/>
              <w:jc w:val="left"/>
            </w:pPr>
            <w:r>
              <w:t xml:space="preserve">Japan</w:t>
            </w:r>
          </w:p>
        </w:tc>
        <w:tc>
          <w:p>
            <w:pPr>
              <w:pStyle w:val="Compact"/>
              <w:jc w:val="left"/>
            </w:pPr>
            <w:r>
              <w:t xml:space="preserve">Import</w:t>
            </w:r>
          </w:p>
        </w:tc>
        <w:tc>
          <w:p>
            <w:pPr>
              <w:pStyle w:val="Compact"/>
              <w:jc w:val="left"/>
            </w:pPr>
            <w:r>
              <w:t xml:space="preserve">1008100000</w:t>
            </w:r>
          </w:p>
        </w:tc>
        <w:tc>
          <w:p>
            <w:pPr>
              <w:pStyle w:val="Compact"/>
              <w:jc w:val="right"/>
            </w:pPr>
            <w:r>
              <w:t xml:space="preserve">810</w:t>
            </w:r>
          </w:p>
        </w:tc>
        <w:tc>
          <w:p>
            <w:pPr>
              <w:pStyle w:val="Compact"/>
              <w:jc w:val="right"/>
            </w:pPr>
            <w:r>
              <w:t xml:space="preserve">6317</w:t>
            </w:r>
          </w:p>
        </w:tc>
        <w:tc>
          <w:p>
            <w:pPr>
              <w:pStyle w:val="Compact"/>
              <w:jc w:val="right"/>
            </w:pPr>
            <w:r>
              <w:t xml:space="preserve">-5507</w:t>
            </w:r>
          </w:p>
        </w:tc>
      </w:tr>
      <w:tr>
        <w:tc>
          <w:p>
            <w:pPr>
              <w:pStyle w:val="Compact"/>
              <w:jc w:val="left"/>
            </w:pPr>
            <w:r>
              <w:t xml:space="preserve">United States</w:t>
            </w:r>
          </w:p>
        </w:tc>
        <w:tc>
          <w:p>
            <w:pPr>
              <w:pStyle w:val="Compact"/>
              <w:jc w:val="left"/>
            </w:pPr>
            <w:r>
              <w:t xml:space="preserve">Germany</w:t>
            </w:r>
          </w:p>
        </w:tc>
        <w:tc>
          <w:p>
            <w:pPr>
              <w:pStyle w:val="Compact"/>
              <w:jc w:val="left"/>
            </w:pPr>
            <w:r>
              <w:t xml:space="preserve">Import</w:t>
            </w:r>
          </w:p>
        </w:tc>
        <w:tc>
          <w:p>
            <w:pPr>
              <w:pStyle w:val="Compact"/>
              <w:jc w:val="left"/>
            </w:pPr>
            <w:r>
              <w:t xml:space="preserve">1505009000</w:t>
            </w:r>
          </w:p>
        </w:tc>
        <w:tc>
          <w:p>
            <w:pPr>
              <w:pStyle w:val="Compact"/>
              <w:jc w:val="right"/>
            </w:pPr>
            <w:r>
              <w:t xml:space="preserve">105784</w:t>
            </w:r>
          </w:p>
        </w:tc>
        <w:tc>
          <w:p>
            <w:pPr>
              <w:pStyle w:val="Compact"/>
              <w:jc w:val="right"/>
            </w:pPr>
            <w:r>
              <w:t xml:space="preserve">306524</w:t>
            </w:r>
          </w:p>
        </w:tc>
        <w:tc>
          <w:p>
            <w:pPr>
              <w:pStyle w:val="Compact"/>
              <w:jc w:val="right"/>
            </w:pPr>
            <w:r>
              <w:t xml:space="preserve">-200740</w:t>
            </w:r>
          </w:p>
        </w:tc>
      </w:tr>
      <w:tr>
        <w:tc>
          <w:p>
            <w:pPr>
              <w:pStyle w:val="Compact"/>
              <w:jc w:val="left"/>
            </w:pPr>
            <w:r>
              <w:t xml:space="preserve">United States</w:t>
            </w:r>
          </w:p>
        </w:tc>
        <w:tc>
          <w:p>
            <w:pPr>
              <w:pStyle w:val="Compact"/>
              <w:jc w:val="left"/>
            </w:pPr>
            <w:r>
              <w:t xml:space="preserve">United Kingdom</w:t>
            </w:r>
          </w:p>
        </w:tc>
        <w:tc>
          <w:p>
            <w:pPr>
              <w:pStyle w:val="Compact"/>
              <w:jc w:val="left"/>
            </w:pPr>
            <w:r>
              <w:t xml:space="preserve">Import</w:t>
            </w:r>
          </w:p>
        </w:tc>
        <w:tc>
          <w:p>
            <w:pPr>
              <w:pStyle w:val="Compact"/>
              <w:jc w:val="left"/>
            </w:pPr>
            <w:r>
              <w:t xml:space="preserve">1514999010</w:t>
            </w:r>
          </w:p>
        </w:tc>
        <w:tc>
          <w:p>
            <w:pPr>
              <w:pStyle w:val="Compact"/>
              <w:jc w:val="right"/>
            </w:pPr>
            <w:r>
              <w:t xml:space="preserve">2290</w:t>
            </w:r>
          </w:p>
        </w:tc>
        <w:tc>
          <w:p>
            <w:pPr>
              <w:pStyle w:val="Compact"/>
              <w:jc w:val="right"/>
            </w:pPr>
            <w:r>
              <w:t xml:space="preserve">9064</w:t>
            </w:r>
          </w:p>
        </w:tc>
        <w:tc>
          <w:p>
            <w:pPr>
              <w:pStyle w:val="Compact"/>
              <w:jc w:val="right"/>
            </w:pPr>
            <w:r>
              <w:t xml:space="preserve">-6774</w:t>
            </w:r>
          </w:p>
        </w:tc>
      </w:tr>
      <w:tr>
        <w:tc>
          <w:p>
            <w:pPr>
              <w:pStyle w:val="Compact"/>
              <w:jc w:val="left"/>
            </w:pPr>
            <w:r>
              <w:t xml:space="preserve">United States</w:t>
            </w:r>
          </w:p>
        </w:tc>
        <w:tc>
          <w:p>
            <w:pPr>
              <w:pStyle w:val="Compact"/>
              <w:jc w:val="left"/>
            </w:pPr>
            <w:r>
              <w:t xml:space="preserve">Japan</w:t>
            </w:r>
          </w:p>
        </w:tc>
        <w:tc>
          <w:p>
            <w:pPr>
              <w:pStyle w:val="Compact"/>
              <w:jc w:val="left"/>
            </w:pPr>
            <w:r>
              <w:t xml:space="preserve">Import</w:t>
            </w:r>
          </w:p>
        </w:tc>
        <w:tc>
          <w:p>
            <w:pPr>
              <w:pStyle w:val="Compact"/>
              <w:jc w:val="left"/>
            </w:pPr>
            <w:r>
              <w:t xml:space="preserve">1516100000</w:t>
            </w:r>
          </w:p>
        </w:tc>
        <w:tc>
          <w:p>
            <w:pPr>
              <w:pStyle w:val="Compact"/>
              <w:jc w:val="right"/>
            </w:pPr>
            <w:r>
              <w:t xml:space="preserve">1090</w:t>
            </w:r>
          </w:p>
        </w:tc>
        <w:tc>
          <w:p>
            <w:pPr>
              <w:pStyle w:val="Compact"/>
              <w:jc w:val="right"/>
            </w:pPr>
            <w:r>
              <w:t xml:space="preserve">3386</w:t>
            </w:r>
          </w:p>
        </w:tc>
        <w:tc>
          <w:p>
            <w:pPr>
              <w:pStyle w:val="Compact"/>
              <w:jc w:val="right"/>
            </w:pPr>
            <w:r>
              <w:t xml:space="preserve">-2296</w:t>
            </w:r>
          </w:p>
        </w:tc>
      </w:tr>
      <w:tr>
        <w:tc>
          <w:p>
            <w:pPr>
              <w:pStyle w:val="Compact"/>
              <w:jc w:val="left"/>
            </w:pPr>
            <w:r>
              <w:t xml:space="preserve">United States</w:t>
            </w:r>
          </w:p>
        </w:tc>
        <w:tc>
          <w:p>
            <w:pPr>
              <w:pStyle w:val="Compact"/>
              <w:jc w:val="left"/>
            </w:pPr>
            <w:r>
              <w:t xml:space="preserve">Japan</w:t>
            </w:r>
          </w:p>
        </w:tc>
        <w:tc>
          <w:p>
            <w:pPr>
              <w:pStyle w:val="Compact"/>
              <w:jc w:val="left"/>
            </w:pPr>
            <w:r>
              <w:t xml:space="preserve">Import</w:t>
            </w:r>
          </w:p>
        </w:tc>
        <w:tc>
          <w:p>
            <w:pPr>
              <w:pStyle w:val="Compact"/>
              <w:jc w:val="left"/>
            </w:pPr>
            <w:r>
              <w:t xml:space="preserve">1008200000</w:t>
            </w:r>
          </w:p>
        </w:tc>
        <w:tc>
          <w:p>
            <w:pPr>
              <w:pStyle w:val="Compact"/>
              <w:jc w:val="right"/>
            </w:pPr>
            <w:r>
              <w:t xml:space="preserve">327</w:t>
            </w:r>
          </w:p>
        </w:tc>
        <w:tc>
          <w:p>
            <w:pPr>
              <w:pStyle w:val="Compact"/>
              <w:jc w:val="right"/>
            </w:pPr>
            <w:r>
              <w:t xml:space="preserve">1319</w:t>
            </w:r>
          </w:p>
        </w:tc>
        <w:tc>
          <w:p>
            <w:pPr>
              <w:pStyle w:val="Compact"/>
              <w:jc w:val="right"/>
            </w:pPr>
            <w:r>
              <w:t xml:space="preserve">-992</w:t>
            </w:r>
          </w:p>
        </w:tc>
      </w:tr>
      <w:tr>
        <w:tc>
          <w:p>
            <w:pPr>
              <w:pStyle w:val="Compact"/>
              <w:jc w:val="left"/>
            </w:pPr>
            <w:r>
              <w:t xml:space="preserve">United States</w:t>
            </w:r>
          </w:p>
        </w:tc>
        <w:tc>
          <w:p>
            <w:pPr>
              <w:pStyle w:val="Compact"/>
              <w:jc w:val="left"/>
            </w:pPr>
            <w:r>
              <w:t xml:space="preserve">France</w:t>
            </w:r>
          </w:p>
        </w:tc>
        <w:tc>
          <w:p>
            <w:pPr>
              <w:pStyle w:val="Compact"/>
              <w:jc w:val="left"/>
            </w:pPr>
            <w:r>
              <w:t xml:space="preserve">Import</w:t>
            </w:r>
          </w:p>
        </w:tc>
        <w:tc>
          <w:p>
            <w:pPr>
              <w:pStyle w:val="Compact"/>
              <w:jc w:val="left"/>
            </w:pPr>
            <w:r>
              <w:t xml:space="preserve">1510004000</w:t>
            </w:r>
          </w:p>
        </w:tc>
        <w:tc>
          <w:p>
            <w:pPr>
              <w:pStyle w:val="Compact"/>
              <w:jc w:val="right"/>
            </w:pPr>
            <w:r>
              <w:t xml:space="preserve">279</w:t>
            </w:r>
          </w:p>
        </w:tc>
        <w:tc>
          <w:p>
            <w:pPr>
              <w:pStyle w:val="Compact"/>
              <w:jc w:val="right"/>
            </w:pPr>
            <w:r>
              <w:t xml:space="preserve">1436</w:t>
            </w:r>
          </w:p>
        </w:tc>
        <w:tc>
          <w:p>
            <w:pPr>
              <w:pStyle w:val="Compact"/>
              <w:jc w:val="right"/>
            </w:pPr>
            <w:r>
              <w:t xml:space="preserve">-1157</w:t>
            </w:r>
          </w:p>
        </w:tc>
      </w:tr>
      <w:tr>
        <w:tc>
          <w:p>
            <w:pPr>
              <w:pStyle w:val="Compact"/>
              <w:jc w:val="left"/>
            </w:pPr>
            <w:r>
              <w:t xml:space="preserve">United States</w:t>
            </w:r>
          </w:p>
        </w:tc>
        <w:tc>
          <w:p>
            <w:pPr>
              <w:pStyle w:val="Compact"/>
              <w:jc w:val="left"/>
            </w:pPr>
            <w:r>
              <w:t xml:space="preserve">Netherlands</w:t>
            </w:r>
          </w:p>
        </w:tc>
        <w:tc>
          <w:p>
            <w:pPr>
              <w:pStyle w:val="Compact"/>
              <w:jc w:val="left"/>
            </w:pPr>
            <w:r>
              <w:t xml:space="preserve">Import</w:t>
            </w:r>
          </w:p>
        </w:tc>
        <w:tc>
          <w:p>
            <w:pPr>
              <w:pStyle w:val="Compact"/>
              <w:jc w:val="left"/>
            </w:pPr>
            <w:r>
              <w:t xml:space="preserve">1505001000</w:t>
            </w:r>
          </w:p>
        </w:tc>
        <w:tc>
          <w:p>
            <w:pPr>
              <w:pStyle w:val="Compact"/>
              <w:jc w:val="right"/>
            </w:pPr>
            <w:r>
              <w:t xml:space="preserve">280</w:t>
            </w:r>
          </w:p>
        </w:tc>
        <w:tc>
          <w:p>
            <w:pPr>
              <w:pStyle w:val="Compact"/>
              <w:jc w:val="right"/>
            </w:pPr>
            <w:r>
              <w:t xml:space="preserve">1052</w:t>
            </w:r>
          </w:p>
        </w:tc>
        <w:tc>
          <w:p>
            <w:pPr>
              <w:pStyle w:val="Compact"/>
              <w:jc w:val="right"/>
            </w:pPr>
            <w:r>
              <w:t xml:space="preserve">-772</w:t>
            </w:r>
          </w:p>
        </w:tc>
      </w:tr>
      <w:tr>
        <w:tc>
          <w:p>
            <w:pPr>
              <w:pStyle w:val="Compact"/>
              <w:jc w:val="left"/>
            </w:pPr>
            <w:r>
              <w:t xml:space="preserve">United States</w:t>
            </w:r>
          </w:p>
        </w:tc>
        <w:tc>
          <w:p>
            <w:pPr>
              <w:pStyle w:val="Compact"/>
              <w:jc w:val="left"/>
            </w:pPr>
            <w:r>
              <w:t xml:space="preserve">Canada</w:t>
            </w:r>
          </w:p>
        </w:tc>
        <w:tc>
          <w:p>
            <w:pPr>
              <w:pStyle w:val="Compact"/>
              <w:jc w:val="left"/>
            </w:pPr>
            <w:r>
              <w:t xml:space="preserve">Import</w:t>
            </w:r>
          </w:p>
        </w:tc>
        <w:tc>
          <w:p>
            <w:pPr>
              <w:pStyle w:val="Compact"/>
              <w:jc w:val="left"/>
            </w:pPr>
            <w:r>
              <w:t xml:space="preserve">1006309015</w:t>
            </w:r>
          </w:p>
        </w:tc>
        <w:tc>
          <w:p>
            <w:pPr>
              <w:pStyle w:val="Compact"/>
              <w:jc w:val="right"/>
            </w:pPr>
            <w:r>
              <w:t xml:space="preserve">5634</w:t>
            </w:r>
          </w:p>
        </w:tc>
        <w:tc>
          <w:p>
            <w:pPr>
              <w:pStyle w:val="Compact"/>
              <w:jc w:val="right"/>
            </w:pPr>
            <w:r>
              <w:t xml:space="preserve">43393</w:t>
            </w:r>
          </w:p>
        </w:tc>
        <w:tc>
          <w:p>
            <w:pPr>
              <w:pStyle w:val="Compact"/>
              <w:jc w:val="right"/>
            </w:pPr>
            <w:r>
              <w:t xml:space="preserve">-37759</w:t>
            </w:r>
          </w:p>
        </w:tc>
      </w:tr>
    </w:tbl>
    <w:p>
      <w:pPr>
        <w:pStyle w:val="TableCaption"/>
      </w:pPr>
      <w:r>
        <w:t xml:space="preserve">Example trade flows with corrected weight</w:t>
      </w:r>
    </w:p>
    <w:p>
      <w:pPr>
        <w:pStyle w:val="Heading2"/>
      </w:pPr>
      <w:bookmarkStart w:id="57" w:name="imputing-using-data-from-trade-partner-mirroring"/>
      <w:bookmarkEnd w:id="57"/>
      <w:r>
        <w:t xml:space="preserve">Imputing using data from trade partner (mirroring)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hyperlink r:id="rId23">
        <w:r>
          <w:rPr>
            <w:rStyle w:val="Link"/>
          </w:rPr>
          <w:t xml:space="preserve">http://unstats.un.org/unsd/comtrade_announcement.htm</w:t>
        </w:r>
      </w:hyperlink>
      <w:r>
        <w:t xml:space="preserve"> </w:t>
      </w:r>
      <w:r>
        <w:t xml:space="preserve">Comtrade Announcement</w:t>
      </w:r>
    </w:p>
  </w:footnote>
  <w:footnote w:id="27">
    <w:p>
      <w:pPr>
        <w:pStyle w:val="FootnoteText"/>
      </w:pPr>
      <w:r>
        <w:rPr>
          <w:rStyle w:val="FootnoteRef"/>
        </w:rPr>
        <w:footnoteRef/>
      </w:r>
      <w:hyperlink r:id="rId28">
        <w:r>
          <w:rPr>
            <w:rStyle w:val="Link"/>
          </w:rPr>
          <w:t xml:space="preserve">http://www.wcoomd.org/en/topics/nomenclature/overview/what-is-the-harmonized-system.aspx</w:t>
        </w:r>
      </w:hyperlink>
      <w:r>
        <w:t xml:space="preserve"> </w:t>
      </w:r>
      <w:r>
        <w:t xml:space="preserve">What is the Harmonized System (HS)?</w:t>
      </w:r>
    </w:p>
  </w:footnote>
  <w:footnote w:id="29">
    <w:p>
      <w:pPr>
        <w:pStyle w:val="FootnoteText"/>
      </w:pPr>
      <w:r>
        <w:rPr>
          <w:rStyle w:val="FootnoteRef"/>
        </w:rPr>
        <w:footnoteRef/>
      </w:r>
      <w:hyperlink r:id="rId30">
        <w:r>
          <w:rPr>
            <w:rStyle w:val="Link"/>
          </w:rPr>
          <w:t xml:space="preserve">http://www.wcoomd.org/en.aspx</w:t>
        </w:r>
      </w:hyperlink>
      <w:r>
        <w:t xml:space="preserve"> </w:t>
      </w:r>
      <w:r>
        <w:t xml:space="preserve">World Customs Organization</w:t>
      </w:r>
    </w:p>
  </w:footnote>
  <w:footnote w:id="31">
    <w:p>
      <w:pPr>
        <w:pStyle w:val="FootnoteText"/>
      </w:pPr>
      <w:r>
        <w:rPr>
          <w:rStyle w:val="FootnoteRef"/>
        </w:rPr>
        <w:footnoteRef/>
      </w:r>
      <w:hyperlink r:id="rId32">
        <w:r>
          <w:rPr>
            <w:rStyle w:val="Link"/>
          </w:rPr>
          <w:t xml:space="preserve">http://unstats.un.org/unsd/tradekb/Knowledgebase/Quantity-and-Weight-Data-in-UN-Comtrade</w:t>
        </w:r>
      </w:hyperlink>
      <w:r>
        <w:t xml:space="preserve"> </w:t>
      </w:r>
      <w:r>
        <w:t xml:space="preserve">Quantity and Weight Data in UN Comtrade</w:t>
      </w:r>
    </w:p>
  </w:footnote>
  <w:footnote w:id="34">
    <w:p>
      <w:pPr>
        <w:pStyle w:val="FootnoteText"/>
      </w:pPr>
      <w:r>
        <w:rPr>
          <w:rStyle w:val="FootnoteRef"/>
        </w:rPr>
        <w:footnoteRef/>
      </w:r>
      <w:hyperlink r:id="rId35">
        <w:r>
          <w:rPr>
            <w:rStyle w:val="Link"/>
          </w:rPr>
          <w:t xml:space="preserve">http://madb.europa.eu</w:t>
        </w:r>
      </w:hyperlink>
      <w:r>
        <w:t xml:space="preserve"> </w:t>
      </w:r>
      <w:r>
        <w:t xml:space="preserve">Descriptions of country-specific HS-codes are provided by Market Access Database and copyrighted by Mendel Verlag, Germany.</w:t>
      </w:r>
    </w:p>
  </w:footnote>
  <w:footnote w:id="38">
    <w:p>
      <w:pPr>
        <w:pStyle w:val="FootnoteText"/>
      </w:pPr>
      <w:r>
        <w:rPr>
          <w:rStyle w:val="FootnoteRef"/>
        </w:rPr>
        <w:footnoteRef/>
      </w:r>
      <w:hyperlink r:id="rId39">
        <w:r>
          <w:rPr>
            <w:rStyle w:val="Link"/>
          </w:rPr>
          <w:t xml:space="preserve">http://comtrade.un.org/pb/</w:t>
        </w:r>
      </w:hyperlink>
      <w:r>
        <w:t xml:space="preserve"> </w:t>
      </w:r>
      <w:r>
        <w:t xml:space="preserve">The United Nations Statistics Division (2015). The 2014 International Trade Statistics Yearbook, Volume I - Trade by Country, xix.</w:t>
      </w:r>
    </w:p>
  </w:footnote>
  <w:footnote w:id="40">
    <w:p>
      <w:pPr>
        <w:pStyle w:val="FootnoteText"/>
      </w:pPr>
      <w:r>
        <w:rPr>
          <w:rStyle w:val="FootnoteRef"/>
        </w:rPr>
        <w:footnoteRef/>
      </w:r>
      <w:hyperlink r:id="rId41">
        <w:r>
          <w:rPr>
            <w:rStyle w:val="Link"/>
          </w:rPr>
          <w:t xml:space="preserve">http://comtrade.un.org/data/doc/api/</w:t>
        </w:r>
      </w:hyperlink>
      <w:r>
        <w:t xml:space="preserve"> </w:t>
      </w:r>
      <w:r>
        <w:t xml:space="preserve">The UN Comtrade data extraction API</w:t>
      </w:r>
    </w:p>
  </w:footnote>
  <w:footnote w:id="42">
    <w:p>
      <w:pPr>
        <w:pStyle w:val="FootnoteText"/>
      </w:pPr>
      <w:r>
        <w:rPr>
          <w:rStyle w:val="FootnoteRef"/>
        </w:rPr>
        <w:footnoteRef/>
      </w:r>
      <w:hyperlink r:id="rId43">
        <w:r>
          <w:rPr>
            <w:rStyle w:val="Link"/>
          </w:rPr>
          <w:t xml:space="preserve">http://unstats.un.org/unsd/methods/m49/m49alpha.htm</w:t>
        </w:r>
      </w:hyperlink>
      <w:r>
        <w:t xml:space="preserve"> </w:t>
      </w:r>
      <w:r>
        <w:t xml:space="preserve">Countries or areas, codes and abbreviations</w:t>
      </w:r>
    </w:p>
  </w:footnote>
  <w:footnote w:id="45">
    <w:p>
      <w:pPr>
        <w:pStyle w:val="FootnoteText"/>
      </w:pPr>
      <w:r>
        <w:rPr>
          <w:rStyle w:val="FootnoteRef"/>
        </w:rPr>
        <w:footnoteRef/>
      </w:r>
      <w:hyperlink r:id="rId46">
        <w:r>
          <w:rPr>
            <w:rStyle w:val="Link"/>
          </w:rPr>
          <w:t xml:space="preserve">http://rpubs.com/malexan/m49</w:t>
        </w:r>
      </w:hyperlink>
      <w:r>
        <w:t xml:space="preserve"> </w:t>
      </w:r>
      <w:r>
        <w:t xml:space="preserve">Matrunich A. (2015). M49 country codes in Tariffline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c9a6da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74cc21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2" Target="media/rId52.png" /><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_rels/footnotes.xml.rels><?xml version="1.0" encoding="UTF-8"?>
<Relationships xmlns="http://schemas.openxmlformats.org/package/2006/relationships"><Relationship Type="http://schemas.openxmlformats.org/officeDocument/2006/relationships/hyperlink" Id="rId25" Target="http://comtrade.un.org/data/" TargetMode="External" /><Relationship Type="http://schemas.openxmlformats.org/officeDocument/2006/relationships/hyperlink" Id="rId41" Target="http://comtrade.un.org/data/doc/api/" TargetMode="External" /><Relationship Type="http://schemas.openxmlformats.org/officeDocument/2006/relationships/hyperlink" Id="rId39" Target="http://comtrade.un.org/pb/" TargetMode="External" /><Relationship Type="http://schemas.openxmlformats.org/officeDocument/2006/relationships/hyperlink" Id="rId35" Target="http://madb.europa.eu" TargetMode="External" /><Relationship Type="http://schemas.openxmlformats.org/officeDocument/2006/relationships/hyperlink" Id="rId46" Target="http://rpubs.com/malexan/m49" TargetMode="External" /><Relationship Type="http://schemas.openxmlformats.org/officeDocument/2006/relationships/hyperlink" Id="rId23" Target="http://unstats.un.org/unsd/comtrade_announcement.htm" TargetMode="External" /><Relationship Type="http://schemas.openxmlformats.org/officeDocument/2006/relationships/hyperlink" Id="rId22" Target="http://unstats.un.org/unsd/default.htm" TargetMode="External" /><Relationship Type="http://schemas.openxmlformats.org/officeDocument/2006/relationships/hyperlink" Id="rId26" Target="http://unstats.un.org/unsd/methods/m49/m49.htm" TargetMode="External" /><Relationship Type="http://schemas.openxmlformats.org/officeDocument/2006/relationships/hyperlink" Id="rId43" Target="http://unstats.un.org/unsd/methods/m49/m49alpha.htm" TargetMode="External" /><Relationship Type="http://schemas.openxmlformats.org/officeDocument/2006/relationships/hyperlink" Id="rId32" Target="http://unstats.un.org/unsd/tradekb/Knowledgebase/Quantity-and-Weight-Data-in-UN-Comtrade" TargetMode="External" /><Relationship Type="http://schemas.openxmlformats.org/officeDocument/2006/relationships/hyperlink" Id="rId30" Target="http://www.wcoomd.org/en.aspx" TargetMode="External" /><Relationship Type="http://schemas.openxmlformats.org/officeDocument/2006/relationships/hyperlink" Id="rId28" Target="http://www.wcoomd.org/en/topics/nomenclature/overview/what-is-the-harmonized-system.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Agricultural trade data processing</dc:title>
  <dc:creator/>
</cp:coreProperties>
</file>