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60375" w14:textId="4E8E624D" w:rsidR="00315B23" w:rsidRPr="00043D24" w:rsidRDefault="00043D24" w:rsidP="002479D5">
      <w:pPr>
        <w:jc w:val="center"/>
        <w:rPr>
          <w:b/>
          <w:bCs/>
          <w:lang w:val="en-US"/>
        </w:rPr>
      </w:pPr>
      <w:r w:rsidRPr="00043D24">
        <w:rPr>
          <w:b/>
          <w:bCs/>
          <w:sz w:val="32"/>
          <w:szCs w:val="32"/>
          <w:lang w:val="en-US"/>
        </w:rPr>
        <w:t xml:space="preserve">Annual producer prices </w:t>
      </w:r>
      <w:r w:rsidR="00315B23" w:rsidRPr="00043D24">
        <w:rPr>
          <w:b/>
          <w:bCs/>
          <w:sz w:val="32"/>
          <w:szCs w:val="32"/>
          <w:lang w:val="en-US"/>
        </w:rPr>
        <w:t>missing value</w:t>
      </w:r>
      <w:r w:rsidRPr="00043D24">
        <w:rPr>
          <w:b/>
          <w:bCs/>
          <w:sz w:val="32"/>
          <w:szCs w:val="32"/>
          <w:lang w:val="en-US"/>
        </w:rPr>
        <w:t xml:space="preserve"> imputation procedures</w:t>
      </w:r>
    </w:p>
    <w:p w14:paraId="19514554" w14:textId="77777777" w:rsidR="00315B23" w:rsidRDefault="00315B23" w:rsidP="00E27F44">
      <w:pPr>
        <w:jc w:val="both"/>
        <w:rPr>
          <w:lang w:val="en-US"/>
        </w:rPr>
      </w:pPr>
    </w:p>
    <w:p w14:paraId="0D2EF963" w14:textId="53AFD9AB" w:rsidR="005E0669" w:rsidRDefault="00315B23" w:rsidP="00E27F44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771B2C">
        <w:rPr>
          <w:lang w:val="en-US"/>
        </w:rPr>
        <w:t xml:space="preserve">Autoregressive Integrated Moving Average Exogenous Variable (ARIMAX) </w:t>
      </w:r>
      <w:r>
        <w:rPr>
          <w:lang w:val="en-US"/>
        </w:rPr>
        <w:t xml:space="preserve">based approach </w:t>
      </w:r>
      <w:r w:rsidR="002479D5">
        <w:rPr>
          <w:lang w:val="en-US"/>
        </w:rPr>
        <w:t xml:space="preserve">is </w:t>
      </w:r>
      <w:r>
        <w:rPr>
          <w:lang w:val="en-US"/>
        </w:rPr>
        <w:t xml:space="preserve">used </w:t>
      </w:r>
      <w:r w:rsidR="004664AE">
        <w:rPr>
          <w:lang w:val="en-US"/>
        </w:rPr>
        <w:t>to</w:t>
      </w:r>
      <w:r>
        <w:rPr>
          <w:lang w:val="en-US"/>
        </w:rPr>
        <w:t xml:space="preserve"> </w:t>
      </w:r>
      <w:r w:rsidR="004664AE">
        <w:rPr>
          <w:lang w:val="en-US"/>
        </w:rPr>
        <w:t>estimate</w:t>
      </w:r>
      <w:r w:rsidR="004664AE">
        <w:rPr>
          <w:lang w:val="en-US"/>
        </w:rPr>
        <w:tab/>
        <w:t>the</w:t>
      </w:r>
      <w:r>
        <w:rPr>
          <w:lang w:val="en-US"/>
        </w:rPr>
        <w:t xml:space="preserve"> missing observations on the</w:t>
      </w:r>
      <w:r w:rsidR="00155F67">
        <w:rPr>
          <w:lang w:val="en-US"/>
        </w:rPr>
        <w:t xml:space="preserve"> annual</w:t>
      </w:r>
      <w:r>
        <w:rPr>
          <w:lang w:val="en-US"/>
        </w:rPr>
        <w:t xml:space="preserve"> producer prices.  </w:t>
      </w:r>
    </w:p>
    <w:p w14:paraId="077104A0" w14:textId="15CB3396" w:rsidR="00315B23" w:rsidRDefault="00315B23" w:rsidP="00E27F44">
      <w:pPr>
        <w:jc w:val="both"/>
        <w:rPr>
          <w:lang w:val="en-US"/>
        </w:rPr>
      </w:pPr>
    </w:p>
    <w:p w14:paraId="2F86C395" w14:textId="275D8A2A" w:rsidR="00315B23" w:rsidRDefault="00315B23" w:rsidP="00E27F44">
      <w:pPr>
        <w:jc w:val="both"/>
        <w:rPr>
          <w:lang w:val="en-US"/>
        </w:rPr>
      </w:pPr>
      <w:r>
        <w:rPr>
          <w:lang w:val="en-US"/>
        </w:rPr>
        <w:t>Among different crops</w:t>
      </w:r>
      <w:r w:rsidR="00A5743D">
        <w:rPr>
          <w:lang w:val="en-US"/>
        </w:rPr>
        <w:t xml:space="preserve"> and livestock</w:t>
      </w:r>
      <w:r>
        <w:rPr>
          <w:lang w:val="en-US"/>
        </w:rPr>
        <w:t xml:space="preserve">, we consider countries for which a limited number of data points </w:t>
      </w:r>
      <w:r w:rsidR="007A2F3E">
        <w:rPr>
          <w:lang w:val="en-US"/>
        </w:rPr>
        <w:t>is</w:t>
      </w:r>
      <w:r>
        <w:rPr>
          <w:lang w:val="en-US"/>
        </w:rPr>
        <w:t xml:space="preserve"> missing </w:t>
      </w:r>
      <w:r w:rsidR="007A2F3E">
        <w:rPr>
          <w:lang w:val="en-US"/>
        </w:rPr>
        <w:t xml:space="preserve">(countries with observations greater or equal to 20) to implement time series estimation. In </w:t>
      </w:r>
      <w:r w:rsidR="00A5743D">
        <w:rPr>
          <w:lang w:val="en-US"/>
        </w:rPr>
        <w:t>this regard</w:t>
      </w:r>
      <w:r w:rsidR="007A2F3E">
        <w:rPr>
          <w:lang w:val="en-US"/>
        </w:rPr>
        <w:t>,</w:t>
      </w:r>
      <w:r w:rsidR="00A5743D">
        <w:rPr>
          <w:lang w:val="en-US"/>
        </w:rPr>
        <w:t xml:space="preserve"> we </w:t>
      </w:r>
      <w:r w:rsidR="00A5743D" w:rsidRPr="00EC0D0C">
        <w:rPr>
          <w:highlight w:val="yellow"/>
          <w:lang w:val="en-US"/>
        </w:rPr>
        <w:t>first fit a group of ARIMA models with additional exogenous variables to the producer price data</w:t>
      </w:r>
      <w:r w:rsidR="00A5743D">
        <w:rPr>
          <w:lang w:val="en-US"/>
        </w:rPr>
        <w:t xml:space="preserve">. Thereafter, </w:t>
      </w:r>
      <w:r w:rsidR="00A5743D" w:rsidRPr="00EC0D0C">
        <w:rPr>
          <w:highlight w:val="yellow"/>
          <w:lang w:val="en-US"/>
        </w:rPr>
        <w:t>based on Bayesian Information Criteria (BIC), we select the best in-sample specification which is subsequently used to estimate the missing values.</w:t>
      </w:r>
      <w:r w:rsidR="00A5743D">
        <w:rPr>
          <w:lang w:val="en-US"/>
        </w:rPr>
        <w:t xml:space="preserve">  </w:t>
      </w:r>
    </w:p>
    <w:p w14:paraId="4A8A3D6E" w14:textId="77777777" w:rsidR="00B80DAC" w:rsidRDefault="00B80DAC" w:rsidP="00E27F44">
      <w:pPr>
        <w:jc w:val="both"/>
        <w:rPr>
          <w:lang w:val="en-US"/>
        </w:rPr>
      </w:pPr>
    </w:p>
    <w:p w14:paraId="0CE04DFD" w14:textId="77AB5ED0" w:rsidR="00B80DAC" w:rsidRDefault="00B80DAC" w:rsidP="00E27F44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771B2C">
        <w:rPr>
          <w:lang w:val="en-US"/>
        </w:rPr>
        <w:t xml:space="preserve">ARIMAX </w:t>
      </w:r>
      <w:r>
        <w:rPr>
          <w:lang w:val="en-US"/>
        </w:rPr>
        <w:t>models extend ARIMA</w:t>
      </w:r>
      <m:oMath>
        <m:r>
          <w:rPr>
            <w:rFonts w:ascii="Cambria Math" w:hAnsi="Cambria Math"/>
            <w:lang w:val="en-US"/>
          </w:rPr>
          <m:t>(p, d,q)</m:t>
        </m:r>
      </m:oMath>
      <w:r>
        <w:rPr>
          <w:lang w:val="en-US"/>
        </w:rPr>
        <w:t xml:space="preserve"> models through the inclusion of exogenous variables</w:t>
      </w:r>
      <w:r w:rsidR="00771B2C">
        <w:rPr>
          <w:lang w:val="en-US"/>
        </w:rPr>
        <w:t xml:space="preserve"> that have linear effect on the stationary response series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perscript"/>
                <w:lang w:val="en-US"/>
              </w:rPr>
              <m:t>t</m:t>
            </m:r>
          </m:sub>
        </m:sSub>
      </m:oMath>
      <w:r w:rsidR="00771B2C">
        <w:rPr>
          <w:lang w:val="en-US"/>
        </w:rPr>
        <w:t>. The general form of the ARIMAX</w:t>
      </w:r>
      <m:oMath>
        <m:r>
          <w:rPr>
            <w:rFonts w:ascii="Cambria Math" w:hAnsi="Cambria Math"/>
            <w:lang w:val="en-US"/>
          </w:rPr>
          <m:t>( p,d,q)</m:t>
        </m:r>
      </m:oMath>
      <w:r w:rsidR="004664AE">
        <w:rPr>
          <w:lang w:val="en-US"/>
        </w:rPr>
        <w:t xml:space="preserve"> </w:t>
      </w:r>
      <w:r w:rsidR="00771B2C">
        <w:rPr>
          <w:lang w:val="en-US"/>
        </w:rPr>
        <w:t xml:space="preserve"> model estimated separately for each country is: </w:t>
      </w:r>
    </w:p>
    <w:p w14:paraId="3B93221D" w14:textId="490C7CDC" w:rsidR="00771B2C" w:rsidRDefault="00771B2C" w:rsidP="00E27F44">
      <w:pPr>
        <w:jc w:val="both"/>
        <w:rPr>
          <w:lang w:val="en-US"/>
        </w:rPr>
      </w:pPr>
    </w:p>
    <w:p w14:paraId="244C6DAC" w14:textId="5CF946FD" w:rsidR="00364FBA" w:rsidRPr="002628EB" w:rsidRDefault="00920BD9" w:rsidP="00E27F44">
      <w:pPr>
        <w:jc w:val="both"/>
        <w:rPr>
          <w:i/>
          <w:vertAlign w:val="super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vertAlign w:val="superscript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vertAlign w:val="superscript"/>
              <w:lang w:val="en-US"/>
            </w:rPr>
            <m:t>(L)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1-L</m:t>
                  </m:r>
                </m:e>
              </m:d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perscript"/>
                  <w:lang w:val="en-US"/>
                </w:rPr>
                <m:t>-c-</m:t>
              </m:r>
              <m:sSubSup>
                <m:sSubSup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per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vertAlign w:val="superscript"/>
                  <w:lang w:val="en-US"/>
                </w:rPr>
                <m:t>β</m:t>
              </m:r>
              <m:ctrlPr>
                <w:rPr>
                  <w:rFonts w:ascii="Cambria Math" w:hAnsi="Cambria Math"/>
                  <w:b/>
                  <w:bCs/>
                  <w:i/>
                  <w:vertAlign w:val="superscript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vertAlign w:val="superscript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perscript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L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perscript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vertAlign w:val="superscript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perscript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/>
              <w:vertAlign w:val="superscript"/>
              <w:lang w:val="en-US"/>
            </w:rPr>
            <m:t>~ iid</m:t>
          </m:r>
          <m:d>
            <m:d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vertAlign w:val="superscript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per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perscript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perscript"/>
                          <w:lang w:val="en-US"/>
                        </w:rPr>
                        <m:t>ε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perscript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vertAlign w:val="superscript"/>
              <w:lang w:val="en-US"/>
            </w:rPr>
            <m:t>,               (1)</m:t>
          </m:r>
        </m:oMath>
      </m:oMathPara>
    </w:p>
    <w:p w14:paraId="68E7EEEB" w14:textId="77777777" w:rsidR="002628EB" w:rsidRDefault="002628EB" w:rsidP="00E27F44">
      <w:pPr>
        <w:jc w:val="both"/>
        <w:rPr>
          <w:iCs/>
          <w:lang w:val="en-US"/>
        </w:rPr>
      </w:pPr>
    </w:p>
    <w:p w14:paraId="624715CB" w14:textId="18DC36D5" w:rsidR="002628EB" w:rsidRDefault="003435A8" w:rsidP="00E27F44">
      <w:pPr>
        <w:jc w:val="both"/>
        <w:rPr>
          <w:iCs/>
          <w:lang w:val="en-US"/>
        </w:rPr>
      </w:pPr>
      <w:r>
        <w:rPr>
          <w:iCs/>
          <w:lang w:val="en-US"/>
        </w:rPr>
        <w:t>Where AR</w:t>
      </w:r>
      <w:r w:rsidR="007C5B7C">
        <w:rPr>
          <w:iCs/>
          <w:lang w:val="en-US"/>
        </w:rPr>
        <w:t xml:space="preserve"> polynomial of </w:t>
      </w:r>
      <m:oMath>
        <m:r>
          <w:rPr>
            <w:rFonts w:ascii="Cambria Math" w:hAnsi="Cambria Math"/>
            <w:vertAlign w:val="superscript"/>
            <w:lang w:val="en-US"/>
          </w:rPr>
          <m:t>p</m:t>
        </m:r>
      </m:oMath>
      <w:r w:rsidR="004664AE">
        <w:rPr>
          <w:iCs/>
          <w:lang w:val="en-US"/>
        </w:rPr>
        <w:t>:</w:t>
      </w:r>
      <m:oMath>
        <m:r>
          <w:rPr>
            <w:rFonts w:ascii="Cambria Math" w:hAnsi="Cambria Math"/>
            <w:vertAlign w:val="superscript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vertAlign w:val="super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perscript"/>
                <w:lang w:val="en-US"/>
              </w:rPr>
              <m:t>L</m:t>
            </m:r>
          </m:e>
        </m:d>
        <m:r>
          <w:rPr>
            <w:rFonts w:ascii="Cambria Math" w:hAnsi="Cambria Math"/>
            <w:vertAlign w:val="superscript"/>
            <w:lang w:val="en-US"/>
          </w:rPr>
          <m:t>=(1-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vertAlign w:val="superscript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vertAlign w:val="superscript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vertAlign w:val="superscript"/>
                <w:lang w:val="en-US"/>
              </w:rPr>
              <m:t>1</m:t>
            </m:r>
          </m:sup>
        </m:sSup>
        <m:r>
          <w:rPr>
            <w:rFonts w:ascii="Cambria Math" w:hAnsi="Cambria Math"/>
            <w:vertAlign w:val="superscript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vertAlign w:val="superscript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vertAlign w:val="superscript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/>
            <w:vertAlign w:val="superscript"/>
            <w:lang w:val="en-US"/>
          </w:rPr>
          <m:t xml:space="preserve">- ⋯- 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vertAlign w:val="superscript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vertAlign w:val="superscript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vertAlign w:val="superscript"/>
                <w:lang w:val="en-US"/>
              </w:rPr>
              <m:t>p</m:t>
            </m:r>
          </m:sup>
        </m:sSup>
        <m:r>
          <w:rPr>
            <w:rFonts w:ascii="Cambria Math" w:hAnsi="Cambria Math"/>
            <w:vertAlign w:val="superscript"/>
            <w:lang w:val="en-US"/>
          </w:rPr>
          <m:t>)</m:t>
        </m:r>
      </m:oMath>
      <w:r w:rsidR="007C5B7C">
        <w:rPr>
          <w:iCs/>
          <w:lang w:val="en-US"/>
        </w:rPr>
        <w:t xml:space="preserve"> </w:t>
      </w:r>
      <w:r>
        <w:rPr>
          <w:iCs/>
          <w:lang w:val="en-US"/>
        </w:rPr>
        <w:t xml:space="preserve">, and the MA polynomial of order </w:t>
      </w:r>
      <m:oMath>
        <m:r>
          <w:rPr>
            <w:rFonts w:ascii="Cambria Math" w:hAnsi="Cambria Math"/>
            <w:vertAlign w:val="superscript"/>
            <w:lang w:val="en-US"/>
          </w:rPr>
          <m:t>q</m:t>
        </m:r>
      </m:oMath>
      <w:r w:rsidR="004664AE">
        <w:rPr>
          <w:iCs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vertAlign w:val="superscript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perscript"/>
                <w:lang w:val="en-US"/>
              </w:rPr>
              <m:t>L</m:t>
            </m:r>
          </m:e>
        </m:d>
        <m:r>
          <w:rPr>
            <w:rFonts w:ascii="Cambria Math" w:hAnsi="Cambria Math"/>
            <w:vertAlign w:val="superscript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perscript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perscript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vertAlign w:val="superscript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/>
                <w:vertAlign w:val="superscript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perscript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vertAlign w:val="superscript"/>
                <w:lang w:val="en-US"/>
              </w:rPr>
              <m:t xml:space="preserve">- ⋯- </m:t>
            </m:r>
            <m:sSub>
              <m:sSubPr>
                <m:ctrlPr>
                  <w:rPr>
                    <w:rFonts w:ascii="Cambria Math" w:hAnsi="Cambria Math"/>
                    <w:i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perscript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vertAlign w:val="superscript"/>
                    <w:lang w:val="en-US"/>
                  </w:rPr>
                  <m:t>q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q</m:t>
                </m:r>
              </m:sup>
            </m:sSup>
          </m:e>
        </m:d>
        <m:r>
          <w:rPr>
            <w:rFonts w:ascii="Cambria Math" w:hAnsi="Cambria Math"/>
            <w:vertAlign w:val="superscript"/>
            <w:lang w:val="en-US"/>
          </w:rPr>
          <m:t xml:space="preserve">, </m:t>
        </m:r>
      </m:oMath>
      <w:r>
        <w:rPr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perscript"/>
                <w:lang w:val="en-US"/>
              </w:rPr>
              <m:t>t</m:t>
            </m:r>
          </m:sub>
        </m:sSub>
      </m:oMath>
      <w:r w:rsidR="002628EB">
        <w:rPr>
          <w:vertAlign w:val="superscript"/>
          <w:lang w:val="en-US"/>
        </w:rPr>
        <w:t xml:space="preserve"> </w:t>
      </w:r>
      <w:r w:rsidR="002628EB">
        <w:rPr>
          <w:iCs/>
          <w:lang w:val="en-US"/>
        </w:rPr>
        <w:t>is the</w:t>
      </w:r>
      <w:r w:rsidR="002E4701">
        <w:rPr>
          <w:iCs/>
          <w:lang w:val="en-US"/>
        </w:rPr>
        <w:t xml:space="preserve"> logarithmic</w:t>
      </w:r>
      <w:r w:rsidR="002628EB">
        <w:rPr>
          <w:iCs/>
          <w:lang w:val="en-US"/>
        </w:rPr>
        <w:t xml:space="preserve"> producer price</w:t>
      </w:r>
      <w:r w:rsidR="007C5B7C">
        <w:rPr>
          <w:iCs/>
          <w:lang w:val="en-US"/>
        </w:rPr>
        <w:t xml:space="preserve"> at period t</w:t>
      </w:r>
      <w:r w:rsidR="002628EB">
        <w:rPr>
          <w:iCs/>
          <w:lang w:val="en-US"/>
        </w:rPr>
        <w:t xml:space="preserve">, </w:t>
      </w:r>
      <m:oMath>
        <m:r>
          <w:rPr>
            <w:rFonts w:ascii="Cambria Math" w:hAnsi="Cambria Math"/>
            <w:vertAlign w:val="superscript"/>
            <w:lang w:val="en-US"/>
          </w:rPr>
          <m:t>d</m:t>
        </m:r>
      </m:oMath>
      <w:r w:rsidR="002628EB">
        <w:rPr>
          <w:vertAlign w:val="superscript"/>
          <w:lang w:val="en-US"/>
        </w:rPr>
        <w:t xml:space="preserve"> </w:t>
      </w:r>
      <w:r w:rsidR="002628EB">
        <w:rPr>
          <w:iCs/>
          <w:lang w:val="en-US"/>
        </w:rPr>
        <w:t xml:space="preserve">is </w:t>
      </w:r>
      <w:r w:rsidR="007C5B7C">
        <w:rPr>
          <w:iCs/>
          <w:lang w:val="en-US"/>
        </w:rPr>
        <w:t>to the order of integration</w:t>
      </w:r>
      <w:r>
        <w:rPr>
          <w:iCs/>
          <w:lang w:val="en-US"/>
        </w:rPr>
        <w:t>. The parameter</w:t>
      </w:r>
      <m:oMath>
        <m:r>
          <w:rPr>
            <w:rFonts w:ascii="Cambria Math" w:hAnsi="Cambria Math"/>
            <w:vertAlign w:val="superscript"/>
            <w:lang w:val="en-US"/>
          </w:rPr>
          <m:t xml:space="preserve"> c</m:t>
        </m:r>
      </m:oMath>
      <w:r>
        <w:rPr>
          <w:iCs/>
          <w:lang w:val="en-US"/>
        </w:rPr>
        <w:t xml:space="preserve"> represents </w:t>
      </w:r>
      <w:r w:rsidR="004664AE">
        <w:rPr>
          <w:iCs/>
          <w:lang w:val="en-US"/>
        </w:rPr>
        <w:t xml:space="preserve">the constant term,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4664AE">
        <w:rPr>
          <w:iCs/>
          <w:lang w:val="en-US"/>
        </w:rPr>
        <w:t xml:space="preserve"> is a vector of observed exogenous regressors with coefficients </w:t>
      </w:r>
      <m:oMath>
        <m:r>
          <m:rPr>
            <m:sty m:val="bi"/>
          </m:rPr>
          <w:rPr>
            <w:rFonts w:ascii="Cambria Math" w:hAnsi="Cambria Math"/>
            <w:lang w:val="en-US"/>
          </w:rPr>
          <m:t>β</m:t>
        </m:r>
      </m:oMath>
      <w:r w:rsidR="004664AE">
        <w:rPr>
          <w:iCs/>
          <w:lang w:val="en-US"/>
        </w:rPr>
        <w:t xml:space="preserve">. </w:t>
      </w:r>
    </w:p>
    <w:p w14:paraId="6C09A2D9" w14:textId="6C6389F4" w:rsidR="00904FA0" w:rsidRDefault="00904FA0" w:rsidP="00E27F44">
      <w:pPr>
        <w:jc w:val="both"/>
        <w:rPr>
          <w:iCs/>
          <w:lang w:val="en-US"/>
        </w:rPr>
      </w:pPr>
      <w:r>
        <w:rPr>
          <w:iCs/>
          <w:lang w:val="en-US"/>
        </w:rPr>
        <w:t xml:space="preserve"> </w:t>
      </w:r>
    </w:p>
    <w:p w14:paraId="41B04163" w14:textId="08FCAD66" w:rsidR="00904FA0" w:rsidRDefault="00904FA0" w:rsidP="00E27F44">
      <w:pPr>
        <w:jc w:val="both"/>
        <w:rPr>
          <w:iCs/>
          <w:lang w:val="en-US"/>
        </w:rPr>
      </w:pPr>
      <w:r>
        <w:rPr>
          <w:iCs/>
          <w:lang w:val="en-US"/>
        </w:rPr>
        <w:t>To estimate the model in (1</w:t>
      </w:r>
      <w:r w:rsidR="000454E3">
        <w:rPr>
          <w:iCs/>
          <w:lang w:val="en-US"/>
        </w:rPr>
        <w:t>), we</w:t>
      </w:r>
      <w:r>
        <w:rPr>
          <w:iCs/>
          <w:lang w:val="en-US"/>
        </w:rPr>
        <w:t xml:space="preserve"> use the STATA built-in </w:t>
      </w:r>
      <w:proofErr w:type="spellStart"/>
      <w:r w:rsidRPr="00904FA0">
        <w:rPr>
          <w:i/>
          <w:lang w:val="en-US"/>
        </w:rPr>
        <w:t>arima</w:t>
      </w:r>
      <w:proofErr w:type="spellEnd"/>
      <w:r>
        <w:rPr>
          <w:i/>
          <w:lang w:val="en-US"/>
        </w:rPr>
        <w:t xml:space="preserve"> </w:t>
      </w:r>
      <w:r>
        <w:rPr>
          <w:iCs/>
          <w:lang w:val="en-US"/>
        </w:rPr>
        <w:t xml:space="preserve">function. </w:t>
      </w:r>
      <w:r w:rsidR="000454E3">
        <w:rPr>
          <w:iCs/>
          <w:lang w:val="en-US"/>
        </w:rPr>
        <w:t>After having written the model in state-space form, m</w:t>
      </w:r>
      <w:r w:rsidR="00000C35">
        <w:rPr>
          <w:iCs/>
          <w:lang w:val="en-US"/>
        </w:rPr>
        <w:t>aximum likelihood parameter estimates are o</w:t>
      </w:r>
      <w:r w:rsidR="000454E3">
        <w:rPr>
          <w:iCs/>
          <w:lang w:val="en-US"/>
        </w:rPr>
        <w:t xml:space="preserve">btained </w:t>
      </w:r>
      <w:r w:rsidR="00000C35">
        <w:rPr>
          <w:iCs/>
          <w:lang w:val="en-US"/>
        </w:rPr>
        <w:t>based on the Kalman filte</w:t>
      </w:r>
      <w:r w:rsidR="000454E3">
        <w:rPr>
          <w:iCs/>
          <w:lang w:val="en-US"/>
        </w:rPr>
        <w:t xml:space="preserve">r. </w:t>
      </w:r>
      <w:r w:rsidR="00541D34">
        <w:rPr>
          <w:iCs/>
          <w:lang w:val="en-US"/>
        </w:rPr>
        <w:t xml:space="preserve">See </w:t>
      </w:r>
      <w:proofErr w:type="spellStart"/>
      <w:r w:rsidR="00541D34">
        <w:rPr>
          <w:iCs/>
          <w:lang w:val="en-US"/>
        </w:rPr>
        <w:t>Becketti</w:t>
      </w:r>
      <w:proofErr w:type="spellEnd"/>
      <w:r w:rsidR="00541D34">
        <w:rPr>
          <w:iCs/>
          <w:lang w:val="en-US"/>
        </w:rPr>
        <w:t xml:space="preserve"> (2013) for further detailed explanation on STATA’s </w:t>
      </w:r>
      <w:proofErr w:type="spellStart"/>
      <w:r w:rsidR="00541D34" w:rsidRPr="00541D34">
        <w:rPr>
          <w:i/>
          <w:lang w:val="en-US"/>
        </w:rPr>
        <w:t>arima</w:t>
      </w:r>
      <w:proofErr w:type="spellEnd"/>
      <w:r w:rsidR="00541D34">
        <w:rPr>
          <w:iCs/>
          <w:lang w:val="en-US"/>
        </w:rPr>
        <w:t xml:space="preserve"> command.</w:t>
      </w:r>
    </w:p>
    <w:p w14:paraId="6094D1B5" w14:textId="483DFAAC" w:rsidR="00E43175" w:rsidRDefault="00E43175" w:rsidP="00E27F44">
      <w:pPr>
        <w:jc w:val="both"/>
        <w:rPr>
          <w:iCs/>
          <w:lang w:val="en-US"/>
        </w:rPr>
      </w:pPr>
    </w:p>
    <w:p w14:paraId="0CC6843C" w14:textId="3BA6D015" w:rsidR="00E43175" w:rsidRDefault="00E43175" w:rsidP="00E27F44">
      <w:pPr>
        <w:jc w:val="both"/>
        <w:rPr>
          <w:iCs/>
          <w:lang w:val="en-US"/>
        </w:rPr>
      </w:pPr>
      <w:r>
        <w:rPr>
          <w:iCs/>
          <w:lang w:val="en-US"/>
        </w:rPr>
        <w:t>The steps of the implementation of the ARIMAX approach are summarized as follows:</w:t>
      </w:r>
    </w:p>
    <w:p w14:paraId="09897D44" w14:textId="77777777" w:rsidR="00553B75" w:rsidRDefault="00553B75" w:rsidP="00E27F44">
      <w:pPr>
        <w:jc w:val="both"/>
        <w:rPr>
          <w:iCs/>
          <w:lang w:val="en-US"/>
        </w:rPr>
      </w:pPr>
    </w:p>
    <w:p w14:paraId="61B7ADED" w14:textId="1924565F" w:rsidR="00566357" w:rsidRDefault="00566357" w:rsidP="00E27F44">
      <w:pPr>
        <w:pStyle w:val="ListParagraph"/>
        <w:numPr>
          <w:ilvl w:val="0"/>
          <w:numId w:val="1"/>
        </w:numPr>
        <w:jc w:val="both"/>
        <w:rPr>
          <w:iCs/>
          <w:lang w:val="en-US"/>
        </w:rPr>
      </w:pPr>
      <w:r>
        <w:rPr>
          <w:iCs/>
          <w:lang w:val="en-US"/>
        </w:rPr>
        <w:t xml:space="preserve">As for each crop or livestock, </w:t>
      </w:r>
      <w:r w:rsidRPr="00EC0D0C">
        <w:rPr>
          <w:iCs/>
          <w:highlight w:val="yellow"/>
          <w:lang w:val="en-US"/>
        </w:rPr>
        <w:t>input country-specific data series, take the natural log transformation of all series to reduce variability in skewed data, then check that all logged series are stationary and transform them appropriately</w:t>
      </w:r>
      <w:r>
        <w:rPr>
          <w:iCs/>
          <w:lang w:val="en-US"/>
        </w:rPr>
        <w:t xml:space="preserve"> (first differences, etc.) </w:t>
      </w:r>
      <w:r w:rsidRPr="00EC0D0C">
        <w:rPr>
          <w:iCs/>
          <w:highlight w:val="yellow"/>
          <w:lang w:val="en-US"/>
        </w:rPr>
        <w:t>if necessary</w:t>
      </w:r>
      <w:r>
        <w:rPr>
          <w:iCs/>
          <w:lang w:val="en-US"/>
        </w:rPr>
        <w:t xml:space="preserve">. </w:t>
      </w:r>
    </w:p>
    <w:p w14:paraId="22122C31" w14:textId="77777777" w:rsidR="006D6980" w:rsidRPr="00566357" w:rsidRDefault="006D6980" w:rsidP="00E27F44">
      <w:pPr>
        <w:pStyle w:val="ListParagraph"/>
        <w:jc w:val="both"/>
        <w:rPr>
          <w:iCs/>
          <w:lang w:val="en-US"/>
        </w:rPr>
      </w:pPr>
    </w:p>
    <w:p w14:paraId="1607DC85" w14:textId="30DFE869" w:rsidR="00AF5CA6" w:rsidRDefault="00566357" w:rsidP="00E27F44">
      <w:pPr>
        <w:pStyle w:val="ListParagraph"/>
        <w:numPr>
          <w:ilvl w:val="0"/>
          <w:numId w:val="1"/>
        </w:numPr>
        <w:jc w:val="both"/>
        <w:rPr>
          <w:iCs/>
          <w:lang w:val="en-US"/>
        </w:rPr>
      </w:pPr>
      <w:r>
        <w:rPr>
          <w:iCs/>
          <w:lang w:val="en-US"/>
        </w:rPr>
        <w:t xml:space="preserve">For each country </w:t>
      </w:r>
      <m:oMath>
        <m:r>
          <w:rPr>
            <w:rFonts w:ascii="Cambria Math" w:hAnsi="Cambria Math" w:hint="eastAsia"/>
            <w:lang w:val="en-US"/>
          </w:rPr>
          <m:t>i</m:t>
        </m:r>
      </m:oMath>
      <w:r w:rsidR="00B22C1C">
        <w:rPr>
          <w:iCs/>
          <w:lang w:val="en-US"/>
        </w:rPr>
        <w:t xml:space="preserve"> </w:t>
      </w:r>
      <w:r w:rsidR="00AF5CA6">
        <w:rPr>
          <w:iCs/>
          <w:lang w:val="en-US"/>
        </w:rPr>
        <w:t xml:space="preserve">under crop </w:t>
      </w:r>
      <m:oMath>
        <m:r>
          <w:rPr>
            <w:rFonts w:ascii="Cambria Math" w:hAnsi="Cambria Math"/>
            <w:lang w:val="en-US"/>
          </w:rPr>
          <m:t>j</m:t>
        </m:r>
      </m:oMath>
      <w:r w:rsidR="00B22C1C">
        <w:rPr>
          <w:iCs/>
          <w:lang w:val="en-US"/>
        </w:rPr>
        <w:t xml:space="preserve">, the endogenous variable is the logarithmic producer price, which contains missing values. Within a loop, </w:t>
      </w:r>
      <w:r w:rsidR="00B22C1C" w:rsidRPr="00EC0D0C">
        <w:rPr>
          <w:iCs/>
          <w:highlight w:val="yellow"/>
          <w:lang w:val="en-US"/>
        </w:rPr>
        <w:t xml:space="preserve">fit a group of models and single out the one with the best in-sample fit based on </w:t>
      </w:r>
      <w:r w:rsidR="00AF5CA6" w:rsidRPr="00EC0D0C">
        <w:rPr>
          <w:iCs/>
          <w:highlight w:val="yellow"/>
          <w:lang w:val="en-US"/>
        </w:rPr>
        <w:t>minimization of the BIC criterion</w:t>
      </w:r>
      <w:r w:rsidR="00AF5CA6">
        <w:rPr>
          <w:iCs/>
          <w:lang w:val="en-US"/>
        </w:rPr>
        <w:t xml:space="preserve">.  The </w:t>
      </w:r>
      <w:r w:rsidR="00AF5CA6" w:rsidRPr="00EC0D0C">
        <w:rPr>
          <w:iCs/>
          <w:highlight w:val="yellow"/>
          <w:lang w:val="en-US"/>
        </w:rPr>
        <w:t>list of candidate models</w:t>
      </w:r>
      <w:r w:rsidR="00AF5CA6">
        <w:rPr>
          <w:iCs/>
          <w:lang w:val="en-US"/>
        </w:rPr>
        <w:t xml:space="preserve"> is defined along two dimensions:</w:t>
      </w:r>
    </w:p>
    <w:p w14:paraId="341E207D" w14:textId="77777777" w:rsidR="006D6980" w:rsidRDefault="006D6980" w:rsidP="00E27F44">
      <w:pPr>
        <w:pStyle w:val="ListParagraph"/>
        <w:jc w:val="both"/>
        <w:rPr>
          <w:iCs/>
          <w:lang w:val="en-US"/>
        </w:rPr>
      </w:pPr>
    </w:p>
    <w:p w14:paraId="161DD99E" w14:textId="778ADABE" w:rsidR="006D6980" w:rsidRDefault="00AF5CA6" w:rsidP="00E27F44">
      <w:pPr>
        <w:pStyle w:val="ListParagraph"/>
        <w:numPr>
          <w:ilvl w:val="0"/>
          <w:numId w:val="4"/>
        </w:numPr>
        <w:jc w:val="both"/>
        <w:rPr>
          <w:iCs/>
          <w:lang w:val="en-US"/>
        </w:rPr>
      </w:pPr>
      <w:r>
        <w:rPr>
          <w:iCs/>
          <w:lang w:val="en-US"/>
        </w:rPr>
        <w:t xml:space="preserve">The </w:t>
      </w:r>
      <w:r w:rsidR="006E5CCC">
        <w:rPr>
          <w:iCs/>
          <w:lang w:val="en-US"/>
        </w:rPr>
        <w:t>autoregressive, integration orders, and moving average of the ARIMA</w:t>
      </w:r>
      <m:oMath>
        <m:r>
          <w:rPr>
            <w:rFonts w:ascii="Cambria Math" w:hAnsi="Cambria Math"/>
            <w:lang w:val="en-US"/>
          </w:rPr>
          <m:t>(p, d,q)</m:t>
        </m:r>
      </m:oMath>
      <w:r w:rsidR="006E5CCC">
        <w:rPr>
          <w:lang w:val="en-US"/>
        </w:rPr>
        <w:t xml:space="preserve"> model, with </w:t>
      </w:r>
      <m:oMath>
        <m:r>
          <w:rPr>
            <w:rFonts w:ascii="Cambria Math" w:hAnsi="Cambria Math"/>
            <w:lang w:val="en-US"/>
          </w:rPr>
          <m:t>p≤3, d≤1,q≤2</m:t>
        </m:r>
      </m:oMath>
      <w:r w:rsidR="00E07C88">
        <w:rPr>
          <w:lang w:val="en-US"/>
        </w:rPr>
        <w:t xml:space="preserve">. </w:t>
      </w:r>
      <w:r w:rsidR="00E07C88" w:rsidRPr="00EC0D0C">
        <w:rPr>
          <w:highlight w:val="yellow"/>
          <w:lang w:val="en-US"/>
        </w:rPr>
        <w:t>Due to the shortage of observations</w:t>
      </w:r>
      <w:r w:rsidR="00155F67">
        <w:rPr>
          <w:lang w:val="en-US"/>
        </w:rPr>
        <w:t xml:space="preserve"> (we only have 28 years of time coverage for all the series)</w:t>
      </w:r>
      <w:r w:rsidR="00E07C88">
        <w:rPr>
          <w:lang w:val="en-US"/>
        </w:rPr>
        <w:t xml:space="preserve">, </w:t>
      </w:r>
      <w:r w:rsidR="00E07C88" w:rsidRPr="00EC0D0C">
        <w:rPr>
          <w:highlight w:val="yellow"/>
          <w:lang w:val="en-US"/>
        </w:rPr>
        <w:t xml:space="preserve">we divide the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p, d,q</m:t>
            </m:r>
          </m:e>
        </m:d>
      </m:oMath>
      <w:r w:rsidR="007B7BA2" w:rsidRPr="00EC0D0C">
        <w:rPr>
          <w:highlight w:val="yellow"/>
          <w:lang w:val="en-US"/>
        </w:rPr>
        <w:t xml:space="preserve"> specifications </w:t>
      </w:r>
      <w:r w:rsidR="00E07C88" w:rsidRPr="00EC0D0C">
        <w:rPr>
          <w:highlight w:val="yellow"/>
          <w:lang w:val="en-US"/>
        </w:rPr>
        <w:t xml:space="preserve">into three to </w:t>
      </w:r>
      <w:r w:rsidR="00155F67" w:rsidRPr="00EC0D0C">
        <w:rPr>
          <w:highlight w:val="yellow"/>
          <w:lang w:val="en-US"/>
        </w:rPr>
        <w:t>avoid</w:t>
      </w:r>
      <w:r w:rsidR="00E07C88" w:rsidRPr="00EC0D0C">
        <w:rPr>
          <w:highlight w:val="yellow"/>
          <w:lang w:val="en-US"/>
        </w:rPr>
        <w:t xml:space="preserve"> “</w:t>
      </w:r>
      <w:r w:rsidR="00E07C88" w:rsidRPr="00EC0D0C">
        <w:rPr>
          <w:i/>
          <w:iCs/>
          <w:highlight w:val="yellow"/>
          <w:lang w:val="en-US"/>
        </w:rPr>
        <w:t>flat log likelihood encountered, cannot find uphill direction</w:t>
      </w:r>
      <w:r w:rsidR="00E07C88" w:rsidRPr="00EC0D0C">
        <w:rPr>
          <w:highlight w:val="yellow"/>
          <w:lang w:val="en-US"/>
        </w:rPr>
        <w:t xml:space="preserve">” error </w:t>
      </w:r>
      <w:r w:rsidR="00155F67" w:rsidRPr="00EC0D0C">
        <w:rPr>
          <w:highlight w:val="yellow"/>
          <w:lang w:val="en-US"/>
        </w:rPr>
        <w:t>during the best model selection process in STATA</w:t>
      </w:r>
      <w:r w:rsidR="006D6980">
        <w:rPr>
          <w:lang w:val="en-US"/>
        </w:rPr>
        <w:t xml:space="preserve">. </w:t>
      </w:r>
      <w:r w:rsidR="006D6980" w:rsidRPr="006D6980">
        <w:rPr>
          <w:iCs/>
          <w:lang w:val="en-US"/>
        </w:rPr>
        <w:t>This means the best model selection process will be carried out three times</w:t>
      </w:r>
      <w:r w:rsidR="006D6980">
        <w:rPr>
          <w:iCs/>
          <w:lang w:val="en-US"/>
        </w:rPr>
        <w:t xml:space="preserve"> for each country under the following specifications: </w:t>
      </w:r>
    </w:p>
    <w:p w14:paraId="24F69546" w14:textId="77777777" w:rsidR="00B03030" w:rsidRPr="006D6980" w:rsidRDefault="00B03030" w:rsidP="00E27F44">
      <w:pPr>
        <w:pStyle w:val="ListParagraph"/>
        <w:ind w:left="1080"/>
        <w:jc w:val="both"/>
        <w:rPr>
          <w:iCs/>
          <w:lang w:val="en-US"/>
        </w:rPr>
      </w:pPr>
    </w:p>
    <w:p w14:paraId="6A9DE2D0" w14:textId="75B0D993" w:rsidR="00155F67" w:rsidRPr="00B03030" w:rsidRDefault="00155F67" w:rsidP="00E27F44">
      <w:pPr>
        <w:pStyle w:val="ListParagraph"/>
        <w:numPr>
          <w:ilvl w:val="0"/>
          <w:numId w:val="5"/>
        </w:numPr>
        <w:jc w:val="both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p≤3, d≤1,q=0</m:t>
        </m:r>
      </m:oMath>
    </w:p>
    <w:p w14:paraId="1C97D198" w14:textId="77777777" w:rsidR="00B03030" w:rsidRPr="00155F67" w:rsidRDefault="00B03030" w:rsidP="00E27F44">
      <w:pPr>
        <w:pStyle w:val="ListParagraph"/>
        <w:ind w:left="1800"/>
        <w:jc w:val="both"/>
        <w:rPr>
          <w:iCs/>
          <w:lang w:val="en-US"/>
        </w:rPr>
      </w:pPr>
    </w:p>
    <w:p w14:paraId="239F5D31" w14:textId="07506AFF" w:rsidR="00B03030" w:rsidRPr="00B03030" w:rsidRDefault="00155F67" w:rsidP="00E27F44">
      <w:pPr>
        <w:pStyle w:val="ListParagraph"/>
        <w:numPr>
          <w:ilvl w:val="0"/>
          <w:numId w:val="5"/>
        </w:numPr>
        <w:jc w:val="both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p=1, d≤1,q=1</m:t>
        </m:r>
      </m:oMath>
    </w:p>
    <w:p w14:paraId="332563A6" w14:textId="77777777" w:rsidR="00B03030" w:rsidRPr="00B03030" w:rsidRDefault="00B03030" w:rsidP="00E27F44">
      <w:pPr>
        <w:jc w:val="both"/>
        <w:rPr>
          <w:iCs/>
          <w:lang w:val="en-US"/>
        </w:rPr>
      </w:pPr>
    </w:p>
    <w:p w14:paraId="72C69DA9" w14:textId="466967CA" w:rsidR="006D6980" w:rsidRPr="006D6980" w:rsidRDefault="00155F67" w:rsidP="00E27F44">
      <w:pPr>
        <w:pStyle w:val="ListParagraph"/>
        <w:numPr>
          <w:ilvl w:val="0"/>
          <w:numId w:val="5"/>
        </w:numPr>
        <w:jc w:val="both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p=1, d≤1,q=2</m:t>
        </m:r>
      </m:oMath>
    </w:p>
    <w:p w14:paraId="54BF88F2" w14:textId="77777777" w:rsidR="006D6980" w:rsidRPr="006D6980" w:rsidRDefault="006D6980" w:rsidP="00E27F44">
      <w:pPr>
        <w:pStyle w:val="ListParagraph"/>
        <w:ind w:left="1800"/>
        <w:jc w:val="both"/>
        <w:rPr>
          <w:iCs/>
          <w:lang w:val="en-US"/>
        </w:rPr>
      </w:pPr>
    </w:p>
    <w:p w14:paraId="1E60A511" w14:textId="4CE754A3" w:rsidR="00155F67" w:rsidRDefault="00B14461" w:rsidP="00E27F44">
      <w:pPr>
        <w:pStyle w:val="ListParagraph"/>
        <w:numPr>
          <w:ilvl w:val="0"/>
          <w:numId w:val="4"/>
        </w:numPr>
        <w:jc w:val="both"/>
        <w:rPr>
          <w:iCs/>
          <w:lang w:val="en-US"/>
        </w:rPr>
      </w:pPr>
      <w:r w:rsidRPr="006D6980">
        <w:rPr>
          <w:iCs/>
          <w:lang w:val="en-US"/>
        </w:rPr>
        <w:t>The following set of exogenous regressors (before transformation): GDP, GDP per capit</w:t>
      </w:r>
      <w:r w:rsidR="00E40350" w:rsidRPr="006D6980">
        <w:rPr>
          <w:iCs/>
          <w:lang w:val="en-US"/>
        </w:rPr>
        <w:t>a, gross fixed capital formation of total economy, value added of agriculture, forestry and fishing</w:t>
      </w:r>
      <w:r w:rsidR="00633C4D">
        <w:rPr>
          <w:rStyle w:val="FootnoteReference"/>
          <w:iCs/>
          <w:lang w:val="en-US"/>
        </w:rPr>
        <w:footnoteReference w:id="1"/>
      </w:r>
      <w:r w:rsidR="00027F59" w:rsidRPr="006D6980">
        <w:rPr>
          <w:iCs/>
          <w:lang w:val="en-US"/>
        </w:rPr>
        <w:t xml:space="preserve">, </w:t>
      </w:r>
      <w:r w:rsidR="00B03030" w:rsidRPr="006D6980">
        <w:rPr>
          <w:iCs/>
          <w:lang w:val="en-US"/>
        </w:rPr>
        <w:t>gross fixed capital formation of agriculture, forestry and fishing</w:t>
      </w:r>
      <w:r w:rsidR="00633C4D">
        <w:rPr>
          <w:rStyle w:val="FootnoteReference"/>
          <w:iCs/>
          <w:lang w:val="en-US"/>
        </w:rPr>
        <w:footnoteReference w:id="2"/>
      </w:r>
      <w:r w:rsidR="00B03030">
        <w:rPr>
          <w:iCs/>
          <w:lang w:val="en-US"/>
        </w:rPr>
        <w:t xml:space="preserve">, </w:t>
      </w:r>
      <w:r w:rsidR="00027F59" w:rsidRPr="006D6980">
        <w:rPr>
          <w:iCs/>
          <w:lang w:val="en-US"/>
        </w:rPr>
        <w:t>agriculture trade openness index, agriculture exports-to-value added ratio</w:t>
      </w:r>
      <w:r w:rsidR="00633C4D">
        <w:rPr>
          <w:rStyle w:val="FootnoteReference"/>
          <w:iCs/>
          <w:lang w:val="en-US"/>
        </w:rPr>
        <w:footnoteReference w:id="3"/>
      </w:r>
      <w:r w:rsidR="00027F59" w:rsidRPr="006D6980">
        <w:rPr>
          <w:iCs/>
          <w:lang w:val="en-US"/>
        </w:rPr>
        <w:t xml:space="preserve">, and </w:t>
      </w:r>
      <w:r w:rsidR="00BC4B7F" w:rsidRPr="006D6980">
        <w:rPr>
          <w:iCs/>
          <w:lang w:val="en-US"/>
        </w:rPr>
        <w:t>yields for each crop</w:t>
      </w:r>
      <w:r w:rsidR="00633C4D">
        <w:rPr>
          <w:rStyle w:val="FootnoteReference"/>
          <w:iCs/>
          <w:lang w:val="en-US"/>
        </w:rPr>
        <w:footnoteReference w:id="4"/>
      </w:r>
      <w:r w:rsidR="00BC4B7F" w:rsidRPr="006D6980">
        <w:rPr>
          <w:iCs/>
          <w:lang w:val="en-US"/>
        </w:rPr>
        <w:t xml:space="preserve">. </w:t>
      </w:r>
      <w:r w:rsidR="00BC4B7F" w:rsidRPr="00EC0D0C">
        <w:rPr>
          <w:iCs/>
          <w:highlight w:val="yellow"/>
          <w:lang w:val="en-US"/>
        </w:rPr>
        <w:t xml:space="preserve">When one of the above country-specific time series data </w:t>
      </w:r>
      <w:r w:rsidR="00D50103" w:rsidRPr="00EC0D0C">
        <w:rPr>
          <w:iCs/>
          <w:highlight w:val="yellow"/>
          <w:lang w:val="en-US"/>
        </w:rPr>
        <w:t>is</w:t>
      </w:r>
      <w:r w:rsidR="00BC4B7F" w:rsidRPr="00EC0D0C">
        <w:rPr>
          <w:iCs/>
          <w:highlight w:val="yellow"/>
          <w:lang w:val="en-US"/>
        </w:rPr>
        <w:t xml:space="preserve"> incomplete, we exclude this regressor from the exogenous regressors group in the </w:t>
      </w:r>
      <w:proofErr w:type="spellStart"/>
      <w:r w:rsidR="00D50103" w:rsidRPr="00EC0D0C">
        <w:rPr>
          <w:i/>
          <w:highlight w:val="yellow"/>
          <w:lang w:val="en-US"/>
        </w:rPr>
        <w:t>arima</w:t>
      </w:r>
      <w:proofErr w:type="spellEnd"/>
      <w:r w:rsidR="00D50103" w:rsidRPr="00EC0D0C">
        <w:rPr>
          <w:iCs/>
          <w:highlight w:val="yellow"/>
          <w:lang w:val="en-US"/>
        </w:rPr>
        <w:t xml:space="preserve"> </w:t>
      </w:r>
      <w:r w:rsidR="00BC4B7F" w:rsidRPr="00EC0D0C">
        <w:rPr>
          <w:iCs/>
          <w:highlight w:val="yellow"/>
          <w:lang w:val="en-US"/>
        </w:rPr>
        <w:t>model selection process</w:t>
      </w:r>
      <w:r w:rsidR="00BC4B7F" w:rsidRPr="006D6980">
        <w:rPr>
          <w:iCs/>
          <w:lang w:val="en-US"/>
        </w:rPr>
        <w:t xml:space="preserve">. </w:t>
      </w:r>
    </w:p>
    <w:p w14:paraId="2C42C8F6" w14:textId="77777777" w:rsidR="006D6980" w:rsidRPr="006D6980" w:rsidRDefault="006D6980" w:rsidP="00E27F44">
      <w:pPr>
        <w:pStyle w:val="ListParagraph"/>
        <w:ind w:left="1080"/>
        <w:jc w:val="both"/>
        <w:rPr>
          <w:iCs/>
          <w:lang w:val="en-US"/>
        </w:rPr>
      </w:pPr>
    </w:p>
    <w:p w14:paraId="05A24446" w14:textId="00EF858C" w:rsidR="00BC4B7F" w:rsidRPr="00920BD9" w:rsidRDefault="00BC4B7F" w:rsidP="00E27F44">
      <w:pPr>
        <w:pStyle w:val="ListParagraph"/>
        <w:numPr>
          <w:ilvl w:val="0"/>
          <w:numId w:val="1"/>
        </w:numPr>
        <w:jc w:val="both"/>
        <w:rPr>
          <w:iCs/>
          <w:highlight w:val="yellow"/>
          <w:lang w:val="en-US"/>
        </w:rPr>
      </w:pPr>
      <w:r w:rsidRPr="00920BD9">
        <w:rPr>
          <w:iCs/>
          <w:highlight w:val="yellow"/>
          <w:lang w:val="en-US"/>
        </w:rPr>
        <w:t>After selecting the country-specific preferred model</w:t>
      </w:r>
      <w:r w:rsidR="00553B75" w:rsidRPr="00920BD9">
        <w:rPr>
          <w:iCs/>
          <w:highlight w:val="yellow"/>
          <w:lang w:val="en-US"/>
        </w:rPr>
        <w:t xml:space="preserve">, construct one-step ahead forecasts to estimate missing data points on the logarithmic producer price. </w:t>
      </w:r>
    </w:p>
    <w:p w14:paraId="7FE2F597" w14:textId="40F4A8BA" w:rsidR="00553B75" w:rsidRDefault="00553B75" w:rsidP="00E27F44">
      <w:pPr>
        <w:pStyle w:val="ListParagraph"/>
        <w:jc w:val="both"/>
        <w:rPr>
          <w:iCs/>
          <w:lang w:val="en-US"/>
        </w:rPr>
      </w:pPr>
    </w:p>
    <w:p w14:paraId="04F9CB27" w14:textId="79F21E8B" w:rsidR="00553B75" w:rsidRDefault="00553B75" w:rsidP="00E27F44">
      <w:pPr>
        <w:pStyle w:val="ListParagraph"/>
        <w:numPr>
          <w:ilvl w:val="0"/>
          <w:numId w:val="1"/>
        </w:numPr>
        <w:jc w:val="both"/>
        <w:rPr>
          <w:iCs/>
          <w:lang w:val="en-US"/>
        </w:rPr>
      </w:pPr>
      <w:r w:rsidRPr="00920BD9">
        <w:rPr>
          <w:iCs/>
          <w:highlight w:val="yellow"/>
          <w:lang w:val="en-US"/>
        </w:rPr>
        <w:t>Store results, minimum BIC value and best model specificati</w:t>
      </w:r>
      <w:r>
        <w:rPr>
          <w:iCs/>
          <w:lang w:val="en-US"/>
        </w:rPr>
        <w:t xml:space="preserve">on (with parameter estimates). </w:t>
      </w:r>
    </w:p>
    <w:p w14:paraId="58098FC6" w14:textId="77777777" w:rsidR="00553B75" w:rsidRPr="00553B75" w:rsidRDefault="00553B75" w:rsidP="00E27F44">
      <w:pPr>
        <w:pStyle w:val="ListParagraph"/>
        <w:jc w:val="both"/>
        <w:rPr>
          <w:iCs/>
          <w:lang w:val="en-US"/>
        </w:rPr>
      </w:pPr>
    </w:p>
    <w:p w14:paraId="77F26633" w14:textId="5B112EA4" w:rsidR="00646382" w:rsidRDefault="00646382" w:rsidP="00E27F44">
      <w:pPr>
        <w:pStyle w:val="ListParagraph"/>
        <w:numPr>
          <w:ilvl w:val="0"/>
          <w:numId w:val="1"/>
        </w:numPr>
        <w:jc w:val="both"/>
        <w:rPr>
          <w:iCs/>
          <w:lang w:val="en-US"/>
        </w:rPr>
      </w:pPr>
      <w:r>
        <w:rPr>
          <w:iCs/>
          <w:lang w:val="en-US"/>
        </w:rPr>
        <w:t>F</w:t>
      </w:r>
      <w:r>
        <w:rPr>
          <w:rFonts w:hint="eastAsia"/>
          <w:iCs/>
          <w:lang w:val="en-US"/>
        </w:rPr>
        <w:t>ind</w:t>
      </w:r>
      <w:r>
        <w:rPr>
          <w:iCs/>
          <w:lang w:val="en-US"/>
        </w:rPr>
        <w:t xml:space="preserve"> the optimal model from the three best models under the above different </w:t>
      </w:r>
      <m:oMath>
        <m:r>
          <w:rPr>
            <w:rFonts w:ascii="Cambria Math" w:hAnsi="Cambria Math"/>
            <w:lang w:val="en-US"/>
          </w:rPr>
          <m:t>(p, d,q)</m:t>
        </m:r>
      </m:oMath>
      <w:r>
        <w:rPr>
          <w:lang w:val="en-US"/>
        </w:rPr>
        <w:t xml:space="preserve"> specifications</w:t>
      </w:r>
      <w:r w:rsidR="003171E4">
        <w:rPr>
          <w:lang w:val="en-US"/>
        </w:rPr>
        <w:t xml:space="preserve"> and store the final estimated results.</w:t>
      </w:r>
    </w:p>
    <w:p w14:paraId="2947B0B5" w14:textId="77777777" w:rsidR="00646382" w:rsidRPr="00646382" w:rsidRDefault="00646382" w:rsidP="00E27F44">
      <w:pPr>
        <w:pStyle w:val="ListParagraph"/>
        <w:jc w:val="both"/>
        <w:rPr>
          <w:iCs/>
          <w:lang w:val="en-US"/>
        </w:rPr>
      </w:pPr>
    </w:p>
    <w:p w14:paraId="182A4666" w14:textId="0773731E" w:rsidR="00646382" w:rsidRPr="00E578AA" w:rsidRDefault="00646382" w:rsidP="00E27F44">
      <w:pPr>
        <w:pStyle w:val="ListParagraph"/>
        <w:numPr>
          <w:ilvl w:val="0"/>
          <w:numId w:val="6"/>
        </w:numPr>
        <w:jc w:val="both"/>
        <w:rPr>
          <w:iCs/>
          <w:lang w:val="en-US"/>
        </w:rPr>
      </w:pPr>
      <w:r>
        <w:rPr>
          <w:iCs/>
          <w:lang w:val="en-US"/>
        </w:rPr>
        <w:t>C</w:t>
      </w:r>
      <w:r>
        <w:rPr>
          <w:rFonts w:hint="eastAsia"/>
          <w:iCs/>
          <w:lang w:val="en-US"/>
        </w:rPr>
        <w:t>om</w:t>
      </w:r>
      <w:r>
        <w:rPr>
          <w:iCs/>
          <w:lang w:val="en-US"/>
        </w:rPr>
        <w:t>pare</w:t>
      </w:r>
      <w:r w:rsidR="00553B75">
        <w:rPr>
          <w:iCs/>
          <w:lang w:val="en-US"/>
        </w:rPr>
        <w:t xml:space="preserve"> the </w:t>
      </w:r>
      <w:r w:rsidR="00553B75" w:rsidRPr="00920BD9">
        <w:rPr>
          <w:iCs/>
          <w:highlight w:val="yellow"/>
          <w:lang w:val="en-US"/>
        </w:rPr>
        <w:t>minimum BIC value</w:t>
      </w:r>
      <w:r>
        <w:rPr>
          <w:iCs/>
          <w:lang w:val="en-US"/>
        </w:rPr>
        <w:t xml:space="preserve">, </w:t>
      </w:r>
      <w:r>
        <w:rPr>
          <w:lang w:val="en-US"/>
        </w:rPr>
        <w:t>store the lowest BIC value and</w:t>
      </w:r>
      <w:r w:rsidR="00E578AA">
        <w:rPr>
          <w:lang w:val="en-US"/>
        </w:rPr>
        <w:t xml:space="preserve"> corresponding</w:t>
      </w:r>
      <w:r>
        <w:rPr>
          <w:lang w:val="en-US"/>
        </w:rPr>
        <w:t xml:space="preserve"> model specifications. </w:t>
      </w:r>
    </w:p>
    <w:p w14:paraId="125ECEC2" w14:textId="77777777" w:rsidR="00E578AA" w:rsidRPr="00646382" w:rsidRDefault="00E578AA" w:rsidP="00E27F44">
      <w:pPr>
        <w:pStyle w:val="ListParagraph"/>
        <w:ind w:left="1080"/>
        <w:jc w:val="both"/>
        <w:rPr>
          <w:iCs/>
          <w:lang w:val="en-US"/>
        </w:rPr>
      </w:pPr>
    </w:p>
    <w:p w14:paraId="6F36985E" w14:textId="0DE05C6A" w:rsidR="00646382" w:rsidRDefault="00646382" w:rsidP="00E27F44">
      <w:pPr>
        <w:pStyle w:val="ListParagraph"/>
        <w:numPr>
          <w:ilvl w:val="0"/>
          <w:numId w:val="6"/>
        </w:numPr>
        <w:jc w:val="both"/>
        <w:rPr>
          <w:iCs/>
          <w:lang w:val="en-US"/>
        </w:rPr>
      </w:pPr>
      <w:r w:rsidRPr="00646382">
        <w:rPr>
          <w:iCs/>
          <w:lang w:val="en-US"/>
        </w:rPr>
        <w:t xml:space="preserve">Calculate the </w:t>
      </w:r>
      <w:r w:rsidRPr="00920BD9">
        <w:rPr>
          <w:iCs/>
          <w:highlight w:val="yellow"/>
          <w:lang w:val="en-US"/>
        </w:rPr>
        <w:t xml:space="preserve">Root Mean Square </w:t>
      </w:r>
      <w:r w:rsidR="00296C4D" w:rsidRPr="00920BD9">
        <w:rPr>
          <w:iCs/>
          <w:highlight w:val="yellow"/>
          <w:lang w:val="en-US"/>
        </w:rPr>
        <w:t>Error (RMSE)</w:t>
      </w:r>
      <w:bookmarkStart w:id="0" w:name="_GoBack"/>
      <w:bookmarkEnd w:id="0"/>
      <w:r w:rsidRPr="00646382">
        <w:rPr>
          <w:iCs/>
          <w:lang w:val="en-US"/>
        </w:rPr>
        <w:t xml:space="preserve"> for estimated producer price (reverse the estimated the logarithmic producer price) f</w:t>
      </w:r>
      <w:r>
        <w:rPr>
          <w:iCs/>
          <w:lang w:val="en-US"/>
        </w:rPr>
        <w:t>or</w:t>
      </w:r>
      <w:r w:rsidRPr="00646382">
        <w:rPr>
          <w:iCs/>
          <w:lang w:val="en-US"/>
        </w:rPr>
        <w:t xml:space="preserve"> the three best model and store the lowest RMSE and </w:t>
      </w:r>
      <w:r w:rsidR="00E578AA">
        <w:rPr>
          <w:iCs/>
          <w:lang w:val="en-US"/>
        </w:rPr>
        <w:t xml:space="preserve">corresponding </w:t>
      </w:r>
      <w:r w:rsidRPr="00646382">
        <w:rPr>
          <w:iCs/>
          <w:lang w:val="en-US"/>
        </w:rPr>
        <w:t xml:space="preserve">model specifications.  </w:t>
      </w:r>
    </w:p>
    <w:p w14:paraId="60A8E5AA" w14:textId="77777777" w:rsidR="00E578AA" w:rsidRPr="00E578AA" w:rsidRDefault="00E578AA" w:rsidP="00E27F44">
      <w:pPr>
        <w:jc w:val="both"/>
        <w:rPr>
          <w:iCs/>
          <w:lang w:val="en-US"/>
        </w:rPr>
      </w:pPr>
    </w:p>
    <w:p w14:paraId="71CF33D3" w14:textId="5EF17B71" w:rsidR="00E578AA" w:rsidRPr="008829AE" w:rsidRDefault="00646382" w:rsidP="00E27F44">
      <w:pPr>
        <w:pStyle w:val="ListParagraph"/>
        <w:numPr>
          <w:ilvl w:val="0"/>
          <w:numId w:val="6"/>
        </w:numPr>
        <w:jc w:val="both"/>
        <w:rPr>
          <w:iCs/>
          <w:lang w:val="en-US"/>
        </w:rPr>
      </w:pPr>
      <w:r>
        <w:rPr>
          <w:iCs/>
          <w:lang w:val="en-US"/>
        </w:rPr>
        <w:t xml:space="preserve">Compare the model specifications </w:t>
      </w:r>
      <w:r w:rsidR="00E578AA">
        <w:rPr>
          <w:iCs/>
          <w:lang w:val="en-US"/>
        </w:rPr>
        <w:t>from</w:t>
      </w:r>
      <w:r>
        <w:rPr>
          <w:iCs/>
          <w:lang w:val="en-US"/>
        </w:rPr>
        <w:t xml:space="preserve"> the lowest BIC value and the lowest RMSE</w:t>
      </w:r>
      <w:r w:rsidR="00E578AA">
        <w:rPr>
          <w:iCs/>
          <w:lang w:val="en-US"/>
        </w:rPr>
        <w:t xml:space="preserve">, if they are the same, we store it as the final model specification, if not, we graph the forecasted producer prices from both model specifications </w:t>
      </w:r>
      <w:r w:rsidR="00D50103">
        <w:rPr>
          <w:iCs/>
          <w:lang w:val="en-US"/>
        </w:rPr>
        <w:t xml:space="preserve">as well as </w:t>
      </w:r>
      <w:r w:rsidR="00E578AA">
        <w:rPr>
          <w:iCs/>
          <w:lang w:val="en-US"/>
        </w:rPr>
        <w:t>the observed value to allow for graphical inspection so that final model specifications can be chosen</w:t>
      </w:r>
      <w:r w:rsidR="007278DE">
        <w:rPr>
          <w:iCs/>
          <w:lang w:val="en-US"/>
        </w:rPr>
        <w:t xml:space="preserve">.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ZA" w:eastAsia="zh-CN" w:bidi="ar-SA"/>
        </w:rPr>
        <w:id w:val="742917165"/>
        <w:docPartObj>
          <w:docPartGallery w:val="Bibliographies"/>
          <w:docPartUnique/>
        </w:docPartObj>
      </w:sdtPr>
      <w:sdtEndPr/>
      <w:sdtContent>
        <w:p w14:paraId="72A2DC3F" w14:textId="72F0ACDA" w:rsidR="00296C4D" w:rsidRDefault="00296C4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F0CD09F" w14:textId="179368E2" w:rsidR="00296C4D" w:rsidRDefault="00296C4D" w:rsidP="00296C4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Beketti, S. (2013). </w:t>
              </w:r>
              <w:r>
                <w:rPr>
                  <w:i/>
                  <w:iCs/>
                  <w:noProof/>
                  <w:lang w:val="en-US"/>
                </w:rPr>
                <w:t>Introduction to Time Series Using Stata .</w:t>
              </w:r>
              <w:r>
                <w:rPr>
                  <w:noProof/>
                  <w:lang w:val="en-US"/>
                </w:rPr>
                <w:t xml:space="preserve"> College Station, TX: Stat Press.</w:t>
              </w:r>
            </w:p>
            <w:p w14:paraId="54A5A59C" w14:textId="1C3E460C" w:rsidR="00E578AA" w:rsidRPr="002479D5" w:rsidRDefault="00296C4D" w:rsidP="00E578A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578AA" w:rsidRPr="002479D5" w:rsidSect="004D5BB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A3E69" w14:textId="77777777" w:rsidR="00082C14" w:rsidRDefault="00082C14" w:rsidP="00B03030">
      <w:r>
        <w:separator/>
      </w:r>
    </w:p>
  </w:endnote>
  <w:endnote w:type="continuationSeparator" w:id="0">
    <w:p w14:paraId="511C6FA8" w14:textId="77777777" w:rsidR="00082C14" w:rsidRDefault="00082C14" w:rsidP="00B0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9CF45" w14:textId="5941F2CD" w:rsidR="00B03030" w:rsidRDefault="00B03030">
    <w:pPr>
      <w:pStyle w:val="Footer"/>
    </w:pPr>
  </w:p>
  <w:p w14:paraId="64B4BE6D" w14:textId="77777777" w:rsidR="00B03030" w:rsidRDefault="00B03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BB263" w14:textId="77777777" w:rsidR="00082C14" w:rsidRDefault="00082C14" w:rsidP="00B03030">
      <w:r>
        <w:separator/>
      </w:r>
    </w:p>
  </w:footnote>
  <w:footnote w:type="continuationSeparator" w:id="0">
    <w:p w14:paraId="7DE0B8C6" w14:textId="77777777" w:rsidR="00082C14" w:rsidRDefault="00082C14" w:rsidP="00B03030">
      <w:r>
        <w:continuationSeparator/>
      </w:r>
    </w:p>
  </w:footnote>
  <w:footnote w:id="1">
    <w:p w14:paraId="330EC12D" w14:textId="03D39EE2" w:rsidR="00633C4D" w:rsidRPr="00633C4D" w:rsidRDefault="00633C4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first four time series can be obtained directly from the Macro Indicators domain on FAOSTAT</w:t>
      </w:r>
      <w:r w:rsidR="002479D5">
        <w:rPr>
          <w:lang w:val="en-US"/>
        </w:rPr>
        <w:t>.</w:t>
      </w:r>
    </w:p>
  </w:footnote>
  <w:footnote w:id="2">
    <w:p w14:paraId="1904DCCE" w14:textId="6883091C" w:rsidR="00633C4D" w:rsidRPr="00633C4D" w:rsidRDefault="00633C4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This time series can be obtained directly from Capital Stock domain on FAOSTAT</w:t>
      </w:r>
      <w:r w:rsidR="002479D5">
        <w:rPr>
          <w:lang w:val="en-US"/>
        </w:rPr>
        <w:t>.</w:t>
      </w:r>
    </w:p>
  </w:footnote>
  <w:footnote w:id="3">
    <w:p w14:paraId="48636916" w14:textId="73EFADB1" w:rsidR="00633C4D" w:rsidRPr="00633C4D" w:rsidRDefault="00633C4D">
      <w:pPr>
        <w:pStyle w:val="FootnoteText"/>
      </w:pPr>
      <w:r>
        <w:rPr>
          <w:rStyle w:val="FootnoteReference"/>
        </w:rPr>
        <w:footnoteRef/>
      </w:r>
      <w:r>
        <w:t xml:space="preserve"> The main sources for trade related time series are the FAO Trade Database and the UNCTAD Merchandise trade matrix. </w:t>
      </w:r>
    </w:p>
  </w:footnote>
  <w:footnote w:id="4">
    <w:p w14:paraId="61A6DC6F" w14:textId="0C886324" w:rsidR="00633C4D" w:rsidRPr="00633C4D" w:rsidRDefault="00633C4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Yields data can be obtained directly from </w:t>
      </w:r>
      <w:r w:rsidR="002479D5">
        <w:rPr>
          <w:lang w:val="en-US"/>
        </w:rPr>
        <w:t xml:space="preserve">Crops, Crops Processed and Livestock Primary and Livestock Processed domains on FAOSTAT.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FF4"/>
    <w:multiLevelType w:val="hybridMultilevel"/>
    <w:tmpl w:val="AD66A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4D35"/>
    <w:multiLevelType w:val="hybridMultilevel"/>
    <w:tmpl w:val="62ACE072"/>
    <w:lvl w:ilvl="0" w:tplc="9D3A53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73C5"/>
    <w:multiLevelType w:val="hybridMultilevel"/>
    <w:tmpl w:val="39D2B0AE"/>
    <w:lvl w:ilvl="0" w:tplc="523092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E0FD7"/>
    <w:multiLevelType w:val="hybridMultilevel"/>
    <w:tmpl w:val="F5CC2062"/>
    <w:lvl w:ilvl="0" w:tplc="44E6A7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D60A5E"/>
    <w:multiLevelType w:val="hybridMultilevel"/>
    <w:tmpl w:val="8F4E1F1E"/>
    <w:lvl w:ilvl="0" w:tplc="9F702F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269AF"/>
    <w:multiLevelType w:val="hybridMultilevel"/>
    <w:tmpl w:val="7046AAE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23"/>
    <w:rsid w:val="00000C35"/>
    <w:rsid w:val="00027F59"/>
    <w:rsid w:val="00043D24"/>
    <w:rsid w:val="000454E3"/>
    <w:rsid w:val="00082C14"/>
    <w:rsid w:val="000B0F1B"/>
    <w:rsid w:val="00155F67"/>
    <w:rsid w:val="00182FB8"/>
    <w:rsid w:val="0023071B"/>
    <w:rsid w:val="002479D5"/>
    <w:rsid w:val="002628EB"/>
    <w:rsid w:val="00296C4D"/>
    <w:rsid w:val="002E4701"/>
    <w:rsid w:val="00315B23"/>
    <w:rsid w:val="003171E4"/>
    <w:rsid w:val="003435A8"/>
    <w:rsid w:val="00364FBA"/>
    <w:rsid w:val="004159BE"/>
    <w:rsid w:val="004664AE"/>
    <w:rsid w:val="00467C5C"/>
    <w:rsid w:val="004D5BB7"/>
    <w:rsid w:val="00541D34"/>
    <w:rsid w:val="00553B75"/>
    <w:rsid w:val="00566357"/>
    <w:rsid w:val="00633C4D"/>
    <w:rsid w:val="00646382"/>
    <w:rsid w:val="006D6980"/>
    <w:rsid w:val="006E5CCC"/>
    <w:rsid w:val="007278DE"/>
    <w:rsid w:val="00771B2C"/>
    <w:rsid w:val="007A2F3E"/>
    <w:rsid w:val="007B7BA2"/>
    <w:rsid w:val="007C5B7C"/>
    <w:rsid w:val="008829AE"/>
    <w:rsid w:val="00904FA0"/>
    <w:rsid w:val="00920BD9"/>
    <w:rsid w:val="009725A0"/>
    <w:rsid w:val="009B0DAE"/>
    <w:rsid w:val="00A14C5B"/>
    <w:rsid w:val="00A5743D"/>
    <w:rsid w:val="00AF5CA6"/>
    <w:rsid w:val="00B03030"/>
    <w:rsid w:val="00B14461"/>
    <w:rsid w:val="00B22C1C"/>
    <w:rsid w:val="00B80DAC"/>
    <w:rsid w:val="00BC4B7F"/>
    <w:rsid w:val="00C040E2"/>
    <w:rsid w:val="00CB31C2"/>
    <w:rsid w:val="00D50103"/>
    <w:rsid w:val="00E07C88"/>
    <w:rsid w:val="00E27F44"/>
    <w:rsid w:val="00E40350"/>
    <w:rsid w:val="00E43175"/>
    <w:rsid w:val="00E578AA"/>
    <w:rsid w:val="00E65C34"/>
    <w:rsid w:val="00EC0D0C"/>
    <w:rsid w:val="00EE5400"/>
    <w:rsid w:val="00F5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78B3"/>
  <w15:chartTrackingRefBased/>
  <w15:docId w15:val="{E7D1102A-37A5-4749-B439-2156794C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Z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4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FBA"/>
    <w:rPr>
      <w:color w:val="808080"/>
    </w:rPr>
  </w:style>
  <w:style w:type="paragraph" w:styleId="ListParagraph">
    <w:name w:val="List Paragraph"/>
    <w:basedOn w:val="Normal"/>
    <w:uiPriority w:val="34"/>
    <w:qFormat/>
    <w:rsid w:val="00E431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030"/>
  </w:style>
  <w:style w:type="paragraph" w:styleId="Footer">
    <w:name w:val="footer"/>
    <w:basedOn w:val="Normal"/>
    <w:link w:val="FooterChar"/>
    <w:uiPriority w:val="99"/>
    <w:unhideWhenUsed/>
    <w:rsid w:val="00B03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030"/>
  </w:style>
  <w:style w:type="character" w:customStyle="1" w:styleId="Heading1Char">
    <w:name w:val="Heading 1 Char"/>
    <w:basedOn w:val="DefaultParagraphFont"/>
    <w:link w:val="Heading1"/>
    <w:uiPriority w:val="9"/>
    <w:rsid w:val="00296C4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296C4D"/>
  </w:style>
  <w:style w:type="paragraph" w:styleId="FootnoteText">
    <w:name w:val="footnote text"/>
    <w:basedOn w:val="Normal"/>
    <w:link w:val="FootnoteTextChar"/>
    <w:uiPriority w:val="99"/>
    <w:semiHidden/>
    <w:unhideWhenUsed/>
    <w:rsid w:val="00633C4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C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3C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937F1A95BB194E99F7F34BB7482714" ma:contentTypeVersion="12" ma:contentTypeDescription="Creare un nuovo documento." ma:contentTypeScope="" ma:versionID="60198dccf485bc0a3c2170df70b7dabe">
  <xsd:schema xmlns:xsd="http://www.w3.org/2001/XMLSchema" xmlns:xs="http://www.w3.org/2001/XMLSchema" xmlns:p="http://schemas.microsoft.com/office/2006/metadata/properties" xmlns:ns3="f88daccd-efd0-4455-a537-fa5070a2b663" xmlns:ns4="4b1fb60f-bc06-444e-8863-a7a8ee2b1c7b" targetNamespace="http://schemas.microsoft.com/office/2006/metadata/properties" ma:root="true" ma:fieldsID="a41a896b3f6105f5e7c1a36f1ed7ad19" ns3:_="" ns4:_="">
    <xsd:import namespace="f88daccd-efd0-4455-a537-fa5070a2b663"/>
    <xsd:import namespace="4b1fb60f-bc06-444e-8863-a7a8ee2b1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daccd-efd0-4455-a537-fa5070a2b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fb60f-bc06-444e-8863-a7a8ee2b1c7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Bek13</b:Tag>
    <b:SourceType>Book</b:SourceType>
    <b:Guid>{A866DE6C-9560-9F42-BDC5-EF3F39984297}</b:Guid>
    <b:Author>
      <b:Author>
        <b:NameList>
          <b:Person>
            <b:Last>Beketti</b:Last>
            <b:First>S.</b:First>
          </b:Person>
        </b:NameList>
      </b:Author>
    </b:Author>
    <b:Title>Introduction to Time Series Using Stata. </b:Title>
    <b:City>College Station</b:City>
    <b:Publisher>TX: Stat Press</b:Publisher>
    <b:Year>2013</b:Year>
    <b:RefOrder>1</b:RefOrder>
  </b:Source>
</b:Sources>
</file>

<file path=customXml/itemProps1.xml><?xml version="1.0" encoding="utf-8"?>
<ds:datastoreItem xmlns:ds="http://schemas.openxmlformats.org/officeDocument/2006/customXml" ds:itemID="{5823A2EC-5A0A-40D7-87B3-D6C599875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daccd-efd0-4455-a537-fa5070a2b663"/>
    <ds:schemaRef ds:uri="4b1fb60f-bc06-444e-8863-a7a8ee2b1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CB7429-5884-484D-93E1-DF81FA17A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5A802B-68F1-4DF1-926E-B642EA3FB984}">
  <ds:schemaRefs>
    <ds:schemaRef ds:uri="4b1fb60f-bc06-444e-8863-a7a8ee2b1c7b"/>
    <ds:schemaRef ds:uri="http://purl.org/dc/terms/"/>
    <ds:schemaRef ds:uri="http://schemas.microsoft.com/office/2006/metadata/properties"/>
    <ds:schemaRef ds:uri="http://schemas.microsoft.com/office/2006/documentManagement/types"/>
    <ds:schemaRef ds:uri="f88daccd-efd0-4455-a537-fa5070a2b66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072E055-4268-43C1-8C72-B8E04800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Taglioni, Charlotte (ESS)</cp:lastModifiedBy>
  <cp:revision>3</cp:revision>
  <dcterms:created xsi:type="dcterms:W3CDTF">2021-07-26T08:08:00Z</dcterms:created>
  <dcterms:modified xsi:type="dcterms:W3CDTF">2021-07-26T08:21:00Z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0x01010005937F1A95BB194E99F7F34BB7482714</vt:lpwstr>
  </property>
</Properties>
</file>