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16F" w:rsidRDefault="00EE6671" w:rsidP="00EE6671">
      <w:pPr>
        <w:pStyle w:val="Heading1"/>
        <w:jc w:val="center"/>
      </w:pPr>
      <w:r>
        <w:t>Exchange rate source and domain data comparison</w:t>
      </w:r>
    </w:p>
    <w:p w:rsidR="00EE6671" w:rsidRPr="00D40EE7" w:rsidRDefault="00D40EE7" w:rsidP="00D40EE7">
      <w:pPr>
        <w:pStyle w:val="Heading3"/>
        <w:jc w:val="center"/>
        <w:rPr>
          <w:lang w:val="en-GB"/>
        </w:rPr>
      </w:pPr>
      <w:r>
        <w:rPr>
          <w:lang w:val="en-GB"/>
        </w:rPr>
        <w:t>September 21</w:t>
      </w:r>
      <w:r w:rsidRPr="00D40EE7">
        <w:rPr>
          <w:vertAlign w:val="superscript"/>
          <w:lang w:val="en-GB"/>
        </w:rPr>
        <w:t>st</w:t>
      </w:r>
      <w:r>
        <w:rPr>
          <w:lang w:val="en-GB"/>
        </w:rPr>
        <w:t>, 2020</w:t>
      </w:r>
    </w:p>
    <w:p w:rsidR="00EE6671" w:rsidRDefault="00EE6671" w:rsidP="00EE6671"/>
    <w:p w:rsidR="008735CF" w:rsidRDefault="00AC0942" w:rsidP="00EE6671">
      <w:r>
        <w:t>After a first formal analysis of the dataset containing exchange rates in</w:t>
      </w:r>
      <w:r>
        <w:t xml:space="preserve"> the Statistical Working System (SWS) a second comparison among data contained in the datasets and in the official sources has been performed and is summarized in this document.</w:t>
      </w:r>
    </w:p>
    <w:p w:rsidR="00AC0942" w:rsidRDefault="00AC0942" w:rsidP="00EE6671">
      <w:r>
        <w:t>The domains identified as containing exchange rates data are:</w:t>
      </w:r>
    </w:p>
    <w:p w:rsidR="00AC0942" w:rsidRDefault="00AC0942" w:rsidP="00AC0942">
      <w:pPr>
        <w:pStyle w:val="ListParagraph"/>
        <w:numPr>
          <w:ilvl w:val="0"/>
          <w:numId w:val="1"/>
        </w:numPr>
      </w:pPr>
      <w:r>
        <w:t>Common domain (data outdated and dataset structure to review)</w:t>
      </w:r>
    </w:p>
    <w:p w:rsidR="00AC0942" w:rsidRDefault="00EE6671" w:rsidP="00AC0942">
      <w:pPr>
        <w:pStyle w:val="ListParagraph"/>
        <w:numPr>
          <w:ilvl w:val="0"/>
          <w:numId w:val="1"/>
        </w:numPr>
      </w:pPr>
      <w:r>
        <w:t xml:space="preserve">Fisheries </w:t>
      </w:r>
      <w:r w:rsidR="00AC0942">
        <w:t>and Fisheries commodities (sharing the same source)</w:t>
      </w:r>
    </w:p>
    <w:p w:rsidR="00AC0942" w:rsidRDefault="00AC0942" w:rsidP="00AC0942">
      <w:pPr>
        <w:pStyle w:val="ListParagraph"/>
        <w:numPr>
          <w:ilvl w:val="0"/>
          <w:numId w:val="1"/>
        </w:numPr>
      </w:pPr>
      <w:r>
        <w:t>M</w:t>
      </w:r>
      <w:r w:rsidR="00EE6671">
        <w:t xml:space="preserve">acro </w:t>
      </w:r>
      <w:r>
        <w:t>S</w:t>
      </w:r>
      <w:r w:rsidR="00EE6671">
        <w:t>tatistics</w:t>
      </w:r>
      <w:r>
        <w:t xml:space="preserve"> (part of the ECO team duties and responsible for publishing the data on FAOSTAT)</w:t>
      </w:r>
    </w:p>
    <w:p w:rsidR="00EE6671" w:rsidRPr="00EE6671" w:rsidRDefault="00AC0942" w:rsidP="00AC0942">
      <w:pPr>
        <w:pStyle w:val="ListParagraph"/>
        <w:numPr>
          <w:ilvl w:val="0"/>
          <w:numId w:val="1"/>
        </w:numPr>
      </w:pPr>
      <w:r>
        <w:t>Trade of Crop, livestock and food statistics (CLFS) team</w:t>
      </w:r>
      <w:r w:rsidR="00EE6671">
        <w:t xml:space="preserve"> </w:t>
      </w:r>
    </w:p>
    <w:p w:rsidR="00EE6671" w:rsidRDefault="00AC0942">
      <w:r>
        <w:t>The four domains</w:t>
      </w:r>
      <w:r w:rsidR="00D26446">
        <w:t xml:space="preserve"> contains some differences in the way exchange rates are treated and saved.</w:t>
      </w:r>
    </w:p>
    <w:p w:rsidR="00D26446" w:rsidRDefault="00D26446">
      <w:r>
        <w:t xml:space="preserve">The issue to </w:t>
      </w:r>
      <w:r w:rsidR="008735CF">
        <w:t>highlight</w:t>
      </w:r>
      <w:r w:rsidR="00A7595B">
        <w:t xml:space="preserve"> and discuss with the teams</w:t>
      </w:r>
      <w:r>
        <w:t xml:space="preserve"> are the following:</w:t>
      </w:r>
    </w:p>
    <w:p w:rsidR="00D26446" w:rsidRDefault="00D26446" w:rsidP="00D26446">
      <w:pPr>
        <w:pStyle w:val="ListParagraph"/>
        <w:numPr>
          <w:ilvl w:val="0"/>
          <w:numId w:val="2"/>
        </w:numPr>
      </w:pPr>
      <w:r w:rsidRPr="00D26446">
        <w:rPr>
          <w:u w:val="single"/>
        </w:rPr>
        <w:t>The number of decimals reported</w:t>
      </w:r>
      <w:r w:rsidR="008735CF">
        <w:t>: the number</w:t>
      </w:r>
      <w:r>
        <w:t xml:space="preserve"> is different in all the domains and should be aligned</w:t>
      </w:r>
    </w:p>
    <w:p w:rsidR="00D26446" w:rsidRDefault="00D26446" w:rsidP="00D26446">
      <w:pPr>
        <w:pStyle w:val="ListParagraph"/>
        <w:numPr>
          <w:ilvl w:val="0"/>
          <w:numId w:val="2"/>
        </w:numPr>
      </w:pPr>
      <w:r>
        <w:rPr>
          <w:u w:val="single"/>
        </w:rPr>
        <w:t>The type of rate</w:t>
      </w:r>
      <w:r w:rsidRPr="00D26446">
        <w:t>:</w:t>
      </w:r>
      <w:r>
        <w:t xml:space="preserve"> UNSD and FAOSTAT publish the exchange rates as ‘Domestic currency per USD’ whereas Fisheries and Trade (CLFS) use what is called the inverse exchange rate ‘USD per domestic currency’</w:t>
      </w:r>
      <w:r w:rsidR="00337DD8">
        <w:t xml:space="preserve"> (= 1/</w:t>
      </w:r>
      <w:r w:rsidR="00337DD8">
        <w:t>‘Domestic currency per USD’</w:t>
      </w:r>
      <w:r w:rsidR="00337DD8">
        <w:t xml:space="preserve">) this </w:t>
      </w:r>
      <w:r w:rsidR="008735CF">
        <w:t>h</w:t>
      </w:r>
      <w:r w:rsidR="00337DD8">
        <w:t>as to be highlighted as it might impact calculations</w:t>
      </w:r>
    </w:p>
    <w:p w:rsidR="00337DD8" w:rsidRDefault="00337DD8" w:rsidP="00D26446">
      <w:pPr>
        <w:pStyle w:val="ListParagraph"/>
        <w:numPr>
          <w:ilvl w:val="0"/>
          <w:numId w:val="2"/>
        </w:numPr>
      </w:pPr>
      <w:r>
        <w:rPr>
          <w:u w:val="single"/>
        </w:rPr>
        <w:t>The type of currency</w:t>
      </w:r>
      <w:r w:rsidRPr="00337DD8">
        <w:t>:</w:t>
      </w:r>
      <w:r>
        <w:t xml:space="preserve"> </w:t>
      </w:r>
      <w:r w:rsidR="003617C1">
        <w:t xml:space="preserve">UNSD and FAOSTAT </w:t>
      </w:r>
      <w:r w:rsidR="008735CF">
        <w:t xml:space="preserve">publish </w:t>
      </w:r>
      <w:r w:rsidR="003617C1">
        <w:t xml:space="preserve">the exchange rates </w:t>
      </w:r>
      <w:r w:rsidR="008735CF">
        <w:t xml:space="preserve">using </w:t>
      </w:r>
      <w:r w:rsidR="008735CF">
        <w:t xml:space="preserve">the Standard Local Currency (SLC) </w:t>
      </w:r>
      <w:r w:rsidR="003617C1">
        <w:t xml:space="preserve"> as ‘Domestic currency’</w:t>
      </w:r>
      <w:r w:rsidR="008735CF">
        <w:t>,</w:t>
      </w:r>
      <w:r w:rsidR="003617C1">
        <w:t xml:space="preserve"> meaning that the exchange rates refers to the current currency even for year</w:t>
      </w:r>
      <w:r w:rsidR="008735CF">
        <w:t>s</w:t>
      </w:r>
      <w:r w:rsidR="003617C1">
        <w:t xml:space="preserve"> when the currency was not in use yet (e.g</w:t>
      </w:r>
      <w:r w:rsidR="008735CF">
        <w:t>.</w:t>
      </w:r>
      <w:r w:rsidR="003617C1">
        <w:t xml:space="preserve"> Euro/USD exchange rate for year 1970). Fisheries instead uses as ‘Domestic currency’ the Local Currency Unit (LCU), i.e. the currency actually used at the reported year (hence Euro/USD exchange rates start in 1999). </w:t>
      </w:r>
      <w:r w:rsidR="00DF10E9">
        <w:t xml:space="preserve"> The first approach</w:t>
      </w:r>
      <w:r w:rsidR="00A7595B">
        <w:t>,</w:t>
      </w:r>
      <w:r w:rsidR="00DF10E9">
        <w:t xml:space="preserve"> based on SLC</w:t>
      </w:r>
      <w:r w:rsidR="00A7595B">
        <w:t>,</w:t>
      </w:r>
      <w:r w:rsidR="00DF10E9">
        <w:t xml:space="preserve"> requires exchange rates data to be saved along with the country variable </w:t>
      </w:r>
      <w:r w:rsidR="008735CF">
        <w:t xml:space="preserve">(as, </w:t>
      </w:r>
      <w:r w:rsidR="00DF10E9">
        <w:t xml:space="preserve">for example, before 1999 the Euro/USD exchange rates depend on the </w:t>
      </w:r>
      <w:r w:rsidR="00A7595B">
        <w:t xml:space="preserve">LCU of each </w:t>
      </w:r>
      <w:r w:rsidR="00DF10E9">
        <w:t>country</w:t>
      </w:r>
      <w:r w:rsidR="008735CF">
        <w:t>)</w:t>
      </w:r>
      <w:r w:rsidR="00A7595B">
        <w:t xml:space="preserve">.  The approach based on LCU instead can ignore the country variable as, in its validity period, a unique currency has only one exchange rate value with the USD. </w:t>
      </w:r>
      <w:r w:rsidR="00A7595B">
        <w:rPr>
          <w:rStyle w:val="FootnoteReference"/>
        </w:rPr>
        <w:footnoteReference w:id="1"/>
      </w:r>
    </w:p>
    <w:p w:rsidR="005F4459" w:rsidRDefault="005F4459" w:rsidP="00A7595B">
      <w:pPr>
        <w:pStyle w:val="Caption"/>
        <w:keepNext/>
      </w:pPr>
    </w:p>
    <w:p w:rsidR="005F4459" w:rsidRDefault="005F4459" w:rsidP="00A7595B">
      <w:pPr>
        <w:pStyle w:val="Caption"/>
        <w:keepNext/>
      </w:pPr>
    </w:p>
    <w:p w:rsidR="005F4459" w:rsidRDefault="005F4459" w:rsidP="00A7595B">
      <w:pPr>
        <w:pStyle w:val="Caption"/>
        <w:keepNext/>
      </w:pPr>
    </w:p>
    <w:p w:rsidR="00A7595B" w:rsidRDefault="00A7595B" w:rsidP="00A7595B">
      <w:pPr>
        <w:pStyle w:val="Caption"/>
        <w:keepNext/>
      </w:pPr>
      <w:r>
        <w:t xml:space="preserve">Table </w:t>
      </w:r>
      <w:fldSimple w:instr=" SEQ Table \* ARABIC ">
        <w:r w:rsidR="00332D06">
          <w:rPr>
            <w:noProof/>
          </w:rPr>
          <w:t>1</w:t>
        </w:r>
      </w:fldSimple>
      <w:r>
        <w:t xml:space="preserve"> </w:t>
      </w:r>
      <w:r w:rsidR="005F4459">
        <w:t>E</w:t>
      </w:r>
      <w:r>
        <w:t>xchange rate format saved in each domain and source</w:t>
      </w:r>
    </w:p>
    <w:tbl>
      <w:tblPr>
        <w:tblStyle w:val="PlainTable3"/>
        <w:tblW w:w="0" w:type="auto"/>
        <w:tblLook w:val="04A0" w:firstRow="1" w:lastRow="0" w:firstColumn="1" w:lastColumn="0" w:noHBand="0" w:noVBand="1"/>
      </w:tblPr>
      <w:tblGrid>
        <w:gridCol w:w="2407"/>
        <w:gridCol w:w="1160"/>
        <w:gridCol w:w="3687"/>
        <w:gridCol w:w="2096"/>
      </w:tblGrid>
      <w:tr w:rsidR="00A7595B" w:rsidTr="00A75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7" w:type="dxa"/>
            <w:tcBorders>
              <w:top w:val="single" w:sz="4" w:space="0" w:color="auto"/>
              <w:left w:val="single" w:sz="4" w:space="0" w:color="auto"/>
              <w:bottom w:val="single" w:sz="4" w:space="0" w:color="auto"/>
              <w:right w:val="single" w:sz="4" w:space="0" w:color="auto"/>
            </w:tcBorders>
          </w:tcPr>
          <w:p w:rsidR="00EA73A7" w:rsidRDefault="00EA73A7">
            <w:r>
              <w:t>Source</w:t>
            </w:r>
          </w:p>
        </w:tc>
        <w:tc>
          <w:tcPr>
            <w:tcW w:w="1160" w:type="dxa"/>
            <w:tcBorders>
              <w:top w:val="single" w:sz="4" w:space="0" w:color="auto"/>
              <w:left w:val="single" w:sz="4" w:space="0" w:color="auto"/>
              <w:bottom w:val="single" w:sz="4" w:space="0" w:color="auto"/>
              <w:right w:val="single" w:sz="4" w:space="0" w:color="auto"/>
            </w:tcBorders>
          </w:tcPr>
          <w:p w:rsidR="00EA73A7" w:rsidRDefault="00EA73A7" w:rsidP="00EA73A7">
            <w:pPr>
              <w:jc w:val="center"/>
              <w:cnfStyle w:val="100000000000" w:firstRow="1" w:lastRow="0" w:firstColumn="0" w:lastColumn="0" w:oddVBand="0" w:evenVBand="0" w:oddHBand="0" w:evenHBand="0" w:firstRowFirstColumn="0" w:firstRowLastColumn="0" w:lastRowFirstColumn="0" w:lastRowLastColumn="0"/>
            </w:pPr>
            <w:r>
              <w:t>decimals</w:t>
            </w:r>
          </w:p>
        </w:tc>
        <w:tc>
          <w:tcPr>
            <w:tcW w:w="3687" w:type="dxa"/>
            <w:tcBorders>
              <w:top w:val="single" w:sz="4" w:space="0" w:color="auto"/>
              <w:left w:val="single" w:sz="4" w:space="0" w:color="auto"/>
              <w:bottom w:val="single" w:sz="4" w:space="0" w:color="auto"/>
              <w:right w:val="single" w:sz="4" w:space="0" w:color="auto"/>
            </w:tcBorders>
          </w:tcPr>
          <w:p w:rsidR="00EA73A7" w:rsidRDefault="00EA73A7" w:rsidP="00EA73A7">
            <w:pPr>
              <w:jc w:val="center"/>
              <w:cnfStyle w:val="100000000000" w:firstRow="1" w:lastRow="0" w:firstColumn="0" w:lastColumn="0" w:oddVBand="0" w:evenVBand="0" w:oddHBand="0" w:evenHBand="0" w:firstRowFirstColumn="0" w:firstRowLastColumn="0" w:lastRowFirstColumn="0" w:lastRowLastColumn="0"/>
            </w:pPr>
            <w:r>
              <w:t>Type or rate</w:t>
            </w:r>
          </w:p>
        </w:tc>
        <w:tc>
          <w:tcPr>
            <w:tcW w:w="2096" w:type="dxa"/>
            <w:tcBorders>
              <w:top w:val="single" w:sz="4" w:space="0" w:color="auto"/>
              <w:left w:val="single" w:sz="4" w:space="0" w:color="auto"/>
              <w:bottom w:val="single" w:sz="4" w:space="0" w:color="auto"/>
              <w:right w:val="single" w:sz="4" w:space="0" w:color="auto"/>
            </w:tcBorders>
          </w:tcPr>
          <w:p w:rsidR="00EA73A7" w:rsidRDefault="00EA73A7" w:rsidP="00EA73A7">
            <w:pPr>
              <w:jc w:val="center"/>
              <w:cnfStyle w:val="100000000000" w:firstRow="1" w:lastRow="0" w:firstColumn="0" w:lastColumn="0" w:oddVBand="0" w:evenVBand="0" w:oddHBand="0" w:evenHBand="0" w:firstRowFirstColumn="0" w:firstRowLastColumn="0" w:lastRowFirstColumn="0" w:lastRowLastColumn="0"/>
            </w:pPr>
            <w:r>
              <w:t>Currency</w:t>
            </w:r>
          </w:p>
        </w:tc>
      </w:tr>
      <w:tr w:rsidR="00EE6671" w:rsidTr="00A7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auto"/>
              <w:left w:val="single" w:sz="4" w:space="0" w:color="auto"/>
              <w:right w:val="single" w:sz="4" w:space="0" w:color="auto"/>
            </w:tcBorders>
          </w:tcPr>
          <w:p w:rsidR="00EA73A7" w:rsidRDefault="00EA73A7">
            <w:r>
              <w:t>IMF</w:t>
            </w:r>
          </w:p>
        </w:tc>
        <w:tc>
          <w:tcPr>
            <w:tcW w:w="1160" w:type="dxa"/>
            <w:tcBorders>
              <w:top w:val="single" w:sz="4" w:space="0" w:color="auto"/>
              <w:left w:val="single" w:sz="4" w:space="0" w:color="auto"/>
              <w:right w:val="single" w:sz="4" w:space="0" w:color="auto"/>
            </w:tcBorders>
          </w:tcPr>
          <w:p w:rsidR="00EA73A7" w:rsidRDefault="00EA73A7" w:rsidP="000C316F">
            <w:pPr>
              <w:jc w:val="center"/>
              <w:cnfStyle w:val="000000100000" w:firstRow="0" w:lastRow="0" w:firstColumn="0" w:lastColumn="0" w:oddVBand="0" w:evenVBand="0" w:oddHBand="1" w:evenHBand="0" w:firstRowFirstColumn="0" w:firstRowLastColumn="0" w:lastRowFirstColumn="0" w:lastRowLastColumn="0"/>
            </w:pPr>
            <w:r>
              <w:t>14</w:t>
            </w:r>
          </w:p>
        </w:tc>
        <w:tc>
          <w:tcPr>
            <w:tcW w:w="3687" w:type="dxa"/>
            <w:tcBorders>
              <w:top w:val="single" w:sz="4" w:space="0" w:color="auto"/>
              <w:left w:val="single" w:sz="4" w:space="0" w:color="auto"/>
              <w:right w:val="single" w:sz="4" w:space="0" w:color="auto"/>
            </w:tcBorders>
          </w:tcPr>
          <w:p w:rsidR="00EA73A7" w:rsidRDefault="00EA73A7" w:rsidP="0018350A">
            <w:pPr>
              <w:cnfStyle w:val="000000100000" w:firstRow="0" w:lastRow="0" w:firstColumn="0" w:lastColumn="0" w:oddVBand="0" w:evenVBand="0" w:oddHBand="1" w:evenHBand="0" w:firstRowFirstColumn="0" w:firstRowLastColumn="0" w:lastRowFirstColumn="0" w:lastRowLastColumn="0"/>
            </w:pPr>
            <w:r>
              <w:t>Domestic currency</w:t>
            </w:r>
            <w:r w:rsidR="0018350A">
              <w:t xml:space="preserve"> </w:t>
            </w:r>
            <w:r>
              <w:t>per USD</w:t>
            </w:r>
            <w:r w:rsidR="00D26446">
              <w:t xml:space="preserve"> &amp; inverse</w:t>
            </w:r>
          </w:p>
        </w:tc>
        <w:tc>
          <w:tcPr>
            <w:tcW w:w="2096" w:type="dxa"/>
            <w:tcBorders>
              <w:top w:val="single" w:sz="4" w:space="0" w:color="auto"/>
              <w:left w:val="single" w:sz="4" w:space="0" w:color="auto"/>
              <w:right w:val="single" w:sz="4" w:space="0" w:color="auto"/>
            </w:tcBorders>
          </w:tcPr>
          <w:p w:rsidR="00EA73A7" w:rsidRDefault="00EA73A7" w:rsidP="00EA73A7">
            <w:pPr>
              <w:tabs>
                <w:tab w:val="left" w:pos="398"/>
              </w:tabs>
              <w:jc w:val="center"/>
              <w:cnfStyle w:val="000000100000" w:firstRow="0" w:lastRow="0" w:firstColumn="0" w:lastColumn="0" w:oddVBand="0" w:evenVBand="0" w:oddHBand="1" w:evenHBand="0" w:firstRowFirstColumn="0" w:firstRowLastColumn="0" w:lastRowFirstColumn="0" w:lastRowLastColumn="0"/>
            </w:pPr>
            <w:r>
              <w:t>LCU</w:t>
            </w:r>
          </w:p>
        </w:tc>
      </w:tr>
      <w:tr w:rsidR="00EE6671" w:rsidTr="00A7595B">
        <w:tc>
          <w:tcPr>
            <w:cnfStyle w:val="001000000000" w:firstRow="0" w:lastRow="0" w:firstColumn="1" w:lastColumn="0" w:oddVBand="0" w:evenVBand="0" w:oddHBand="0" w:evenHBand="0" w:firstRowFirstColumn="0" w:firstRowLastColumn="0" w:lastRowFirstColumn="0" w:lastRowLastColumn="0"/>
            <w:tcW w:w="2407" w:type="dxa"/>
            <w:tcBorders>
              <w:left w:val="single" w:sz="4" w:space="0" w:color="auto"/>
              <w:right w:val="single" w:sz="4" w:space="0" w:color="auto"/>
            </w:tcBorders>
          </w:tcPr>
          <w:p w:rsidR="00EE6671" w:rsidRDefault="00EE6671">
            <w:r>
              <w:t>UNSD</w:t>
            </w:r>
          </w:p>
        </w:tc>
        <w:tc>
          <w:tcPr>
            <w:tcW w:w="1160" w:type="dxa"/>
            <w:tcBorders>
              <w:left w:val="single" w:sz="4" w:space="0" w:color="auto"/>
              <w:right w:val="single" w:sz="4" w:space="0" w:color="auto"/>
            </w:tcBorders>
          </w:tcPr>
          <w:p w:rsidR="00EE6671" w:rsidRDefault="00EE6671" w:rsidP="000C316F">
            <w:pPr>
              <w:jc w:val="center"/>
              <w:cnfStyle w:val="000000000000" w:firstRow="0" w:lastRow="0" w:firstColumn="0" w:lastColumn="0" w:oddVBand="0" w:evenVBand="0" w:oddHBand="0" w:evenHBand="0" w:firstRowFirstColumn="0" w:firstRowLastColumn="0" w:lastRowFirstColumn="0" w:lastRowLastColumn="0"/>
            </w:pPr>
            <w:r>
              <w:t>15</w:t>
            </w:r>
          </w:p>
        </w:tc>
        <w:tc>
          <w:tcPr>
            <w:tcW w:w="3687" w:type="dxa"/>
            <w:tcBorders>
              <w:left w:val="single" w:sz="4" w:space="0" w:color="auto"/>
              <w:right w:val="single" w:sz="4" w:space="0" w:color="auto"/>
            </w:tcBorders>
          </w:tcPr>
          <w:p w:rsidR="00EE6671" w:rsidRDefault="00EE6671" w:rsidP="0018350A">
            <w:pPr>
              <w:cnfStyle w:val="000000000000" w:firstRow="0" w:lastRow="0" w:firstColumn="0" w:lastColumn="0" w:oddVBand="0" w:evenVBand="0" w:oddHBand="0" w:evenHBand="0" w:firstRowFirstColumn="0" w:firstRowLastColumn="0" w:lastRowFirstColumn="0" w:lastRowLastColumn="0"/>
            </w:pPr>
            <w:r>
              <w:t>Domestic currency per USD</w:t>
            </w:r>
          </w:p>
        </w:tc>
        <w:tc>
          <w:tcPr>
            <w:tcW w:w="2096" w:type="dxa"/>
            <w:tcBorders>
              <w:left w:val="single" w:sz="4" w:space="0" w:color="auto"/>
              <w:right w:val="single" w:sz="4" w:space="0" w:color="auto"/>
            </w:tcBorders>
          </w:tcPr>
          <w:p w:rsidR="00EE6671" w:rsidRDefault="00EE6671" w:rsidP="00EA73A7">
            <w:pPr>
              <w:tabs>
                <w:tab w:val="left" w:pos="398"/>
              </w:tabs>
              <w:jc w:val="center"/>
              <w:cnfStyle w:val="000000000000" w:firstRow="0" w:lastRow="0" w:firstColumn="0" w:lastColumn="0" w:oddVBand="0" w:evenVBand="0" w:oddHBand="0" w:evenHBand="0" w:firstRowFirstColumn="0" w:firstRowLastColumn="0" w:lastRowFirstColumn="0" w:lastRowLastColumn="0"/>
            </w:pPr>
            <w:r>
              <w:t>SLC</w:t>
            </w:r>
          </w:p>
        </w:tc>
      </w:tr>
      <w:tr w:rsidR="00EA73A7" w:rsidTr="00A7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left w:val="single" w:sz="4" w:space="0" w:color="auto"/>
              <w:right w:val="single" w:sz="4" w:space="0" w:color="auto"/>
            </w:tcBorders>
          </w:tcPr>
          <w:p w:rsidR="00EA73A7" w:rsidRDefault="00EA73A7">
            <w:r>
              <w:t>FAOSTAT</w:t>
            </w:r>
          </w:p>
        </w:tc>
        <w:tc>
          <w:tcPr>
            <w:tcW w:w="1160" w:type="dxa"/>
            <w:tcBorders>
              <w:left w:val="single" w:sz="4" w:space="0" w:color="auto"/>
              <w:right w:val="single" w:sz="4" w:space="0" w:color="auto"/>
            </w:tcBorders>
          </w:tcPr>
          <w:p w:rsidR="00EA73A7" w:rsidRDefault="00EA73A7" w:rsidP="000C316F">
            <w:pPr>
              <w:jc w:val="center"/>
              <w:cnfStyle w:val="000000100000" w:firstRow="0" w:lastRow="0" w:firstColumn="0" w:lastColumn="0" w:oddVBand="0" w:evenVBand="0" w:oddHBand="1" w:evenHBand="0" w:firstRowFirstColumn="0" w:firstRowLastColumn="0" w:lastRowFirstColumn="0" w:lastRowLastColumn="0"/>
            </w:pPr>
            <w:r>
              <w:t>4</w:t>
            </w:r>
          </w:p>
        </w:tc>
        <w:tc>
          <w:tcPr>
            <w:tcW w:w="3687" w:type="dxa"/>
            <w:tcBorders>
              <w:left w:val="single" w:sz="4" w:space="0" w:color="auto"/>
              <w:right w:val="single" w:sz="4" w:space="0" w:color="auto"/>
            </w:tcBorders>
          </w:tcPr>
          <w:p w:rsidR="00EA73A7" w:rsidRDefault="00EA73A7" w:rsidP="00EA73A7">
            <w:pPr>
              <w:cnfStyle w:val="000000100000" w:firstRow="0" w:lastRow="0" w:firstColumn="0" w:lastColumn="0" w:oddVBand="0" w:evenVBand="0" w:oddHBand="1" w:evenHBand="0" w:firstRowFirstColumn="0" w:firstRowLastColumn="0" w:lastRowFirstColumn="0" w:lastRowLastColumn="0"/>
            </w:pPr>
            <w:r>
              <w:t>Domestic currency per USD</w:t>
            </w:r>
          </w:p>
        </w:tc>
        <w:tc>
          <w:tcPr>
            <w:tcW w:w="2096" w:type="dxa"/>
            <w:tcBorders>
              <w:left w:val="single" w:sz="4" w:space="0" w:color="auto"/>
              <w:right w:val="single" w:sz="4" w:space="0" w:color="auto"/>
            </w:tcBorders>
          </w:tcPr>
          <w:p w:rsidR="00EA73A7" w:rsidRDefault="00EA73A7" w:rsidP="00EA73A7">
            <w:pPr>
              <w:jc w:val="center"/>
              <w:cnfStyle w:val="000000100000" w:firstRow="0" w:lastRow="0" w:firstColumn="0" w:lastColumn="0" w:oddVBand="0" w:evenVBand="0" w:oddHBand="1" w:evenHBand="0" w:firstRowFirstColumn="0" w:firstRowLastColumn="0" w:lastRowFirstColumn="0" w:lastRowLastColumn="0"/>
            </w:pPr>
            <w:r>
              <w:t>SLC</w:t>
            </w:r>
          </w:p>
        </w:tc>
      </w:tr>
      <w:tr w:rsidR="00A7595B" w:rsidTr="00A7595B">
        <w:tc>
          <w:tcPr>
            <w:cnfStyle w:val="001000000000" w:firstRow="0" w:lastRow="0" w:firstColumn="1" w:lastColumn="0" w:oddVBand="0" w:evenVBand="0" w:oddHBand="0" w:evenHBand="0" w:firstRowFirstColumn="0" w:firstRowLastColumn="0" w:lastRowFirstColumn="0" w:lastRowLastColumn="0"/>
            <w:tcW w:w="2407" w:type="dxa"/>
            <w:tcBorders>
              <w:left w:val="single" w:sz="4" w:space="0" w:color="auto"/>
              <w:right w:val="single" w:sz="4" w:space="0" w:color="auto"/>
            </w:tcBorders>
          </w:tcPr>
          <w:p w:rsidR="00EA73A7" w:rsidRDefault="00EA73A7">
            <w:r>
              <w:t>Fisheries</w:t>
            </w:r>
          </w:p>
        </w:tc>
        <w:tc>
          <w:tcPr>
            <w:tcW w:w="1160" w:type="dxa"/>
            <w:tcBorders>
              <w:left w:val="single" w:sz="4" w:space="0" w:color="auto"/>
              <w:right w:val="single" w:sz="4" w:space="0" w:color="auto"/>
            </w:tcBorders>
          </w:tcPr>
          <w:p w:rsidR="00EA73A7" w:rsidRDefault="00EA73A7" w:rsidP="000C316F">
            <w:pPr>
              <w:jc w:val="center"/>
              <w:cnfStyle w:val="000000000000" w:firstRow="0" w:lastRow="0" w:firstColumn="0" w:lastColumn="0" w:oddVBand="0" w:evenVBand="0" w:oddHBand="0" w:evenHBand="0" w:firstRowFirstColumn="0" w:firstRowLastColumn="0" w:lastRowFirstColumn="0" w:lastRowLastColumn="0"/>
            </w:pPr>
            <w:r>
              <w:t>10</w:t>
            </w:r>
          </w:p>
        </w:tc>
        <w:tc>
          <w:tcPr>
            <w:tcW w:w="3687" w:type="dxa"/>
            <w:tcBorders>
              <w:left w:val="single" w:sz="4" w:space="0" w:color="auto"/>
              <w:right w:val="single" w:sz="4" w:space="0" w:color="auto"/>
            </w:tcBorders>
          </w:tcPr>
          <w:p w:rsidR="00EA73A7" w:rsidRDefault="00EA73A7" w:rsidP="00EA73A7">
            <w:pPr>
              <w:cnfStyle w:val="000000000000" w:firstRow="0" w:lastRow="0" w:firstColumn="0" w:lastColumn="0" w:oddVBand="0" w:evenVBand="0" w:oddHBand="0" w:evenHBand="0" w:firstRowFirstColumn="0" w:firstRowLastColumn="0" w:lastRowFirstColumn="0" w:lastRowLastColumn="0"/>
            </w:pPr>
            <w:r>
              <w:t>Inverse (USD per domestic currency)</w:t>
            </w:r>
          </w:p>
        </w:tc>
        <w:tc>
          <w:tcPr>
            <w:tcW w:w="2096" w:type="dxa"/>
            <w:tcBorders>
              <w:left w:val="single" w:sz="4" w:space="0" w:color="auto"/>
              <w:right w:val="single" w:sz="4" w:space="0" w:color="auto"/>
            </w:tcBorders>
          </w:tcPr>
          <w:p w:rsidR="00EA73A7" w:rsidRDefault="00EA73A7" w:rsidP="00EA73A7">
            <w:pPr>
              <w:jc w:val="center"/>
              <w:cnfStyle w:val="000000000000" w:firstRow="0" w:lastRow="0" w:firstColumn="0" w:lastColumn="0" w:oddVBand="0" w:evenVBand="0" w:oddHBand="0" w:evenHBand="0" w:firstRowFirstColumn="0" w:firstRowLastColumn="0" w:lastRowFirstColumn="0" w:lastRowLastColumn="0"/>
            </w:pPr>
            <w:r>
              <w:t>LCU</w:t>
            </w:r>
          </w:p>
        </w:tc>
      </w:tr>
      <w:tr w:rsidR="00A7595B" w:rsidTr="00A7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left w:val="single" w:sz="4" w:space="0" w:color="auto"/>
              <w:bottom w:val="single" w:sz="4" w:space="0" w:color="auto"/>
              <w:right w:val="single" w:sz="4" w:space="0" w:color="auto"/>
            </w:tcBorders>
          </w:tcPr>
          <w:p w:rsidR="00EA73A7" w:rsidRDefault="00EA73A7">
            <w:r>
              <w:t>Trade (Clfs team)</w:t>
            </w:r>
          </w:p>
        </w:tc>
        <w:tc>
          <w:tcPr>
            <w:tcW w:w="1160" w:type="dxa"/>
            <w:tcBorders>
              <w:left w:val="single" w:sz="4" w:space="0" w:color="auto"/>
              <w:bottom w:val="single" w:sz="4" w:space="0" w:color="auto"/>
              <w:right w:val="single" w:sz="4" w:space="0" w:color="auto"/>
            </w:tcBorders>
          </w:tcPr>
          <w:p w:rsidR="00EA73A7" w:rsidRDefault="00EA73A7" w:rsidP="000C316F">
            <w:pPr>
              <w:jc w:val="center"/>
              <w:cnfStyle w:val="000000100000" w:firstRow="0" w:lastRow="0" w:firstColumn="0" w:lastColumn="0" w:oddVBand="0" w:evenVBand="0" w:oddHBand="1" w:evenHBand="0" w:firstRowFirstColumn="0" w:firstRowLastColumn="0" w:lastRowFirstColumn="0" w:lastRowLastColumn="0"/>
            </w:pPr>
            <w:r>
              <w:t>6</w:t>
            </w:r>
          </w:p>
        </w:tc>
        <w:tc>
          <w:tcPr>
            <w:tcW w:w="3687" w:type="dxa"/>
            <w:tcBorders>
              <w:left w:val="single" w:sz="4" w:space="0" w:color="auto"/>
              <w:bottom w:val="single" w:sz="4" w:space="0" w:color="auto"/>
              <w:right w:val="single" w:sz="4" w:space="0" w:color="auto"/>
            </w:tcBorders>
          </w:tcPr>
          <w:p w:rsidR="00EA73A7" w:rsidRDefault="00EA73A7" w:rsidP="00EA73A7">
            <w:pPr>
              <w:cnfStyle w:val="000000100000" w:firstRow="0" w:lastRow="0" w:firstColumn="0" w:lastColumn="0" w:oddVBand="0" w:evenVBand="0" w:oddHBand="1" w:evenHBand="0" w:firstRowFirstColumn="0" w:firstRowLastColumn="0" w:lastRowFirstColumn="0" w:lastRowLastColumn="0"/>
            </w:pPr>
            <w:r>
              <w:t>Inverse (USD per domestic currency)</w:t>
            </w:r>
          </w:p>
        </w:tc>
        <w:tc>
          <w:tcPr>
            <w:tcW w:w="2096" w:type="dxa"/>
            <w:tcBorders>
              <w:left w:val="single" w:sz="4" w:space="0" w:color="auto"/>
              <w:bottom w:val="single" w:sz="4" w:space="0" w:color="auto"/>
              <w:right w:val="single" w:sz="4" w:space="0" w:color="auto"/>
            </w:tcBorders>
          </w:tcPr>
          <w:p w:rsidR="00EA73A7" w:rsidRDefault="00D26446" w:rsidP="00D26446">
            <w:pPr>
              <w:jc w:val="center"/>
              <w:cnfStyle w:val="000000100000" w:firstRow="0" w:lastRow="0" w:firstColumn="0" w:lastColumn="0" w:oddVBand="0" w:evenVBand="0" w:oddHBand="1" w:evenHBand="0" w:firstRowFirstColumn="0" w:firstRowLastColumn="0" w:lastRowFirstColumn="0" w:lastRowLastColumn="0"/>
            </w:pPr>
            <w:r>
              <w:t xml:space="preserve">Not applicable (only </w:t>
            </w:r>
            <w:r w:rsidR="00EA73A7">
              <w:t>Euro from 2000</w:t>
            </w:r>
            <w:r>
              <w:t>)</w:t>
            </w:r>
          </w:p>
        </w:tc>
      </w:tr>
    </w:tbl>
    <w:p w:rsidR="004B40AF" w:rsidRDefault="004B40AF"/>
    <w:p w:rsidR="004B40AF" w:rsidRDefault="004B40AF">
      <w:r>
        <w:t xml:space="preserve">The points listed need to be discussed and the content of the Exchange rate dataset in the common domain must be agreed accordingly. </w:t>
      </w:r>
    </w:p>
    <w:p w:rsidR="004B40AF" w:rsidRDefault="004B40AF">
      <w:r>
        <w:t>Having a single dataset from where all teams can extract exchange rates will also ensure the consistency of the source used, the number of digits available and, more generally, of the values. Table 2 report</w:t>
      </w:r>
      <w:r w:rsidR="005F4459">
        <w:t>s</w:t>
      </w:r>
      <w:r>
        <w:t xml:space="preserve"> an example of the exchange rate value of the EUR/USD for 2015 (a datum that one would not expect to be problematic). Values in red highlight the inverse exchange rates. As it </w:t>
      </w:r>
      <w:r w:rsidR="00F8704C">
        <w:t>is shown, d</w:t>
      </w:r>
      <w:r>
        <w:t>ifferences among the values are not imputable only to different rounding.</w:t>
      </w:r>
      <w:r w:rsidR="00F8704C">
        <w:t xml:space="preserve"> The final output would indeed benefit of a unique source.</w:t>
      </w:r>
    </w:p>
    <w:p w:rsidR="004B40AF" w:rsidRDefault="004B40AF" w:rsidP="004B40AF">
      <w:pPr>
        <w:pStyle w:val="Caption"/>
        <w:keepNext/>
      </w:pPr>
      <w:r>
        <w:t xml:space="preserve">Table </w:t>
      </w:r>
      <w:fldSimple w:instr=" SEQ Table \* ARABIC ">
        <w:r w:rsidR="00332D06">
          <w:rPr>
            <w:noProof/>
          </w:rPr>
          <w:t>2</w:t>
        </w:r>
      </w:fldSimple>
      <w:r>
        <w:t xml:space="preserve"> Example of</w:t>
      </w:r>
      <w:r w:rsidR="00F8704C">
        <w:t xml:space="preserve"> EUR/USD</w:t>
      </w:r>
      <w:r>
        <w:t xml:space="preserve"> extraction rates</w:t>
      </w:r>
      <w:r w:rsidR="00F8704C">
        <w:t xml:space="preserve"> reported for year 2015. Last available data for all sources.</w:t>
      </w:r>
    </w:p>
    <w:tbl>
      <w:tblPr>
        <w:tblStyle w:val="TableGrid"/>
        <w:tblW w:w="10490" w:type="dxa"/>
        <w:tblInd w:w="-714" w:type="dxa"/>
        <w:tblLook w:val="04A0" w:firstRow="1" w:lastRow="0" w:firstColumn="1" w:lastColumn="0" w:noHBand="0" w:noVBand="1"/>
      </w:tblPr>
      <w:tblGrid>
        <w:gridCol w:w="705"/>
        <w:gridCol w:w="1889"/>
        <w:gridCol w:w="1943"/>
        <w:gridCol w:w="1275"/>
        <w:gridCol w:w="1418"/>
        <w:gridCol w:w="1984"/>
        <w:gridCol w:w="1276"/>
      </w:tblGrid>
      <w:tr w:rsidR="00701F0C" w:rsidTr="00701F0C">
        <w:tc>
          <w:tcPr>
            <w:tcW w:w="705" w:type="dxa"/>
          </w:tcPr>
          <w:p w:rsidR="00B861EA" w:rsidRPr="00701F0C" w:rsidRDefault="00701F0C">
            <w:pPr>
              <w:rPr>
                <w:b/>
                <w:sz w:val="20"/>
                <w:szCs w:val="20"/>
              </w:rPr>
            </w:pPr>
            <w:r w:rsidRPr="00701F0C">
              <w:rPr>
                <w:b/>
                <w:sz w:val="20"/>
                <w:szCs w:val="20"/>
              </w:rPr>
              <w:t>XR year</w:t>
            </w:r>
          </w:p>
        </w:tc>
        <w:tc>
          <w:tcPr>
            <w:tcW w:w="1889" w:type="dxa"/>
          </w:tcPr>
          <w:p w:rsidR="00B861EA" w:rsidRPr="00701F0C" w:rsidRDefault="00B861EA">
            <w:pPr>
              <w:rPr>
                <w:b/>
                <w:sz w:val="20"/>
                <w:szCs w:val="20"/>
              </w:rPr>
            </w:pPr>
            <w:r w:rsidRPr="00701F0C">
              <w:rPr>
                <w:b/>
                <w:sz w:val="20"/>
                <w:szCs w:val="20"/>
              </w:rPr>
              <w:t>IMF</w:t>
            </w:r>
          </w:p>
        </w:tc>
        <w:tc>
          <w:tcPr>
            <w:tcW w:w="1943" w:type="dxa"/>
          </w:tcPr>
          <w:p w:rsidR="00B861EA" w:rsidRPr="00701F0C" w:rsidRDefault="00B861EA">
            <w:pPr>
              <w:rPr>
                <w:b/>
                <w:sz w:val="20"/>
                <w:szCs w:val="20"/>
              </w:rPr>
            </w:pPr>
            <w:r w:rsidRPr="00701F0C">
              <w:rPr>
                <w:b/>
                <w:sz w:val="20"/>
                <w:szCs w:val="20"/>
              </w:rPr>
              <w:t>Fisheries</w:t>
            </w:r>
          </w:p>
        </w:tc>
        <w:tc>
          <w:tcPr>
            <w:tcW w:w="1275" w:type="dxa"/>
          </w:tcPr>
          <w:p w:rsidR="00B861EA" w:rsidRPr="00701F0C" w:rsidRDefault="00B861EA">
            <w:pPr>
              <w:rPr>
                <w:b/>
                <w:sz w:val="20"/>
                <w:szCs w:val="20"/>
              </w:rPr>
            </w:pPr>
            <w:r w:rsidRPr="00701F0C">
              <w:rPr>
                <w:b/>
                <w:sz w:val="20"/>
                <w:szCs w:val="20"/>
              </w:rPr>
              <w:t>Trade (CLFS)</w:t>
            </w:r>
          </w:p>
        </w:tc>
        <w:tc>
          <w:tcPr>
            <w:tcW w:w="1418" w:type="dxa"/>
          </w:tcPr>
          <w:p w:rsidR="00B861EA" w:rsidRPr="00701F0C" w:rsidRDefault="00B861EA">
            <w:pPr>
              <w:rPr>
                <w:b/>
                <w:sz w:val="20"/>
                <w:szCs w:val="20"/>
              </w:rPr>
            </w:pPr>
            <w:r w:rsidRPr="00701F0C">
              <w:rPr>
                <w:b/>
                <w:sz w:val="20"/>
                <w:szCs w:val="20"/>
              </w:rPr>
              <w:t>FAOSTAT</w:t>
            </w:r>
          </w:p>
        </w:tc>
        <w:tc>
          <w:tcPr>
            <w:tcW w:w="1984" w:type="dxa"/>
          </w:tcPr>
          <w:p w:rsidR="00701F0C" w:rsidRDefault="00B861EA">
            <w:pPr>
              <w:rPr>
                <w:b/>
                <w:sz w:val="20"/>
                <w:szCs w:val="20"/>
              </w:rPr>
            </w:pPr>
            <w:r w:rsidRPr="00701F0C">
              <w:rPr>
                <w:b/>
                <w:sz w:val="20"/>
                <w:szCs w:val="20"/>
              </w:rPr>
              <w:t xml:space="preserve">UNSD </w:t>
            </w:r>
            <w:proofErr w:type="spellStart"/>
            <w:r w:rsidRPr="00701F0C">
              <w:rPr>
                <w:b/>
                <w:sz w:val="20"/>
                <w:szCs w:val="20"/>
              </w:rPr>
              <w:t>Xpop</w:t>
            </w:r>
            <w:proofErr w:type="spellEnd"/>
            <w:r w:rsidR="00701F0C">
              <w:rPr>
                <w:b/>
                <w:sz w:val="20"/>
                <w:szCs w:val="20"/>
              </w:rPr>
              <w:t xml:space="preserve"> </w:t>
            </w:r>
          </w:p>
          <w:p w:rsidR="00B861EA" w:rsidRPr="00701F0C" w:rsidRDefault="00701F0C">
            <w:pPr>
              <w:rPr>
                <w:b/>
                <w:sz w:val="20"/>
                <w:szCs w:val="20"/>
              </w:rPr>
            </w:pPr>
            <w:r>
              <w:rPr>
                <w:b/>
                <w:sz w:val="20"/>
                <w:szCs w:val="20"/>
              </w:rPr>
              <w:t>(Macro indicators)</w:t>
            </w:r>
          </w:p>
        </w:tc>
        <w:tc>
          <w:tcPr>
            <w:tcW w:w="1276" w:type="dxa"/>
          </w:tcPr>
          <w:p w:rsidR="00B861EA" w:rsidRPr="00701F0C" w:rsidRDefault="00B861EA">
            <w:pPr>
              <w:rPr>
                <w:b/>
                <w:sz w:val="20"/>
                <w:szCs w:val="20"/>
              </w:rPr>
            </w:pPr>
            <w:r w:rsidRPr="00701F0C">
              <w:rPr>
                <w:b/>
                <w:sz w:val="20"/>
                <w:szCs w:val="20"/>
              </w:rPr>
              <w:t>Data.un.org</w:t>
            </w:r>
          </w:p>
        </w:tc>
      </w:tr>
      <w:tr w:rsidR="00701F0C" w:rsidTr="00701F0C">
        <w:tc>
          <w:tcPr>
            <w:tcW w:w="705" w:type="dxa"/>
          </w:tcPr>
          <w:p w:rsidR="00B861EA" w:rsidRPr="00701F0C" w:rsidRDefault="00B861EA">
            <w:pPr>
              <w:rPr>
                <w:b/>
                <w:sz w:val="20"/>
                <w:szCs w:val="20"/>
              </w:rPr>
            </w:pPr>
            <w:r w:rsidRPr="00701F0C">
              <w:rPr>
                <w:b/>
                <w:sz w:val="20"/>
                <w:szCs w:val="20"/>
              </w:rPr>
              <w:t>2015</w:t>
            </w:r>
          </w:p>
        </w:tc>
        <w:tc>
          <w:tcPr>
            <w:tcW w:w="1889" w:type="dxa"/>
          </w:tcPr>
          <w:p w:rsidR="00B861EA" w:rsidRPr="00701F0C" w:rsidRDefault="00B861EA">
            <w:pPr>
              <w:rPr>
                <w:sz w:val="20"/>
                <w:szCs w:val="20"/>
              </w:rPr>
            </w:pPr>
            <w:r w:rsidRPr="00701F0C">
              <w:rPr>
                <w:sz w:val="20"/>
                <w:szCs w:val="20"/>
              </w:rPr>
              <w:t>0.901296423367096</w:t>
            </w:r>
          </w:p>
        </w:tc>
        <w:tc>
          <w:tcPr>
            <w:tcW w:w="1943" w:type="dxa"/>
          </w:tcPr>
          <w:p w:rsidR="00B861EA" w:rsidRPr="00701F0C" w:rsidRDefault="00B861EA">
            <w:pPr>
              <w:rPr>
                <w:color w:val="FF0000"/>
                <w:sz w:val="20"/>
                <w:szCs w:val="20"/>
              </w:rPr>
            </w:pPr>
            <w:r w:rsidRPr="00701F0C">
              <w:rPr>
                <w:color w:val="FF0000"/>
                <w:sz w:val="20"/>
                <w:szCs w:val="20"/>
              </w:rPr>
              <w:t>1.1095128906</w:t>
            </w:r>
            <w:r w:rsidR="00701F0C">
              <w:rPr>
                <w:color w:val="FF0000"/>
                <w:sz w:val="20"/>
                <w:szCs w:val="20"/>
              </w:rPr>
              <w:t xml:space="preserve"> = </w:t>
            </w:r>
            <w:r w:rsidR="00701F0C" w:rsidRPr="00701F0C">
              <w:rPr>
                <w:color w:val="FF0000"/>
                <w:sz w:val="20"/>
                <w:szCs w:val="20"/>
              </w:rPr>
              <w:t>1/0.</w:t>
            </w:r>
            <w:r w:rsidR="00701F0C">
              <w:rPr>
                <w:color w:val="FF0000"/>
                <w:sz w:val="20"/>
                <w:szCs w:val="20"/>
              </w:rPr>
              <w:t>9012964233670</w:t>
            </w:r>
          </w:p>
        </w:tc>
        <w:tc>
          <w:tcPr>
            <w:tcW w:w="1275" w:type="dxa"/>
          </w:tcPr>
          <w:p w:rsidR="00B861EA" w:rsidRPr="00701F0C" w:rsidRDefault="00B861EA">
            <w:pPr>
              <w:rPr>
                <w:color w:val="FF0000"/>
                <w:sz w:val="20"/>
                <w:szCs w:val="20"/>
              </w:rPr>
            </w:pPr>
            <w:r w:rsidRPr="00701F0C">
              <w:rPr>
                <w:color w:val="FF0000"/>
                <w:sz w:val="20"/>
                <w:szCs w:val="20"/>
              </w:rPr>
              <w:t>1.109625</w:t>
            </w:r>
          </w:p>
        </w:tc>
        <w:tc>
          <w:tcPr>
            <w:tcW w:w="1418" w:type="dxa"/>
          </w:tcPr>
          <w:p w:rsidR="00701F0C" w:rsidRDefault="00B861EA" w:rsidP="00B861EA">
            <w:pPr>
              <w:rPr>
                <w:sz w:val="20"/>
                <w:szCs w:val="20"/>
              </w:rPr>
            </w:pPr>
            <w:r w:rsidRPr="00701F0C">
              <w:rPr>
                <w:sz w:val="20"/>
                <w:szCs w:val="20"/>
              </w:rPr>
              <w:t xml:space="preserve">0.9017 </w:t>
            </w:r>
          </w:p>
          <w:p w:rsidR="00B861EA" w:rsidRPr="00701F0C" w:rsidRDefault="00B861EA" w:rsidP="00B861EA">
            <w:pPr>
              <w:rPr>
                <w:sz w:val="20"/>
                <w:szCs w:val="20"/>
              </w:rPr>
            </w:pPr>
            <w:r w:rsidRPr="00701F0C">
              <w:rPr>
                <w:sz w:val="20"/>
                <w:szCs w:val="20"/>
              </w:rPr>
              <w:t>(</w:t>
            </w:r>
            <w:r w:rsidR="00701F0C">
              <w:rPr>
                <w:sz w:val="20"/>
                <w:szCs w:val="20"/>
              </w:rPr>
              <w:t xml:space="preserve">all </w:t>
            </w:r>
            <w:r w:rsidRPr="00701F0C">
              <w:rPr>
                <w:sz w:val="20"/>
                <w:szCs w:val="20"/>
              </w:rPr>
              <w:t>countries)</w:t>
            </w:r>
          </w:p>
        </w:tc>
        <w:tc>
          <w:tcPr>
            <w:tcW w:w="1984" w:type="dxa"/>
          </w:tcPr>
          <w:p w:rsidR="00B861EA" w:rsidRPr="00701F0C" w:rsidRDefault="00B861EA">
            <w:pPr>
              <w:rPr>
                <w:sz w:val="20"/>
                <w:szCs w:val="20"/>
              </w:rPr>
            </w:pPr>
            <w:r w:rsidRPr="00701F0C">
              <w:rPr>
                <w:sz w:val="20"/>
                <w:szCs w:val="20"/>
              </w:rPr>
              <w:t>0.901658961641278</w:t>
            </w:r>
          </w:p>
        </w:tc>
        <w:tc>
          <w:tcPr>
            <w:tcW w:w="1276" w:type="dxa"/>
          </w:tcPr>
          <w:p w:rsidR="00B861EA" w:rsidRPr="00701F0C" w:rsidRDefault="00B861EA">
            <w:pPr>
              <w:rPr>
                <w:sz w:val="20"/>
                <w:szCs w:val="20"/>
              </w:rPr>
            </w:pPr>
            <w:r w:rsidRPr="00701F0C">
              <w:rPr>
                <w:sz w:val="20"/>
                <w:szCs w:val="20"/>
              </w:rPr>
              <w:t>0.90</w:t>
            </w:r>
            <w:r w:rsidR="00701F0C" w:rsidRPr="00701F0C">
              <w:rPr>
                <w:sz w:val="20"/>
                <w:szCs w:val="20"/>
              </w:rPr>
              <w:t>13</w:t>
            </w:r>
          </w:p>
        </w:tc>
      </w:tr>
    </w:tbl>
    <w:p w:rsidR="00B861EA" w:rsidRDefault="00701F0C">
      <w:r>
        <w:t xml:space="preserve"> </w:t>
      </w:r>
    </w:p>
    <w:p w:rsidR="005F4459" w:rsidRDefault="005F4459">
      <w:r>
        <w:t>The example in table 2 opens to a larger set of data identified as problematic when comparing the data in the Fisheries domain and in FAOSTAT.</w:t>
      </w:r>
    </w:p>
    <w:p w:rsidR="00B861EA" w:rsidRDefault="00F8704C">
      <w:r>
        <w:t>Comparing</w:t>
      </w:r>
      <w:r>
        <w:rPr>
          <w:rStyle w:val="FootnoteReference"/>
        </w:rPr>
        <w:footnoteReference w:id="2"/>
      </w:r>
      <w:r>
        <w:t xml:space="preserve"> the data by currency in the Fisheries domain (SWS Production environment) with the latest data published in FAOSTAT the following currency have shown </w:t>
      </w:r>
      <w:r w:rsidR="0047614A">
        <w:t>value differences above 0.1 (</w:t>
      </w:r>
      <w:r w:rsidR="005F4459">
        <w:t xml:space="preserve">i.e. </w:t>
      </w:r>
      <w:r w:rsidR="0047614A">
        <w:t>not</w:t>
      </w:r>
      <w:r w:rsidR="005F4459">
        <w:t xml:space="preserve"> ascribable to</w:t>
      </w:r>
      <w:r w:rsidR="0047614A">
        <w:t xml:space="preserve"> rounding issue</w:t>
      </w:r>
      <w:r w:rsidR="005F4459">
        <w:t>s</w:t>
      </w:r>
      <w:r w:rsidR="0047614A">
        <w:t>)</w:t>
      </w:r>
      <w:r>
        <w:t>:</w:t>
      </w:r>
    </w:p>
    <w:p w:rsidR="00F8704C" w:rsidRDefault="00F8704C">
      <w:r w:rsidRPr="00F8704C">
        <w:t xml:space="preserve">Australian Dollar, Chilean Peso, Cuban Peso, Egyptian Pound, Quetzal, Argentine Peso, Iraqi Dinar, Libyan Dinar, Moldovan </w:t>
      </w:r>
      <w:proofErr w:type="spellStart"/>
      <w:r w:rsidRPr="00F8704C">
        <w:t>Leu</w:t>
      </w:r>
      <w:proofErr w:type="spellEnd"/>
      <w:r w:rsidRPr="00F8704C">
        <w:t xml:space="preserve">, Kyat, Naira, Nuevo Sol, Lao Kip, New Israeli </w:t>
      </w:r>
      <w:proofErr w:type="spellStart"/>
      <w:r w:rsidRPr="00F8704C">
        <w:t>Sheqel</w:t>
      </w:r>
      <w:proofErr w:type="spellEnd"/>
      <w:r w:rsidRPr="00F8704C">
        <w:t xml:space="preserve">, Iceland </w:t>
      </w:r>
      <w:proofErr w:type="spellStart"/>
      <w:r w:rsidRPr="00F8704C">
        <w:t>Króna</w:t>
      </w:r>
      <w:proofErr w:type="spellEnd"/>
      <w:r w:rsidRPr="00F8704C">
        <w:t xml:space="preserve">, Somali Shilling, Hryvnia, Yemeni </w:t>
      </w:r>
      <w:proofErr w:type="spellStart"/>
      <w:r w:rsidRPr="00F8704C">
        <w:t>Rial</w:t>
      </w:r>
      <w:proofErr w:type="spellEnd"/>
      <w:r w:rsidRPr="00F8704C">
        <w:t xml:space="preserve">, CFA Franc BCEAO, Peso </w:t>
      </w:r>
      <w:proofErr w:type="spellStart"/>
      <w:r w:rsidRPr="00F8704C">
        <w:t>Uruguayo</w:t>
      </w:r>
      <w:proofErr w:type="spellEnd"/>
      <w:r w:rsidRPr="00F8704C">
        <w:t xml:space="preserve">, Dong, Congolese Franc, Czechoslovak Koruna, Ouguiya, Dobra, Ruble, Bolivar </w:t>
      </w:r>
      <w:proofErr w:type="spellStart"/>
      <w:r w:rsidRPr="00F8704C">
        <w:t>Fuerte</w:t>
      </w:r>
      <w:proofErr w:type="spellEnd"/>
      <w:r w:rsidRPr="00F8704C">
        <w:t>, Yemeni Dinar, Belarusian Ruble</w:t>
      </w:r>
      <w:r>
        <w:t>.</w:t>
      </w:r>
    </w:p>
    <w:p w:rsidR="0047614A" w:rsidRDefault="0047614A" w:rsidP="00913EAF">
      <w:r>
        <w:t xml:space="preserve">Sometimes value are completely incomparable, whereas sometimes it looks like a ‘scale’ problem. In the first case </w:t>
      </w:r>
      <w:r w:rsidR="00913EAF">
        <w:t xml:space="preserve">the more recent examples are </w:t>
      </w:r>
      <w:r>
        <w:t>the Iraqi Dinar (IQD</w:t>
      </w:r>
      <w:r w:rsidR="00913EAF">
        <w:t xml:space="preserve">, </w:t>
      </w:r>
      <w:r w:rsidR="00913EAF">
        <w:t xml:space="preserve">from 1970 until 2006 fisheries data are </w:t>
      </w:r>
      <w:r w:rsidR="00913EAF">
        <w:lastRenderedPageBreak/>
        <w:t>non-consistent with IMF</w:t>
      </w:r>
      <w:r>
        <w:t>)</w:t>
      </w:r>
      <w:r w:rsidR="00913EAF">
        <w:t xml:space="preserve"> and the </w:t>
      </w:r>
      <w:proofErr w:type="spellStart"/>
      <w:r w:rsidR="00913EAF">
        <w:t>Kiat</w:t>
      </w:r>
      <w:proofErr w:type="spellEnd"/>
      <w:r w:rsidR="00913EAF">
        <w:t xml:space="preserve"> (Myanmar, MMK). Scale problems have been spotted for example with the Belarusian Ruble (BYR,</w:t>
      </w:r>
      <w:r>
        <w:t xml:space="preserve"> </w:t>
      </w:r>
      <w:r w:rsidR="00913EAF">
        <w:t>F</w:t>
      </w:r>
      <w:r>
        <w:t>IAS data are 10,000 times smaller than the FAOSTAT published ones</w:t>
      </w:r>
      <w:r w:rsidR="00913EAF">
        <w:t>)</w:t>
      </w:r>
      <w:r>
        <w:t>.</w:t>
      </w:r>
    </w:p>
    <w:p w:rsidR="000C316F" w:rsidRDefault="00913EAF">
      <w:r>
        <w:t>Below there are screenshot of the EUR/USD example an</w:t>
      </w:r>
      <w:r w:rsidR="005F4459">
        <w:t>d peculiarities of each domain.</w:t>
      </w:r>
    </w:p>
    <w:p w:rsidR="000C316F" w:rsidRDefault="000C316F" w:rsidP="00EA73A7">
      <w:pPr>
        <w:pStyle w:val="Subtitle"/>
      </w:pPr>
      <w:r>
        <w:t>IMF</w:t>
      </w:r>
    </w:p>
    <w:p w:rsidR="00913EAF" w:rsidRDefault="000C316F" w:rsidP="00EA73A7">
      <w:pPr>
        <w:keepNext/>
      </w:pPr>
      <w:r>
        <w:t>Exchange rate</w:t>
      </w:r>
      <w:r w:rsidR="00EA73A7">
        <w:t>: domestic currency</w:t>
      </w:r>
      <w:r w:rsidR="0018350A">
        <w:t xml:space="preserve"> (LCU)</w:t>
      </w:r>
      <w:r w:rsidR="00EA73A7">
        <w:t xml:space="preserve"> per USD</w:t>
      </w:r>
      <w:r w:rsidR="00A02085">
        <w:t xml:space="preserve"> and also USD per LCU</w:t>
      </w:r>
      <w:r w:rsidR="00EA73A7">
        <w:t>, until</w:t>
      </w:r>
      <w:r w:rsidR="00D767D7">
        <w:t xml:space="preserve"> 14</w:t>
      </w:r>
      <w:r w:rsidR="00D767D7" w:rsidRPr="00D767D7">
        <w:rPr>
          <w:vertAlign w:val="superscript"/>
        </w:rPr>
        <w:t>th</w:t>
      </w:r>
      <w:r w:rsidR="00D767D7">
        <w:t xml:space="preserve"> decimal place</w:t>
      </w:r>
    </w:p>
    <w:p w:rsidR="00EA73A7" w:rsidRDefault="00D767D7" w:rsidP="00EA73A7">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92.8pt">
            <v:imagedata r:id="rId8" o:title="IMF_XR"/>
          </v:shape>
        </w:pict>
      </w:r>
    </w:p>
    <w:p w:rsidR="00711B20" w:rsidRDefault="00EA73A7" w:rsidP="00EA73A7">
      <w:pPr>
        <w:pStyle w:val="Caption"/>
      </w:pPr>
      <w:r>
        <w:t xml:space="preserve">Figure </w:t>
      </w:r>
      <w:fldSimple w:instr=" SEQ Figure \* ARABIC ">
        <w:r w:rsidR="00332D06">
          <w:rPr>
            <w:noProof/>
          </w:rPr>
          <w:t>1</w:t>
        </w:r>
      </w:fldSimple>
      <w:r>
        <w:t>: IMF publishe</w:t>
      </w:r>
      <w:r w:rsidR="00913EAF">
        <w:t>s</w:t>
      </w:r>
      <w:r>
        <w:t xml:space="preserve"> Domestic currency per USD</w:t>
      </w:r>
      <w:r w:rsidR="00CB77EE">
        <w:t xml:space="preserve"> rates</w:t>
      </w:r>
      <w:r w:rsidR="00913EAF">
        <w:t xml:space="preserve"> and inverse exchange rates. EUR/USD example of the first type.</w:t>
      </w:r>
    </w:p>
    <w:p w:rsidR="00EA73A7" w:rsidRDefault="00EA73A7" w:rsidP="00EA73A7">
      <w:pPr>
        <w:keepNext/>
      </w:pPr>
      <w:r>
        <w:rPr>
          <w:noProof/>
        </w:rPr>
        <w:drawing>
          <wp:inline distT="0" distB="0" distL="0" distR="0" wp14:anchorId="264EE4CC" wp14:editId="3BAC3C21">
            <wp:extent cx="5939155" cy="714375"/>
            <wp:effectExtent l="0" t="0" r="4445" b="9525"/>
            <wp:docPr id="1" name="Picture 1" descr="C:\Users\Taglionic\AppData\Local\Microsoft\Windows\INetCache\Content.Word\IMF_XR_LCUnotS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glionic\AppData\Local\Microsoft\Windows\INetCache\Content.Word\IMF_XR_LCUnotS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714375"/>
                    </a:xfrm>
                    <a:prstGeom prst="rect">
                      <a:avLst/>
                    </a:prstGeom>
                    <a:noFill/>
                    <a:ln>
                      <a:noFill/>
                    </a:ln>
                  </pic:spPr>
                </pic:pic>
              </a:graphicData>
            </a:graphic>
          </wp:inline>
        </w:drawing>
      </w:r>
    </w:p>
    <w:p w:rsidR="00D767D7" w:rsidRDefault="00EA73A7" w:rsidP="00EA73A7">
      <w:pPr>
        <w:pStyle w:val="Caption"/>
      </w:pPr>
      <w:r>
        <w:t xml:space="preserve">Figure </w:t>
      </w:r>
      <w:fldSimple w:instr=" SEQ Figure \* ARABIC ">
        <w:r w:rsidR="00332D06">
          <w:rPr>
            <w:noProof/>
          </w:rPr>
          <w:t>2</w:t>
        </w:r>
      </w:fldSimple>
      <w:r>
        <w:t xml:space="preserve"> IMF publishes data in domestic currency (LCU)</w:t>
      </w:r>
      <w:r w:rsidR="00913EAF">
        <w:t>. ITL and EUR example.</w:t>
      </w:r>
    </w:p>
    <w:p w:rsidR="00CB77EE" w:rsidRDefault="00CB77EE">
      <w:r>
        <w:br w:type="page"/>
      </w:r>
    </w:p>
    <w:p w:rsidR="00D767D7" w:rsidRDefault="00D767D7" w:rsidP="0018350A">
      <w:pPr>
        <w:pStyle w:val="Subtitle"/>
      </w:pPr>
      <w:r>
        <w:lastRenderedPageBreak/>
        <w:t>Fisheries</w:t>
      </w:r>
    </w:p>
    <w:p w:rsidR="00D767D7" w:rsidRDefault="0018350A">
      <w:r>
        <w:t>Exchange rate: USD</w:t>
      </w:r>
      <w:r>
        <w:t xml:space="preserve"> per </w:t>
      </w:r>
      <w:r>
        <w:t xml:space="preserve">domestic currency (LCU), until </w:t>
      </w:r>
      <w:r w:rsidR="000C316F">
        <w:t>10</w:t>
      </w:r>
      <w:r w:rsidR="000C316F" w:rsidRPr="000C316F">
        <w:rPr>
          <w:vertAlign w:val="superscript"/>
        </w:rPr>
        <w:t>th</w:t>
      </w:r>
      <w:r w:rsidR="000C316F">
        <w:t xml:space="preserve"> decimal place</w:t>
      </w:r>
    </w:p>
    <w:p w:rsidR="00913EAF" w:rsidRDefault="00D767D7" w:rsidP="00913EAF">
      <w:pPr>
        <w:keepNext/>
      </w:pPr>
      <w:r>
        <w:pict>
          <v:shape id="_x0000_i1028" type="#_x0000_t75" style="width:277.7pt;height:287.3pt">
            <v:imagedata r:id="rId10" o:title="FI_XR"/>
          </v:shape>
        </w:pict>
      </w:r>
    </w:p>
    <w:p w:rsidR="00D767D7" w:rsidRDefault="00913EAF" w:rsidP="00913EAF">
      <w:pPr>
        <w:pStyle w:val="Caption"/>
      </w:pPr>
      <w:r>
        <w:t xml:space="preserve">Figure </w:t>
      </w:r>
      <w:fldSimple w:instr=" SEQ Figure \* ARABIC ">
        <w:r w:rsidR="00332D06">
          <w:rPr>
            <w:noProof/>
          </w:rPr>
          <w:t>3</w:t>
        </w:r>
      </w:fldSimple>
      <w:r>
        <w:t xml:space="preserve"> FIAS uses inverse </w:t>
      </w:r>
      <w:r w:rsidRPr="000127EB">
        <w:t>exchange rates USD</w:t>
      </w:r>
      <w:r>
        <w:t xml:space="preserve"> per Domestic currency referring to LCU</w:t>
      </w:r>
      <w:r w:rsidRPr="000127EB">
        <w:t>. EUR/USD example</w:t>
      </w:r>
      <w:r>
        <w:t>, EUR series starts from 1999</w:t>
      </w:r>
      <w:r w:rsidRPr="000127EB">
        <w:t>.</w:t>
      </w:r>
    </w:p>
    <w:p w:rsidR="00913EAF" w:rsidRDefault="00913EAF">
      <w:r>
        <w:br w:type="page"/>
      </w:r>
    </w:p>
    <w:p w:rsidR="00D767D7" w:rsidRDefault="00D767D7" w:rsidP="0018350A">
      <w:pPr>
        <w:pStyle w:val="Subtitle"/>
      </w:pPr>
      <w:r>
        <w:lastRenderedPageBreak/>
        <w:t>Trade</w:t>
      </w:r>
      <w:r w:rsidR="0018350A">
        <w:t xml:space="preserve"> (CLFS team)</w:t>
      </w:r>
    </w:p>
    <w:p w:rsidR="00D767D7" w:rsidRDefault="0018350A">
      <w:r>
        <w:t>Exchange rate: USD per domestic currency</w:t>
      </w:r>
      <w:r>
        <w:t xml:space="preserve"> (EUR only)</w:t>
      </w:r>
      <w:r>
        <w:t xml:space="preserve">, until </w:t>
      </w:r>
      <w:r w:rsidR="000C316F">
        <w:t>6</w:t>
      </w:r>
      <w:r w:rsidR="000C316F" w:rsidRPr="000C316F">
        <w:rPr>
          <w:vertAlign w:val="superscript"/>
        </w:rPr>
        <w:t>th</w:t>
      </w:r>
      <w:r w:rsidR="000C316F">
        <w:t xml:space="preserve"> decimal place</w:t>
      </w:r>
    </w:p>
    <w:p w:rsidR="00D767D7" w:rsidRDefault="00D767D7"/>
    <w:p w:rsidR="00913EAF" w:rsidRDefault="00D767D7" w:rsidP="00913EAF">
      <w:pPr>
        <w:keepNext/>
      </w:pPr>
      <w:r>
        <w:pict>
          <v:shape id="_x0000_i1029" type="#_x0000_t75" style="width:308.55pt;height:237.95pt">
            <v:imagedata r:id="rId11" o:title="FBS_XR"/>
          </v:shape>
        </w:pict>
      </w:r>
    </w:p>
    <w:p w:rsidR="00CB77EE" w:rsidRDefault="00913EAF" w:rsidP="00CB77EE">
      <w:pPr>
        <w:pStyle w:val="Caption"/>
      </w:pPr>
      <w:r>
        <w:t xml:space="preserve">Figure </w:t>
      </w:r>
      <w:fldSimple w:instr=" SEQ Figure \* ARABIC ">
        <w:r w:rsidR="00332D06">
          <w:rPr>
            <w:noProof/>
          </w:rPr>
          <w:t>4</w:t>
        </w:r>
      </w:fldSimple>
      <w:r w:rsidR="00CB77EE">
        <w:t xml:space="preserve"> Trade CLFS team </w:t>
      </w:r>
      <w:r w:rsidR="00CB77EE">
        <w:t xml:space="preserve">uses inverse </w:t>
      </w:r>
      <w:r w:rsidR="00CB77EE" w:rsidRPr="000127EB">
        <w:t>exchange rates USD</w:t>
      </w:r>
      <w:r w:rsidR="00CB77EE">
        <w:t xml:space="preserve"> per Domestic currency </w:t>
      </w:r>
      <w:r w:rsidR="00CB77EE">
        <w:t>only for Euro</w:t>
      </w:r>
      <w:r w:rsidR="00CB77EE">
        <w:t xml:space="preserve"> start</w:t>
      </w:r>
      <w:r w:rsidR="00CB77EE">
        <w:t>ing</w:t>
      </w:r>
      <w:r w:rsidR="00CB77EE">
        <w:t xml:space="preserve"> from </w:t>
      </w:r>
      <w:r w:rsidR="00CB77EE">
        <w:t>2000</w:t>
      </w:r>
      <w:r w:rsidR="00CB77EE" w:rsidRPr="000127EB">
        <w:t>.</w:t>
      </w:r>
    </w:p>
    <w:p w:rsidR="00CB77EE" w:rsidRDefault="00CB77EE">
      <w:pPr>
        <w:rPr>
          <w:i/>
          <w:iCs/>
          <w:color w:val="44546A" w:themeColor="text2"/>
          <w:sz w:val="18"/>
          <w:szCs w:val="18"/>
        </w:rPr>
      </w:pPr>
      <w:r>
        <w:rPr>
          <w:i/>
          <w:iCs/>
          <w:color w:val="44546A" w:themeColor="text2"/>
          <w:sz w:val="18"/>
          <w:szCs w:val="18"/>
        </w:rPr>
        <w:br w:type="page"/>
      </w:r>
    </w:p>
    <w:p w:rsidR="00D767D7" w:rsidRDefault="00D767D7" w:rsidP="0018350A">
      <w:pPr>
        <w:pStyle w:val="Subtitle"/>
      </w:pPr>
      <w:r>
        <w:lastRenderedPageBreak/>
        <w:t>FAOSTAT</w:t>
      </w:r>
      <w:r w:rsidR="00CB77EE">
        <w:t xml:space="preserve"> (ECO team)</w:t>
      </w:r>
    </w:p>
    <w:p w:rsidR="00D767D7" w:rsidRDefault="0018350A">
      <w:r>
        <w:t>Exchange rate</w:t>
      </w:r>
      <w:r>
        <w:t>:</w:t>
      </w:r>
      <w:r>
        <w:t xml:space="preserve"> domestic currency</w:t>
      </w:r>
      <w:r>
        <w:t xml:space="preserve"> (SLC</w:t>
      </w:r>
      <w:r>
        <w:t>)</w:t>
      </w:r>
      <w:r>
        <w:t xml:space="preserve"> per USD</w:t>
      </w:r>
      <w:r>
        <w:t>, until</w:t>
      </w:r>
      <w:r>
        <w:t xml:space="preserve"> </w:t>
      </w:r>
      <w:r w:rsidR="000C316F">
        <w:t>4</w:t>
      </w:r>
      <w:r w:rsidR="000C316F" w:rsidRPr="000C316F">
        <w:rPr>
          <w:vertAlign w:val="superscript"/>
        </w:rPr>
        <w:t>th</w:t>
      </w:r>
      <w:r w:rsidR="000C316F">
        <w:t xml:space="preserve"> decimal place</w:t>
      </w:r>
    </w:p>
    <w:p w:rsidR="00CB77EE" w:rsidRDefault="00D767D7" w:rsidP="00CB77EE">
      <w:pPr>
        <w:keepNext/>
      </w:pPr>
      <w:r>
        <w:pict>
          <v:shape id="_x0000_i1030" type="#_x0000_t75" style="width:467.65pt;height:251.65pt">
            <v:imagedata r:id="rId12" o:title="FAOSTAT_XR"/>
          </v:shape>
        </w:pict>
      </w:r>
    </w:p>
    <w:p w:rsidR="00D767D7" w:rsidRDefault="00CB77EE" w:rsidP="00CB77EE">
      <w:pPr>
        <w:pStyle w:val="Caption"/>
      </w:pPr>
      <w:r>
        <w:t xml:space="preserve">Figure </w:t>
      </w:r>
      <w:fldSimple w:instr=" SEQ Figure \* ARABIC ">
        <w:r w:rsidR="00332D06">
          <w:rPr>
            <w:noProof/>
          </w:rPr>
          <w:t>5</w:t>
        </w:r>
      </w:fldSimple>
      <w:r>
        <w:t xml:space="preserve"> ECO team publishes exchange rates referring to SLC. Example of Italy with EUR/USD exchange rates from 1995 until 2019 (the series actually starts from 1970 as all the others).</w:t>
      </w:r>
    </w:p>
    <w:p w:rsidR="00BE2087" w:rsidRDefault="00BE2087"/>
    <w:p w:rsidR="00BE2087" w:rsidRDefault="00BE2087"/>
    <w:p w:rsidR="00CB77EE" w:rsidRDefault="00284E93" w:rsidP="00CB77EE">
      <w:pPr>
        <w:keepNext/>
      </w:pPr>
      <w:r>
        <w:lastRenderedPageBreak/>
        <w:pict>
          <v:shape id="_x0000_i1037" type="#_x0000_t75" style="width:467.65pt;height:309.95pt">
            <v:imagedata r:id="rId13" o:title="PP_XR_EUR"/>
          </v:shape>
        </w:pict>
      </w:r>
    </w:p>
    <w:p w:rsidR="00284E93" w:rsidRDefault="00CB77EE" w:rsidP="00CB77EE">
      <w:pPr>
        <w:pStyle w:val="Caption"/>
      </w:pPr>
      <w:r>
        <w:t xml:space="preserve">Figure </w:t>
      </w:r>
      <w:fldSimple w:instr=" SEQ Figure \* ARABIC ">
        <w:r w:rsidR="00332D06">
          <w:rPr>
            <w:noProof/>
          </w:rPr>
          <w:t>6</w:t>
        </w:r>
      </w:fldSimple>
      <w:r>
        <w:t xml:space="preserve"> Country specific EUR/USD exchange rates in year 2000. Countries not yet in the Euro Area have different values due to the SLC approach.</w:t>
      </w:r>
    </w:p>
    <w:p w:rsidR="00B861EA" w:rsidRDefault="00B861EA" w:rsidP="00BE2087"/>
    <w:p w:rsidR="00CB77EE" w:rsidRDefault="00CB77EE" w:rsidP="00CB77EE">
      <w:pPr>
        <w:pStyle w:val="Subtitle"/>
      </w:pPr>
      <w:r>
        <w:t>UNSD link!</w:t>
      </w:r>
    </w:p>
    <w:p w:rsidR="00B861EA" w:rsidRDefault="00CB77EE" w:rsidP="00BE2087">
      <w:r>
        <w:t>Depending on the method to download data from UNSD the data obtained are different. When using the API (</w:t>
      </w:r>
      <w:hyperlink r:id="rId14" w:history="1">
        <w:r w:rsidR="00B861EA" w:rsidRPr="00934BB6">
          <w:rPr>
            <w:rStyle w:val="Hyperlink"/>
          </w:rPr>
          <w:t>https://unstats.un.org/unsd/amaapi/api/file/30</w:t>
        </w:r>
      </w:hyperlink>
      <w:r>
        <w:t xml:space="preserve">) the results is the one published in FAOSTAT and used by the ECO team. When using the link </w:t>
      </w:r>
      <w:hyperlink r:id="rId15" w:history="1">
        <w:r w:rsidR="00B861EA" w:rsidRPr="00934BB6">
          <w:rPr>
            <w:rStyle w:val="Hyperlink"/>
          </w:rPr>
          <w:t>http://data.un.org/</w:t>
        </w:r>
      </w:hyperlink>
      <w:r>
        <w:t xml:space="preserve"> some data differ. E.g. exchange rate for Slovakia in 2015 from the API downloaded file is 0.90165896, the same rate from the file downloaded from </w:t>
      </w:r>
      <w:r w:rsidRPr="00CB77EE">
        <w:rPr>
          <w:rStyle w:val="Hyperlink"/>
        </w:rPr>
        <w:t>data.un.org</w:t>
      </w:r>
      <w:r>
        <w:t xml:space="preserve"> is 0.9013.</w:t>
      </w:r>
    </w:p>
    <w:p w:rsidR="008735CF" w:rsidRDefault="00B861EA" w:rsidP="008735CF">
      <w:pPr>
        <w:keepNext/>
      </w:pPr>
      <w:r>
        <w:pict>
          <v:shape id="_x0000_i1038" type="#_x0000_t75" style="width:467.65pt;height:70.65pt">
            <v:imagedata r:id="rId16" o:title="Slovakia2015"/>
          </v:shape>
        </w:pict>
      </w:r>
    </w:p>
    <w:p w:rsidR="00B861EA" w:rsidRPr="00BE2087" w:rsidRDefault="008735CF" w:rsidP="008735CF">
      <w:pPr>
        <w:pStyle w:val="Caption"/>
        <w:rPr>
          <w:rFonts w:hint="eastAsia"/>
        </w:rPr>
      </w:pPr>
      <w:r>
        <w:t xml:space="preserve">Figure </w:t>
      </w:r>
      <w:fldSimple w:instr=" SEQ Figure \* ARABIC ">
        <w:r w:rsidR="00332D06">
          <w:rPr>
            <w:noProof/>
          </w:rPr>
          <w:t>7</w:t>
        </w:r>
      </w:fldSimple>
      <w:r>
        <w:t xml:space="preserve"> UNSD exchange rates emerging inconsistency</w:t>
      </w:r>
    </w:p>
    <w:sectPr w:rsidR="00B861EA" w:rsidRPr="00BE2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F97" w:rsidRDefault="00514F97" w:rsidP="00A7595B">
      <w:pPr>
        <w:spacing w:after="0" w:line="240" w:lineRule="auto"/>
      </w:pPr>
      <w:r>
        <w:separator/>
      </w:r>
    </w:p>
  </w:endnote>
  <w:endnote w:type="continuationSeparator" w:id="0">
    <w:p w:rsidR="00514F97" w:rsidRDefault="00514F97" w:rsidP="00A75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F97" w:rsidRDefault="00514F97" w:rsidP="00A7595B">
      <w:pPr>
        <w:spacing w:after="0" w:line="240" w:lineRule="auto"/>
      </w:pPr>
      <w:r>
        <w:separator/>
      </w:r>
    </w:p>
  </w:footnote>
  <w:footnote w:type="continuationSeparator" w:id="0">
    <w:p w:rsidR="00514F97" w:rsidRDefault="00514F97" w:rsidP="00A7595B">
      <w:pPr>
        <w:spacing w:after="0" w:line="240" w:lineRule="auto"/>
      </w:pPr>
      <w:r>
        <w:continuationSeparator/>
      </w:r>
    </w:p>
  </w:footnote>
  <w:footnote w:id="1">
    <w:p w:rsidR="00A7595B" w:rsidRPr="00A7595B" w:rsidRDefault="00A7595B">
      <w:pPr>
        <w:pStyle w:val="FootnoteText"/>
        <w:rPr>
          <w:lang w:val="en-GB"/>
        </w:rPr>
      </w:pPr>
      <w:r>
        <w:rPr>
          <w:rStyle w:val="FootnoteReference"/>
        </w:rPr>
        <w:footnoteRef/>
      </w:r>
      <w:r>
        <w:t xml:space="preserve"> </w:t>
      </w:r>
      <w:r w:rsidR="004B40AF">
        <w:t>Note:</w:t>
      </w:r>
      <w:r w:rsidR="00D40EE7">
        <w:t xml:space="preserve"> This issue seems similar to the one encountered for Populati</w:t>
      </w:r>
      <w:bookmarkStart w:id="0" w:name="_GoBack"/>
      <w:bookmarkEnd w:id="0"/>
      <w:r w:rsidR="00D40EE7">
        <w:t>on data.</w:t>
      </w:r>
      <w:r>
        <w:rPr>
          <w:lang w:val="en-GB"/>
        </w:rPr>
        <w:t xml:space="preserve"> In FAOSTAT population data are disseminated according to the historical geopolitical structure, i.e. with breaks in the series as it happens with LCU, whereas UNSD publishes population data according to the current geopolitical structure, i.e. reconstructing time series avoiding breaks as with SLC.</w:t>
      </w:r>
      <w:r w:rsidR="004B40AF">
        <w:rPr>
          <w:lang w:val="en-GB"/>
        </w:rPr>
        <w:t xml:space="preserve"> </w:t>
      </w:r>
    </w:p>
  </w:footnote>
  <w:footnote w:id="2">
    <w:p w:rsidR="00F8704C" w:rsidRPr="00F8704C" w:rsidRDefault="00F8704C" w:rsidP="00F8704C">
      <w:r>
        <w:rPr>
          <w:rStyle w:val="FootnoteReference"/>
        </w:rPr>
        <w:footnoteRef/>
      </w:r>
      <w:r>
        <w:t xml:space="preserve"> </w:t>
      </w:r>
      <w:r>
        <w:t>The comparison has been made accounting for the fact that</w:t>
      </w:r>
      <w:r>
        <w:t xml:space="preserve"> FIAS uses inverse rates.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638B"/>
    <w:multiLevelType w:val="hybridMultilevel"/>
    <w:tmpl w:val="BA7A6E9A"/>
    <w:lvl w:ilvl="0" w:tplc="8C040B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57D23"/>
    <w:multiLevelType w:val="hybridMultilevel"/>
    <w:tmpl w:val="C04C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E"/>
    <w:rsid w:val="000A0C70"/>
    <w:rsid w:val="000C316F"/>
    <w:rsid w:val="0018350A"/>
    <w:rsid w:val="00284E93"/>
    <w:rsid w:val="00332D06"/>
    <w:rsid w:val="00337DD8"/>
    <w:rsid w:val="003617C1"/>
    <w:rsid w:val="0047614A"/>
    <w:rsid w:val="00495144"/>
    <w:rsid w:val="004B40AF"/>
    <w:rsid w:val="00514F97"/>
    <w:rsid w:val="005F4459"/>
    <w:rsid w:val="00701F0C"/>
    <w:rsid w:val="007B4A0E"/>
    <w:rsid w:val="008735CF"/>
    <w:rsid w:val="00913EAF"/>
    <w:rsid w:val="00A02085"/>
    <w:rsid w:val="00A7595B"/>
    <w:rsid w:val="00AC0942"/>
    <w:rsid w:val="00B861EA"/>
    <w:rsid w:val="00BE2087"/>
    <w:rsid w:val="00CB77EE"/>
    <w:rsid w:val="00CF2690"/>
    <w:rsid w:val="00D149DD"/>
    <w:rsid w:val="00D26446"/>
    <w:rsid w:val="00D40EE7"/>
    <w:rsid w:val="00D767D7"/>
    <w:rsid w:val="00DA0D90"/>
    <w:rsid w:val="00DF10E9"/>
    <w:rsid w:val="00EA73A7"/>
    <w:rsid w:val="00EE6671"/>
    <w:rsid w:val="00F158C7"/>
    <w:rsid w:val="00F8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D8D7"/>
  <w15:chartTrackingRefBased/>
  <w15:docId w15:val="{E1062035-2051-4E84-BCB0-A0DE4694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31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EA73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73A7"/>
    <w:rPr>
      <w:color w:val="5A5A5A" w:themeColor="text1" w:themeTint="A5"/>
      <w:spacing w:val="15"/>
    </w:rPr>
  </w:style>
  <w:style w:type="paragraph" w:styleId="Caption">
    <w:name w:val="caption"/>
    <w:basedOn w:val="Normal"/>
    <w:next w:val="Normal"/>
    <w:uiPriority w:val="35"/>
    <w:unhideWhenUsed/>
    <w:qFormat/>
    <w:rsid w:val="00EA73A7"/>
    <w:pPr>
      <w:spacing w:after="200" w:line="240" w:lineRule="auto"/>
    </w:pPr>
    <w:rPr>
      <w:i/>
      <w:iCs/>
      <w:color w:val="44546A" w:themeColor="text2"/>
      <w:sz w:val="18"/>
      <w:szCs w:val="18"/>
    </w:rPr>
  </w:style>
  <w:style w:type="character" w:styleId="Hyperlink">
    <w:name w:val="Hyperlink"/>
    <w:basedOn w:val="DefaultParagraphFont"/>
    <w:uiPriority w:val="99"/>
    <w:unhideWhenUsed/>
    <w:rsid w:val="00B861EA"/>
    <w:rPr>
      <w:color w:val="0563C1" w:themeColor="hyperlink"/>
      <w:u w:val="single"/>
    </w:rPr>
  </w:style>
  <w:style w:type="character" w:customStyle="1" w:styleId="Heading1Char">
    <w:name w:val="Heading 1 Char"/>
    <w:basedOn w:val="DefaultParagraphFont"/>
    <w:link w:val="Heading1"/>
    <w:uiPriority w:val="9"/>
    <w:rsid w:val="00EE66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0942"/>
    <w:pPr>
      <w:ind w:left="720"/>
      <w:contextualSpacing/>
    </w:pPr>
  </w:style>
  <w:style w:type="paragraph" w:styleId="FootnoteText">
    <w:name w:val="footnote text"/>
    <w:basedOn w:val="Normal"/>
    <w:link w:val="FootnoteTextChar"/>
    <w:uiPriority w:val="99"/>
    <w:semiHidden/>
    <w:unhideWhenUsed/>
    <w:rsid w:val="00A759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95B"/>
    <w:rPr>
      <w:sz w:val="20"/>
      <w:szCs w:val="20"/>
    </w:rPr>
  </w:style>
  <w:style w:type="character" w:styleId="FootnoteReference">
    <w:name w:val="footnote reference"/>
    <w:basedOn w:val="DefaultParagraphFont"/>
    <w:uiPriority w:val="99"/>
    <w:semiHidden/>
    <w:unhideWhenUsed/>
    <w:rsid w:val="00A7595B"/>
    <w:rPr>
      <w:vertAlign w:val="superscript"/>
    </w:rPr>
  </w:style>
  <w:style w:type="character" w:customStyle="1" w:styleId="Heading2Char">
    <w:name w:val="Heading 2 Char"/>
    <w:basedOn w:val="DefaultParagraphFont"/>
    <w:link w:val="Heading2"/>
    <w:uiPriority w:val="9"/>
    <w:rsid w:val="00D4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ata.un.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stats.un.org/unsd/amaapi/api/file/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5C8D-6F8F-4C73-8D27-726106CF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7</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Taglioni, Charlotte (ESS)</dc:creator>
  <cp:keywords/>
  <dc:description/>
  <cp:lastModifiedBy>Charlotte Taglioni</cp:lastModifiedBy>
  <cp:revision>9</cp:revision>
  <cp:lastPrinted>2020-09-21T17:37:00Z</cp:lastPrinted>
  <dcterms:created xsi:type="dcterms:W3CDTF">2020-09-21T08:20:00Z</dcterms:created>
  <dcterms:modified xsi:type="dcterms:W3CDTF">2020-09-21T17:38:00Z</dcterms:modified>
</cp:coreProperties>
</file>