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F33" w:rsidRPr="000F04BF" w:rsidRDefault="009E5C59" w:rsidP="000F04BF">
      <w:pPr>
        <w:pStyle w:val="Title"/>
        <w:rPr>
          <w:sz w:val="36"/>
          <w:szCs w:val="36"/>
        </w:rPr>
      </w:pPr>
      <w:bookmarkStart w:id="0" w:name="_GoBack"/>
      <w:bookmarkEnd w:id="0"/>
      <w:r w:rsidRPr="00C61357">
        <w:rPr>
          <w:sz w:val="48"/>
        </w:rPr>
        <w:t>Quality</w:t>
      </w:r>
      <w:r w:rsidRPr="0038278A">
        <w:rPr>
          <w:sz w:val="44"/>
        </w:rPr>
        <w:t xml:space="preserve"> indicators</w:t>
      </w:r>
      <w:r w:rsidR="00B87B16">
        <w:rPr>
          <w:sz w:val="44"/>
        </w:rPr>
        <w:t xml:space="preserve"> </w:t>
      </w:r>
      <w:r w:rsidR="00B87B16" w:rsidRPr="00B87B16">
        <w:rPr>
          <w:color w:val="FF0000"/>
          <w:sz w:val="44"/>
        </w:rPr>
        <w:t>(draft)</w:t>
      </w:r>
      <w:r w:rsidRPr="0038278A">
        <w:rPr>
          <w:sz w:val="44"/>
        </w:rPr>
        <w:t xml:space="preserve"> </w:t>
      </w:r>
      <w:r w:rsidRPr="0038278A">
        <w:rPr>
          <w:sz w:val="44"/>
        </w:rPr>
        <w:br/>
      </w:r>
      <w:r w:rsidRPr="00C61357">
        <w:rPr>
          <w:sz w:val="36"/>
          <w:szCs w:val="36"/>
        </w:rPr>
        <w:t>FAO ESS review for questionnaire-based FAOSTAT domains</w:t>
      </w:r>
    </w:p>
    <w:p w:rsidR="009E5C59" w:rsidRPr="00DB425F" w:rsidRDefault="00DB425F" w:rsidP="000F04BF">
      <w:pPr>
        <w:spacing w:before="120" w:after="80"/>
      </w:pPr>
      <w:r w:rsidRPr="00DB425F">
        <w:t>Javier Montero-Serrano, Irina Kovrova and Jean Marie V. Munyeshyaka</w:t>
      </w:r>
      <w:r w:rsidR="007F5610">
        <w:br/>
        <w:t xml:space="preserve">FAO ESS. </w:t>
      </w:r>
      <w:r w:rsidR="003F5F94">
        <w:t>June</w:t>
      </w:r>
      <w:r w:rsidR="00784F33">
        <w:t xml:space="preserve"> 201</w:t>
      </w:r>
      <w:r w:rsidR="00FB0B62">
        <w:t>9</w:t>
      </w:r>
    </w:p>
    <w:p w:rsidR="009E5C59" w:rsidRDefault="000A0FB8" w:rsidP="000F04BF">
      <w:pPr>
        <w:pStyle w:val="Heading1"/>
        <w:spacing w:before="240"/>
        <w:ind w:left="431" w:hanging="431"/>
      </w:pPr>
      <w:r>
        <w:t>Scope</w:t>
      </w:r>
    </w:p>
    <w:p w:rsidR="000A0FB8" w:rsidRDefault="000A0FB8" w:rsidP="00B33270">
      <w:pPr>
        <w:spacing w:after="120"/>
        <w:jc w:val="both"/>
      </w:pPr>
      <w:r w:rsidRPr="00AB45B3">
        <w:t>The FAO Statistics Quality Assurance Framework (SQAF</w:t>
      </w:r>
      <w:r>
        <w:t>) (FAO, 2014</w:t>
      </w:r>
      <w:r w:rsidRPr="00AB45B3">
        <w:t>)</w:t>
      </w:r>
      <w:r>
        <w:t xml:space="preserve"> distinguishes three </w:t>
      </w:r>
      <w:r w:rsidR="000F04BF">
        <w:t xml:space="preserve">quality </w:t>
      </w:r>
      <w:r>
        <w:t xml:space="preserve">areas. </w:t>
      </w:r>
      <w:r w:rsidRPr="009600DB">
        <w:t xml:space="preserve">This report focuses on </w:t>
      </w:r>
      <w:r w:rsidR="00FC6534">
        <w:t xml:space="preserve">one </w:t>
      </w:r>
      <w:r w:rsidR="000F04BF">
        <w:t xml:space="preserve">of them, </w:t>
      </w:r>
      <w:r w:rsidRPr="009600DB">
        <w:t xml:space="preserve">the area </w:t>
      </w:r>
      <w:r w:rsidR="000F04BF">
        <w:t xml:space="preserve">of </w:t>
      </w:r>
      <w:r w:rsidRPr="009600DB">
        <w:t>Statistical Outputs</w:t>
      </w:r>
      <w:r w:rsidR="00FC6534">
        <w:t>:</w:t>
      </w:r>
    </w:p>
    <w:p w:rsidR="000A0FB8" w:rsidRPr="000A0FB8" w:rsidRDefault="000A0FB8" w:rsidP="008F27CB">
      <w:pPr>
        <w:pStyle w:val="ListParagraph"/>
        <w:numPr>
          <w:ilvl w:val="0"/>
          <w:numId w:val="8"/>
        </w:numPr>
        <w:jc w:val="both"/>
        <w:rPr>
          <w:b/>
        </w:rPr>
      </w:pPr>
      <w:r w:rsidRPr="000A0FB8">
        <w:rPr>
          <w:b/>
        </w:rPr>
        <w:t>Statistical Outputs</w:t>
      </w:r>
    </w:p>
    <w:p w:rsidR="000A0FB8" w:rsidRDefault="000A0FB8" w:rsidP="008F27CB">
      <w:pPr>
        <w:pStyle w:val="ListParagraph"/>
        <w:numPr>
          <w:ilvl w:val="0"/>
          <w:numId w:val="7"/>
        </w:numPr>
        <w:jc w:val="both"/>
      </w:pPr>
      <w:r w:rsidRPr="00AB45B3">
        <w:t>Statistical Processes</w:t>
      </w:r>
    </w:p>
    <w:p w:rsidR="000A0FB8" w:rsidRDefault="000A0FB8" w:rsidP="008F27CB">
      <w:pPr>
        <w:pStyle w:val="ListParagraph"/>
        <w:numPr>
          <w:ilvl w:val="0"/>
          <w:numId w:val="7"/>
        </w:numPr>
        <w:spacing w:after="120"/>
        <w:ind w:left="714" w:hanging="357"/>
        <w:jc w:val="both"/>
      </w:pPr>
      <w:r w:rsidRPr="00AB45B3">
        <w:t>Institutional Environment.</w:t>
      </w:r>
      <w:r>
        <w:t xml:space="preserve"> </w:t>
      </w:r>
    </w:p>
    <w:p w:rsidR="000A0FB8" w:rsidRDefault="000F04BF" w:rsidP="00B33270">
      <w:pPr>
        <w:spacing w:after="120"/>
        <w:jc w:val="both"/>
      </w:pPr>
      <w:r>
        <w:t xml:space="preserve">Within the area </w:t>
      </w:r>
      <w:r w:rsidR="00FC6534">
        <w:t>‘</w:t>
      </w:r>
      <w:r w:rsidRPr="00AB45B3">
        <w:t>Statistical Outputs</w:t>
      </w:r>
      <w:r w:rsidR="00FC6534">
        <w:t>’</w:t>
      </w:r>
      <w:r>
        <w:t>, t</w:t>
      </w:r>
      <w:r w:rsidR="000A0FB8" w:rsidRPr="00AB45B3">
        <w:t>he FAO SQAF</w:t>
      </w:r>
      <w:r w:rsidR="000A0FB8">
        <w:t xml:space="preserve"> distinguishes five dimensions/principles. </w:t>
      </w:r>
      <w:r w:rsidR="000A0FB8" w:rsidRPr="00AB45B3">
        <w:t xml:space="preserve">This </w:t>
      </w:r>
      <w:r w:rsidR="000A0FB8">
        <w:t>review</w:t>
      </w:r>
      <w:r w:rsidR="000A0FB8" w:rsidRPr="00AB45B3">
        <w:t xml:space="preserve"> focuses on </w:t>
      </w:r>
      <w:r w:rsidR="000A0FB8">
        <w:t xml:space="preserve">principle 2: </w:t>
      </w:r>
      <w:r w:rsidR="000A0FB8" w:rsidRPr="009600DB">
        <w:t>Accuracy and Reliability</w:t>
      </w:r>
      <w:r w:rsidR="000A0FB8">
        <w:t>.</w:t>
      </w:r>
    </w:p>
    <w:p w:rsidR="000A0FB8" w:rsidRDefault="000A0FB8" w:rsidP="008F27CB">
      <w:pPr>
        <w:pStyle w:val="ListParagraph"/>
        <w:numPr>
          <w:ilvl w:val="0"/>
          <w:numId w:val="9"/>
        </w:numPr>
        <w:jc w:val="both"/>
      </w:pPr>
      <w:r>
        <w:t>Relevance</w:t>
      </w:r>
    </w:p>
    <w:p w:rsidR="000A0FB8" w:rsidRPr="000A0FB8" w:rsidRDefault="000A0FB8" w:rsidP="008F27CB">
      <w:pPr>
        <w:pStyle w:val="ListParagraph"/>
        <w:numPr>
          <w:ilvl w:val="0"/>
          <w:numId w:val="10"/>
        </w:numPr>
        <w:jc w:val="both"/>
        <w:rPr>
          <w:b/>
        </w:rPr>
      </w:pPr>
      <w:r w:rsidRPr="000A0FB8">
        <w:rPr>
          <w:b/>
        </w:rPr>
        <w:t>Accuracy and Reliability</w:t>
      </w:r>
    </w:p>
    <w:p w:rsidR="000A0FB8" w:rsidRDefault="000A0FB8" w:rsidP="008F27CB">
      <w:pPr>
        <w:pStyle w:val="ListParagraph"/>
        <w:numPr>
          <w:ilvl w:val="0"/>
          <w:numId w:val="9"/>
        </w:numPr>
        <w:jc w:val="both"/>
      </w:pPr>
      <w:r>
        <w:t>Timeliness and Punctuality</w:t>
      </w:r>
    </w:p>
    <w:p w:rsidR="000A0FB8" w:rsidRDefault="000A0FB8" w:rsidP="008F27CB">
      <w:pPr>
        <w:pStyle w:val="ListParagraph"/>
        <w:numPr>
          <w:ilvl w:val="0"/>
          <w:numId w:val="9"/>
        </w:numPr>
        <w:jc w:val="both"/>
      </w:pPr>
      <w:r>
        <w:t>Coherence and Comparability</w:t>
      </w:r>
    </w:p>
    <w:p w:rsidR="000A0FB8" w:rsidRDefault="000A0FB8" w:rsidP="008F27CB">
      <w:pPr>
        <w:pStyle w:val="ListParagraph"/>
        <w:numPr>
          <w:ilvl w:val="0"/>
          <w:numId w:val="9"/>
        </w:numPr>
        <w:spacing w:after="120"/>
        <w:ind w:left="714" w:hanging="357"/>
        <w:jc w:val="both"/>
      </w:pPr>
      <w:r>
        <w:t>Accessibility and Clarity</w:t>
      </w:r>
    </w:p>
    <w:p w:rsidR="000A0FB8" w:rsidRDefault="0080496F" w:rsidP="000A0FB8">
      <w:pPr>
        <w:jc w:val="both"/>
      </w:pPr>
      <w:r>
        <w:t>T</w:t>
      </w:r>
      <w:r w:rsidR="00D5293D">
        <w:t>he</w:t>
      </w:r>
      <w:r w:rsidR="000F04BF">
        <w:t xml:space="preserve"> FAO </w:t>
      </w:r>
      <w:r w:rsidR="000F04BF" w:rsidRPr="000F04BF">
        <w:t xml:space="preserve">Statistics Coordination Portal </w:t>
      </w:r>
      <w:r w:rsidR="000F04BF">
        <w:t>(</w:t>
      </w:r>
      <w:r w:rsidR="000F04BF" w:rsidRPr="000F04BF">
        <w:t>http://intranet.fao.org/statistics_coordination_portal/</w:t>
      </w:r>
      <w:r w:rsidR="000F04BF">
        <w:t>) provides other relevant documentation for quality compliance</w:t>
      </w:r>
      <w:r>
        <w:t>, in addition to the SQAF</w:t>
      </w:r>
      <w:r w:rsidR="000F04BF">
        <w:t xml:space="preserve">. </w:t>
      </w:r>
      <w:r>
        <w:t xml:space="preserve">One of these documents is </w:t>
      </w:r>
      <w:r w:rsidR="000A0FB8">
        <w:t>“Reporting on Data Quality Principles, Standards &amp; Recommendations” (FAO, 2011)</w:t>
      </w:r>
      <w:r w:rsidR="000F04BF">
        <w:t xml:space="preserve">, which </w:t>
      </w:r>
      <w:r w:rsidR="000A0FB8">
        <w:t>in annex 1</w:t>
      </w:r>
      <w:r w:rsidR="000F04BF">
        <w:t xml:space="preserve"> proposes</w:t>
      </w:r>
      <w:r w:rsidR="000A0FB8">
        <w:t xml:space="preserve"> the indicators listed below for “Accuracy and Reliability”</w:t>
      </w:r>
      <w:r w:rsidR="000F04BF">
        <w:rPr>
          <w:rStyle w:val="FootnoteReference"/>
        </w:rPr>
        <w:footnoteReference w:id="1"/>
      </w:r>
      <w:r w:rsidR="000A0FB8">
        <w:t xml:space="preserve">. </w:t>
      </w:r>
      <w:r w:rsidR="000A0FB8" w:rsidRPr="000A0FB8">
        <w:t xml:space="preserve">This review will focus on </w:t>
      </w:r>
      <w:r w:rsidR="000A0FB8">
        <w:t>three</w:t>
      </w:r>
      <w:r w:rsidR="000A0FB8" w:rsidRPr="000A0FB8">
        <w:t xml:space="preserve"> of them: </w:t>
      </w:r>
      <w:r w:rsidR="000A0FB8">
        <w:t>r</w:t>
      </w:r>
      <w:r w:rsidR="000A0FB8" w:rsidRPr="000A0FB8">
        <w:t>esponse rate</w:t>
      </w:r>
      <w:r w:rsidR="000A0FB8">
        <w:t>, p</w:t>
      </w:r>
      <w:r w:rsidR="000A0FB8" w:rsidRPr="000A0FB8">
        <w:t>roportion of imputed data points</w:t>
      </w:r>
      <w:r w:rsidR="000A0FB8">
        <w:t xml:space="preserve">, and </w:t>
      </w:r>
      <w:r w:rsidR="000A0FB8" w:rsidRPr="000A0FB8">
        <w:t>ratio of the value of imputations</w:t>
      </w:r>
      <w:r w:rsidR="000A0FB8">
        <w:t>.</w:t>
      </w:r>
    </w:p>
    <w:p w:rsidR="000A0FB8" w:rsidRDefault="000A0FB8" w:rsidP="008F27CB">
      <w:pPr>
        <w:pStyle w:val="ListParagraph"/>
        <w:numPr>
          <w:ilvl w:val="0"/>
          <w:numId w:val="11"/>
        </w:numPr>
        <w:jc w:val="both"/>
      </w:pPr>
      <w:r>
        <w:t>Expected variation of survey estimates resulting from random sampling (coefficient of variation)</w:t>
      </w:r>
    </w:p>
    <w:p w:rsidR="000A0FB8" w:rsidRPr="000A0FB8" w:rsidRDefault="000A0FB8" w:rsidP="008F27CB">
      <w:pPr>
        <w:pStyle w:val="ListParagraph"/>
        <w:numPr>
          <w:ilvl w:val="0"/>
          <w:numId w:val="10"/>
        </w:numPr>
        <w:jc w:val="both"/>
        <w:rPr>
          <w:b/>
        </w:rPr>
      </w:pPr>
      <w:r w:rsidRPr="000A0FB8">
        <w:rPr>
          <w:b/>
        </w:rPr>
        <w:t>Response rate</w:t>
      </w:r>
    </w:p>
    <w:p w:rsidR="000A0FB8" w:rsidRPr="000A0FB8" w:rsidRDefault="000A0FB8" w:rsidP="008F27CB">
      <w:pPr>
        <w:pStyle w:val="ListParagraph"/>
        <w:numPr>
          <w:ilvl w:val="0"/>
          <w:numId w:val="10"/>
        </w:numPr>
        <w:jc w:val="both"/>
        <w:rPr>
          <w:b/>
        </w:rPr>
      </w:pPr>
      <w:r w:rsidRPr="000A0FB8">
        <w:rPr>
          <w:b/>
        </w:rPr>
        <w:t>Proportion of imputed data points</w:t>
      </w:r>
    </w:p>
    <w:p w:rsidR="000A0FB8" w:rsidRPr="000A0FB8" w:rsidRDefault="000A0FB8" w:rsidP="008F27CB">
      <w:pPr>
        <w:pStyle w:val="ListParagraph"/>
        <w:numPr>
          <w:ilvl w:val="0"/>
          <w:numId w:val="10"/>
        </w:numPr>
        <w:jc w:val="both"/>
        <w:rPr>
          <w:b/>
        </w:rPr>
      </w:pPr>
      <w:r w:rsidRPr="000A0FB8">
        <w:rPr>
          <w:b/>
        </w:rPr>
        <w:t>Ratio of the value of imputations</w:t>
      </w:r>
    </w:p>
    <w:p w:rsidR="000A0FB8" w:rsidRDefault="000A0FB8" w:rsidP="008F27CB">
      <w:pPr>
        <w:pStyle w:val="ListParagraph"/>
        <w:numPr>
          <w:ilvl w:val="0"/>
          <w:numId w:val="11"/>
        </w:numPr>
        <w:jc w:val="both"/>
      </w:pPr>
      <w:r>
        <w:t xml:space="preserve">Estimated Root Mean Squared Error of the imputed data </w:t>
      </w:r>
    </w:p>
    <w:p w:rsidR="000A0FB8" w:rsidRDefault="000A0FB8" w:rsidP="008F27CB">
      <w:pPr>
        <w:pStyle w:val="ListParagraph"/>
        <w:numPr>
          <w:ilvl w:val="0"/>
          <w:numId w:val="11"/>
        </w:numPr>
        <w:jc w:val="both"/>
      </w:pPr>
      <w:r>
        <w:t xml:space="preserve">Proportion of statistical discrepancy in the related totals </w:t>
      </w:r>
    </w:p>
    <w:p w:rsidR="000A0FB8" w:rsidRDefault="000A0FB8" w:rsidP="008F27CB">
      <w:pPr>
        <w:pStyle w:val="ListParagraph"/>
        <w:numPr>
          <w:ilvl w:val="0"/>
          <w:numId w:val="11"/>
        </w:numPr>
        <w:jc w:val="both"/>
      </w:pPr>
      <w:r>
        <w:t xml:space="preserve">Average relative size of revisions </w:t>
      </w:r>
    </w:p>
    <w:p w:rsidR="0054744A" w:rsidRDefault="000A0FB8" w:rsidP="00524879">
      <w:pPr>
        <w:pStyle w:val="ListParagraph"/>
        <w:numPr>
          <w:ilvl w:val="0"/>
          <w:numId w:val="11"/>
        </w:numPr>
        <w:spacing w:after="120"/>
        <w:ind w:left="714" w:hanging="357"/>
        <w:jc w:val="both"/>
      </w:pPr>
      <w:r>
        <w:t>Proportion of rejected source data</w:t>
      </w:r>
    </w:p>
    <w:p w:rsidR="000A0FB8" w:rsidRDefault="0080496F" w:rsidP="000A0FB8">
      <w:pPr>
        <w:pStyle w:val="Heading1"/>
      </w:pPr>
      <w:r>
        <w:lastRenderedPageBreak/>
        <w:t>Reference documents</w:t>
      </w:r>
    </w:p>
    <w:p w:rsidR="004E47DE" w:rsidRDefault="004E47DE" w:rsidP="004E47DE">
      <w:pPr>
        <w:jc w:val="both"/>
      </w:pPr>
      <w:r>
        <w:t xml:space="preserve">The three concepts selected for analysis </w:t>
      </w:r>
      <w:r w:rsidR="004566E5">
        <w:t xml:space="preserve">in this review </w:t>
      </w:r>
      <w:r>
        <w:t>(response rate, proportion of imputed data points, and ratio of the value of imputations) cover the variables used in the</w:t>
      </w:r>
      <w:r w:rsidRPr="00133FE4">
        <w:t xml:space="preserve"> </w:t>
      </w:r>
      <w:r w:rsidRPr="00162C31">
        <w:rPr>
          <w:b/>
        </w:rPr>
        <w:t>Programme Implementation Report 2016-17</w:t>
      </w:r>
      <w:r>
        <w:t xml:space="preserve"> (PIR) (FAO, 2018</w:t>
      </w:r>
      <w:r w:rsidR="00D64DAF">
        <w:t>a</w:t>
      </w:r>
      <w:r>
        <w:t xml:space="preserve">; p.125) for </w:t>
      </w:r>
      <w:r w:rsidRPr="00133FE4">
        <w:t xml:space="preserve">outcome </w:t>
      </w:r>
      <w:r>
        <w:t xml:space="preserve">indicator 2.4.A: </w:t>
      </w:r>
      <w:r w:rsidRPr="00133FE4">
        <w:t>“</w:t>
      </w:r>
      <w:r w:rsidRPr="0080496F">
        <w:rPr>
          <w:i/>
        </w:rPr>
        <w:t>Number of countries with improved response rates and/or quality of contributions</w:t>
      </w:r>
      <w:r>
        <w:t xml:space="preserve"> […]”. This outcome indicator is based on </w:t>
      </w:r>
      <w:r w:rsidRPr="00133FE4">
        <w:t xml:space="preserve">average response rates and average </w:t>
      </w:r>
      <w:r w:rsidRPr="00162C31">
        <w:rPr>
          <w:i/>
        </w:rPr>
        <w:t>quality</w:t>
      </w:r>
      <w:r w:rsidRPr="00133FE4">
        <w:t xml:space="preserve"> ratings</w:t>
      </w:r>
      <w:r>
        <w:t xml:space="preserve"> (</w:t>
      </w:r>
      <w:r w:rsidR="0080496F">
        <w:t>with</w:t>
      </w:r>
      <w:r>
        <w:t xml:space="preserve"> </w:t>
      </w:r>
      <w:r w:rsidR="0080496F" w:rsidRPr="0080496F">
        <w:rPr>
          <w:i/>
        </w:rPr>
        <w:t>completeness</w:t>
      </w:r>
      <w:r w:rsidR="0080496F">
        <w:t xml:space="preserve"> being </w:t>
      </w:r>
      <w:r w:rsidR="00E63412">
        <w:t xml:space="preserve">the </w:t>
      </w:r>
      <w:r w:rsidR="0080496F">
        <w:t xml:space="preserve">quality </w:t>
      </w:r>
      <w:r w:rsidR="00E63412">
        <w:t>dimension measured</w:t>
      </w:r>
      <w:r w:rsidR="0080496F">
        <w:t>,</w:t>
      </w:r>
      <w:r w:rsidR="00E63412">
        <w:t xml:space="preserve"> </w:t>
      </w:r>
      <w:r>
        <w:t>as percentage of data points with the flag 'official data' in the corresponding FAOSTAT dataset)</w:t>
      </w:r>
      <w:r w:rsidRPr="00133FE4">
        <w:t>.</w:t>
      </w:r>
    </w:p>
    <w:p w:rsidR="004E47DE" w:rsidRDefault="00D32822" w:rsidP="004E47DE">
      <w:pPr>
        <w:jc w:val="both"/>
      </w:pPr>
      <w:r>
        <w:t>T</w:t>
      </w:r>
      <w:r w:rsidR="00E63412">
        <w:t>he</w:t>
      </w:r>
      <w:r w:rsidR="00E63412" w:rsidRPr="00E63412">
        <w:t xml:space="preserve"> </w:t>
      </w:r>
      <w:r w:rsidR="00044448" w:rsidRPr="00044448">
        <w:rPr>
          <w:b/>
        </w:rPr>
        <w:t>FAO Statistics Coordination Portal</w:t>
      </w:r>
      <w:r w:rsidR="00044448" w:rsidRPr="00044448">
        <w:t xml:space="preserve"> </w:t>
      </w:r>
      <w:r w:rsidR="00044448">
        <w:t xml:space="preserve">provides the </w:t>
      </w:r>
      <w:r w:rsidR="0080496F">
        <w:t>document</w:t>
      </w:r>
      <w:r w:rsidR="00044448">
        <w:t xml:space="preserve"> </w:t>
      </w:r>
      <w:r w:rsidR="00BB7D99">
        <w:t>“</w:t>
      </w:r>
      <w:r w:rsidR="00BB7D99" w:rsidRPr="00044448">
        <w:t>Reporting on Data Quality Principles, Standards &amp; Recommendations</w:t>
      </w:r>
      <w:r w:rsidR="00BB7D99">
        <w:t>”</w:t>
      </w:r>
      <w:r w:rsidR="00044448">
        <w:t xml:space="preserve"> (FAO, 2011)</w:t>
      </w:r>
      <w:r w:rsidR="00BB7D99">
        <w:t xml:space="preserve">. This report </w:t>
      </w:r>
      <w:r>
        <w:t xml:space="preserve">refers to </w:t>
      </w:r>
      <w:r w:rsidR="00044448">
        <w:t>a</w:t>
      </w:r>
      <w:r w:rsidR="0080496F">
        <w:t xml:space="preserve">n annex 2 </w:t>
      </w:r>
      <w:r w:rsidR="00044448">
        <w:t xml:space="preserve">titled </w:t>
      </w:r>
      <w:r w:rsidR="00BB7D99">
        <w:t>“</w:t>
      </w:r>
      <w:r w:rsidR="00BB7D99" w:rsidRPr="009164C7">
        <w:t>Proposed Formulas for Selected Quality Indicators</w:t>
      </w:r>
      <w:r w:rsidR="00BB7D99">
        <w:t>”</w:t>
      </w:r>
      <w:r w:rsidR="00044448">
        <w:t xml:space="preserve">. Such annex could not be found online, but </w:t>
      </w:r>
      <w:r w:rsidR="009531EF">
        <w:t xml:space="preserve">its most recent version may be the document </w:t>
      </w:r>
      <w:r w:rsidR="00044448">
        <w:t>“FAO Quality indicators for statistical processes: recommended indicators”</w:t>
      </w:r>
      <w:r w:rsidR="00346174">
        <w:t xml:space="preserve"> (FAO, 2016a)</w:t>
      </w:r>
      <w:r w:rsidR="0013542E">
        <w:t xml:space="preserve">, which </w:t>
      </w:r>
      <w:r w:rsidR="00044448">
        <w:t>provides formulas for quality indicators</w:t>
      </w:r>
      <w:r w:rsidR="00BB7D99">
        <w:t>.</w:t>
      </w:r>
      <w:r w:rsidR="00640D7A">
        <w:t xml:space="preserve"> </w:t>
      </w:r>
      <w:r w:rsidR="0080496F">
        <w:t>Looking at</w:t>
      </w:r>
      <w:r w:rsidR="00640D7A">
        <w:t xml:space="preserve"> the dimension </w:t>
      </w:r>
      <w:r w:rsidR="00640D7A" w:rsidRPr="00640D7A">
        <w:t>Accuracy and Reliability</w:t>
      </w:r>
      <w:r w:rsidR="00640D7A">
        <w:t xml:space="preserve">, </w:t>
      </w:r>
      <w:r w:rsidR="0013542E">
        <w:t>it</w:t>
      </w:r>
      <w:r w:rsidR="00640D7A">
        <w:t xml:space="preserve"> provides formulas for “d</w:t>
      </w:r>
      <w:r w:rsidR="00640D7A" w:rsidRPr="00640D7A">
        <w:t>ata completeness</w:t>
      </w:r>
      <w:r w:rsidR="00640D7A">
        <w:t>”, “imputation rate” and “c</w:t>
      </w:r>
      <w:r w:rsidR="00640D7A" w:rsidRPr="00640D7A">
        <w:t>ontribution of the non-imputed values to the final aggregate</w:t>
      </w:r>
      <w:r w:rsidR="00640D7A">
        <w:t>”</w:t>
      </w:r>
      <w:r w:rsidR="0080496F">
        <w:t xml:space="preserve">. These three indicators </w:t>
      </w:r>
      <w:r w:rsidR="009B1744">
        <w:t xml:space="preserve">approximately </w:t>
      </w:r>
      <w:r w:rsidR="00640D7A">
        <w:t xml:space="preserve">match the three </w:t>
      </w:r>
      <w:r w:rsidR="00640D7A" w:rsidRPr="00640D7A">
        <w:t>concepts selected</w:t>
      </w:r>
      <w:r w:rsidR="00640D7A">
        <w:t xml:space="preserve"> for this review.</w:t>
      </w:r>
    </w:p>
    <w:p w:rsidR="005A6A5E" w:rsidRDefault="00640D7A" w:rsidP="005A6A5E">
      <w:pPr>
        <w:jc w:val="both"/>
      </w:pPr>
      <w:r>
        <w:t xml:space="preserve">The </w:t>
      </w:r>
      <w:r w:rsidR="004E47DE" w:rsidRPr="00162C31">
        <w:rPr>
          <w:b/>
        </w:rPr>
        <w:t>Statistical Working System</w:t>
      </w:r>
      <w:r w:rsidR="004E47DE">
        <w:t xml:space="preserve"> (</w:t>
      </w:r>
      <w:r w:rsidR="004E47DE" w:rsidRPr="00F24FEF">
        <w:t>SWS</w:t>
      </w:r>
      <w:r w:rsidR="004E47DE">
        <w:t>)</w:t>
      </w:r>
      <w:r>
        <w:t xml:space="preserve"> </w:t>
      </w:r>
      <w:r w:rsidR="008D3CBB">
        <w:t>c</w:t>
      </w:r>
      <w:r>
        <w:t xml:space="preserve">ontains </w:t>
      </w:r>
      <w:r w:rsidR="008D3CBB">
        <w:t xml:space="preserve">also </w:t>
      </w:r>
      <w:r>
        <w:t xml:space="preserve">preliminary developments </w:t>
      </w:r>
      <w:r w:rsidR="0080496F">
        <w:t>of</w:t>
      </w:r>
      <w:r>
        <w:t xml:space="preserve"> </w:t>
      </w:r>
      <w:r w:rsidR="005A6A5E">
        <w:t xml:space="preserve">plugins </w:t>
      </w:r>
      <w:r w:rsidR="0080496F">
        <w:t>for</w:t>
      </w:r>
      <w:r w:rsidR="00E63412">
        <w:t xml:space="preserve"> comput</w:t>
      </w:r>
      <w:r w:rsidR="0080496F">
        <w:t>ing</w:t>
      </w:r>
      <w:r w:rsidR="005A6A5E">
        <w:t xml:space="preserve"> </w:t>
      </w:r>
      <w:r>
        <w:t>two of the indicators mentioned above: “imputation rate” and “c</w:t>
      </w:r>
      <w:r w:rsidRPr="00640D7A">
        <w:t>ontribution of the non-imputed values</w:t>
      </w:r>
      <w:r>
        <w:t xml:space="preserve">”. </w:t>
      </w:r>
      <w:r w:rsidR="005A6A5E">
        <w:t>T</w:t>
      </w:r>
      <w:r>
        <w:t>he names</w:t>
      </w:r>
      <w:r w:rsidR="005A6A5E">
        <w:t>, however,</w:t>
      </w:r>
      <w:r>
        <w:t xml:space="preserve"> seem to have been reinterpreted and partially swapped</w:t>
      </w:r>
      <w:r w:rsidR="0076531D">
        <w:t xml:space="preserve">: in a 2016 draft document titled “Quality Indicators for the </w:t>
      </w:r>
      <w:r w:rsidR="0076531D" w:rsidRPr="00E63412">
        <w:rPr>
          <w:i/>
        </w:rPr>
        <w:t>aproduction</w:t>
      </w:r>
      <w:r w:rsidR="0076531D">
        <w:t xml:space="preserve"> dataset in the agriculture domain” (received by email from the ESS Methodology Team, </w:t>
      </w:r>
      <w:r w:rsidR="0076531D" w:rsidRPr="008D3CBB">
        <w:t>30</w:t>
      </w:r>
      <w:r w:rsidR="0076531D">
        <w:t xml:space="preserve"> </w:t>
      </w:r>
      <w:r w:rsidR="0076531D" w:rsidRPr="008D3CBB">
        <w:t>May 2018)</w:t>
      </w:r>
      <w:r w:rsidR="0076531D">
        <w:t>,</w:t>
      </w:r>
      <w:r w:rsidR="0065359F">
        <w:t xml:space="preserve"> the indicators are named</w:t>
      </w:r>
      <w:r>
        <w:t xml:space="preserve"> </w:t>
      </w:r>
      <w:r w:rsidR="004E47DE">
        <w:t>“imputation frequency”</w:t>
      </w:r>
      <w:r>
        <w:t xml:space="preserve"> and </w:t>
      </w:r>
      <w:r w:rsidR="004E47DE">
        <w:t>“imputation rate”</w:t>
      </w:r>
      <w:r w:rsidR="008D3CBB">
        <w:t>,</w:t>
      </w:r>
      <w:r w:rsidR="005A6A5E">
        <w:t xml:space="preserve"> </w:t>
      </w:r>
      <w:r w:rsidR="008D3CBB">
        <w:t>respectively</w:t>
      </w:r>
      <w:r w:rsidR="004E47DE">
        <w:t>.</w:t>
      </w:r>
      <w:r w:rsidR="00E63412">
        <w:rPr>
          <w:rStyle w:val="FootnoteReference"/>
        </w:rPr>
        <w:footnoteReference w:id="2"/>
      </w:r>
    </w:p>
    <w:p w:rsidR="005A6A5E" w:rsidRDefault="00E06D37" w:rsidP="005A6A5E">
      <w:pPr>
        <w:jc w:val="both"/>
      </w:pPr>
      <w:r>
        <w:t xml:space="preserve">At the </w:t>
      </w:r>
      <w:r w:rsidRPr="005A6A5E">
        <w:rPr>
          <w:b/>
        </w:rPr>
        <w:t>Asia and Pacific Commission on Agricultural Statistics (APCAS)</w:t>
      </w:r>
      <w:r w:rsidRPr="00E06D37">
        <w:t xml:space="preserve"> was presented a</w:t>
      </w:r>
      <w:r w:rsidR="005A6A5E">
        <w:t xml:space="preserve"> document </w:t>
      </w:r>
      <w:r w:rsidR="00E63412">
        <w:t xml:space="preserve">titled </w:t>
      </w:r>
      <w:r w:rsidR="005A6A5E">
        <w:t>“</w:t>
      </w:r>
      <w:r w:rsidR="005A6A5E" w:rsidRPr="005A6A5E">
        <w:t>Issues in the collection of FAO data</w:t>
      </w:r>
      <w:r w:rsidR="005A6A5E">
        <w:t>”</w:t>
      </w:r>
      <w:r>
        <w:t xml:space="preserve"> (FAO, 2016b; pp. 4-6). I</w:t>
      </w:r>
      <w:r w:rsidR="00E63412" w:rsidRPr="00E63412">
        <w:t xml:space="preserve">t </w:t>
      </w:r>
      <w:r w:rsidR="005A6A5E">
        <w:t>included data on “</w:t>
      </w:r>
      <w:r w:rsidR="005A6A5E" w:rsidRPr="00E06D37">
        <w:rPr>
          <w:i/>
        </w:rPr>
        <w:t>response rates, used to measure data availability</w:t>
      </w:r>
      <w:r w:rsidR="005A6A5E">
        <w:t>” and on “</w:t>
      </w:r>
      <w:r w:rsidR="005A6A5E" w:rsidRPr="00E06D37">
        <w:rPr>
          <w:i/>
        </w:rPr>
        <w:t>data completeness, used to measure data quality,</w:t>
      </w:r>
      <w:r w:rsidR="005A6A5E">
        <w:t xml:space="preserve"> […] </w:t>
      </w:r>
      <w:r w:rsidR="005A6A5E" w:rsidRPr="00E06D37">
        <w:rPr>
          <w:i/>
        </w:rPr>
        <w:t>estimated by the proportion of total FAOSTAT records</w:t>
      </w:r>
      <w:r w:rsidR="00E63412" w:rsidRPr="00E06D37">
        <w:rPr>
          <w:i/>
        </w:rPr>
        <w:t xml:space="preserve"> that are official records</w:t>
      </w:r>
      <w:r w:rsidR="00E63412">
        <w:t xml:space="preserve">”. This </w:t>
      </w:r>
      <w:r w:rsidR="005A6A5E">
        <w:t>document also provide</w:t>
      </w:r>
      <w:r>
        <w:t>d</w:t>
      </w:r>
      <w:r w:rsidR="005A6A5E">
        <w:t xml:space="preserve"> a description on how th</w:t>
      </w:r>
      <w:r w:rsidR="00E63412">
        <w:t>o</w:t>
      </w:r>
      <w:r w:rsidR="005A6A5E">
        <w:t>se indicators were calculated.</w:t>
      </w:r>
    </w:p>
    <w:p w:rsidR="005A6A5E" w:rsidRDefault="004E47DE" w:rsidP="005A6A5E">
      <w:pPr>
        <w:jc w:val="both"/>
      </w:pPr>
      <w:r>
        <w:t xml:space="preserve">Finally, </w:t>
      </w:r>
      <w:r w:rsidR="005A6A5E">
        <w:t xml:space="preserve">the concepts of </w:t>
      </w:r>
      <w:r w:rsidR="005A6A5E" w:rsidRPr="0020482E">
        <w:t>response rate and imputation rate</w:t>
      </w:r>
      <w:r w:rsidR="005A6A5E">
        <w:t xml:space="preserve"> </w:t>
      </w:r>
      <w:r w:rsidR="00E63412">
        <w:t>can</w:t>
      </w:r>
      <w:r w:rsidR="0076531D">
        <w:t xml:space="preserve"> also be</w:t>
      </w:r>
      <w:r w:rsidR="005A6A5E">
        <w:t xml:space="preserve"> found in </w:t>
      </w:r>
      <w:r w:rsidR="00E63412">
        <w:t>a</w:t>
      </w:r>
      <w:r w:rsidR="005A6A5E">
        <w:t xml:space="preserve"> list of</w:t>
      </w:r>
      <w:r w:rsidR="005A6A5E" w:rsidRPr="00436D42">
        <w:t xml:space="preserve"> basic elements for measuring data quality</w:t>
      </w:r>
      <w:r w:rsidR="005A6A5E">
        <w:t xml:space="preserve"> </w:t>
      </w:r>
      <w:r w:rsidR="00E63412">
        <w:t>provided</w:t>
      </w:r>
      <w:r w:rsidR="005A6A5E">
        <w:t xml:space="preserve"> by M. Trant in </w:t>
      </w:r>
      <w:r w:rsidR="00E63412">
        <w:t xml:space="preserve">a 1993 </w:t>
      </w:r>
      <w:r w:rsidR="005A6A5E">
        <w:t xml:space="preserve">article </w:t>
      </w:r>
      <w:r w:rsidR="00E63412">
        <w:t xml:space="preserve">titled </w:t>
      </w:r>
      <w:r w:rsidR="005A6A5E">
        <w:t>“Development of data quality indicators”</w:t>
      </w:r>
      <w:r w:rsidR="00E63412">
        <w:t>,</w:t>
      </w:r>
      <w:r w:rsidR="005A6A5E">
        <w:t xml:space="preserve"> included in the </w:t>
      </w:r>
      <w:r w:rsidR="00024DD2">
        <w:rPr>
          <w:b/>
        </w:rPr>
        <w:t>FAO Quarterly Bulletin</w:t>
      </w:r>
      <w:r w:rsidR="005A6A5E" w:rsidRPr="00276DCF">
        <w:rPr>
          <w:b/>
        </w:rPr>
        <w:t xml:space="preserve"> of Statistics</w:t>
      </w:r>
      <w:r w:rsidR="005A6A5E">
        <w:t xml:space="preserve"> </w:t>
      </w:r>
      <w:r>
        <w:t>(Trant, 1993)</w:t>
      </w:r>
      <w:r w:rsidR="005A6A5E">
        <w:t>.</w:t>
      </w:r>
    </w:p>
    <w:p w:rsidR="00C61357" w:rsidRDefault="00C61357">
      <w:r>
        <w:br w:type="page"/>
      </w:r>
    </w:p>
    <w:p w:rsidR="007252B2" w:rsidRDefault="009B1744" w:rsidP="009F09D0">
      <w:pPr>
        <w:pStyle w:val="Heading1"/>
      </w:pPr>
      <w:r>
        <w:lastRenderedPageBreak/>
        <w:t>Variables</w:t>
      </w:r>
      <w:r w:rsidR="007252B2">
        <w:t xml:space="preserve"> involved in the calculation of the indicators</w:t>
      </w:r>
    </w:p>
    <w:p w:rsidR="009B1744" w:rsidRDefault="009B1744" w:rsidP="009B1744">
      <w:pPr>
        <w:jc w:val="both"/>
      </w:pPr>
      <w:r>
        <w:t xml:space="preserve">The main variables </w:t>
      </w:r>
      <w:r w:rsidR="009F0292">
        <w:t xml:space="preserve">selected in this proposal, </w:t>
      </w:r>
      <w:r>
        <w:t xml:space="preserve">to be measured for the compilation of the </w:t>
      </w:r>
      <w:r w:rsidRPr="009B1744">
        <w:t>response rate</w:t>
      </w:r>
      <w:r>
        <w:t xml:space="preserve"> and data </w:t>
      </w:r>
      <w:r w:rsidRPr="009B1744">
        <w:t>completeness</w:t>
      </w:r>
      <w:r>
        <w:t xml:space="preserve"> indicators</w:t>
      </w:r>
      <w:r w:rsidR="009F0292">
        <w:t>,</w:t>
      </w:r>
      <w:r>
        <w:t xml:space="preserve"> are briefly described below. For variables that would need to be calculated manually, a proxy for automatic calculation is provided afterwards </w:t>
      </w:r>
      <w:r w:rsidR="001445B6">
        <w:t>(</w:t>
      </w:r>
      <w:r>
        <w:t>when possible</w:t>
      </w:r>
      <w:r w:rsidR="001445B6">
        <w:t>), to</w:t>
      </w:r>
      <w:r>
        <w:t xml:space="preserve"> </w:t>
      </w:r>
      <w:r w:rsidR="0094785C">
        <w:t xml:space="preserve">be </w:t>
      </w:r>
      <w:r w:rsidR="00BA4305">
        <w:t xml:space="preserve">calculated </w:t>
      </w:r>
      <w:r>
        <w:t>in SWS. Alternatively, the disseminated dataset</w:t>
      </w:r>
      <w:r w:rsidR="00BA4305">
        <w:t>s</w:t>
      </w:r>
      <w:r>
        <w:t xml:space="preserve"> in FAOSTAT could </w:t>
      </w:r>
      <w:r w:rsidR="001445B6">
        <w:t xml:space="preserve">also </w:t>
      </w:r>
      <w:r>
        <w:t xml:space="preserve">be used, although differences in the flags </w:t>
      </w:r>
      <w:r w:rsidR="001445B6">
        <w:t>and</w:t>
      </w:r>
      <w:r>
        <w:t xml:space="preserve"> the </w:t>
      </w:r>
      <w:r w:rsidR="001445B6">
        <w:t xml:space="preserve">data </w:t>
      </w:r>
      <w:r>
        <w:t xml:space="preserve">categories </w:t>
      </w:r>
      <w:r w:rsidR="001445B6">
        <w:t xml:space="preserve">disseminated </w:t>
      </w:r>
      <w:r>
        <w:t>may prevent an exact reproduction of the SWS</w:t>
      </w:r>
      <w:r w:rsidR="00BA4305">
        <w:t>-</w:t>
      </w:r>
      <w:r>
        <w:t xml:space="preserve">based calculation. </w:t>
      </w:r>
    </w:p>
    <w:p w:rsidR="007252B2" w:rsidRDefault="007252B2" w:rsidP="004B4B4C">
      <w:pPr>
        <w:pStyle w:val="Heading2"/>
      </w:pPr>
      <w:r>
        <w:t>Number of questionnaires dispatched</w:t>
      </w:r>
    </w:p>
    <w:p w:rsidR="004B4B4C" w:rsidRDefault="004B4B4C" w:rsidP="000D7739">
      <w:pPr>
        <w:pStyle w:val="ListParagraph"/>
        <w:ind w:left="714"/>
        <w:contextualSpacing w:val="0"/>
        <w:jc w:val="both"/>
      </w:pPr>
      <w:r>
        <w:t xml:space="preserve">Number of questionnaires sent in a particular year for a particular dataset. </w:t>
      </w:r>
      <w:r w:rsidR="009035E2">
        <w:t>Currently</w:t>
      </w:r>
      <w:r>
        <w:t xml:space="preserve"> it may need to be calculated manually. In </w:t>
      </w:r>
      <w:r w:rsidR="009035E2">
        <w:t>future,</w:t>
      </w:r>
      <w:r>
        <w:t xml:space="preserve"> it may be recorded through the</w:t>
      </w:r>
      <w:r w:rsidRPr="004B4B4C">
        <w:t xml:space="preserve"> </w:t>
      </w:r>
      <w:r>
        <w:t>SWS Q</w:t>
      </w:r>
      <w:r w:rsidRPr="004B4B4C">
        <w:t>uesti</w:t>
      </w:r>
      <w:r>
        <w:t>onnaire Management S</w:t>
      </w:r>
      <w:r w:rsidRPr="004B4B4C">
        <w:t>ystem</w:t>
      </w:r>
      <w:r>
        <w:t>.</w:t>
      </w:r>
    </w:p>
    <w:p w:rsidR="007252B2" w:rsidRDefault="007252B2" w:rsidP="004B4B4C">
      <w:pPr>
        <w:pStyle w:val="Heading2"/>
      </w:pPr>
      <w:r>
        <w:t xml:space="preserve">Number of questionnaires </w:t>
      </w:r>
      <w:r w:rsidR="00251AE9">
        <w:t>acknowledged by focal point</w:t>
      </w:r>
      <w:r w:rsidR="00F775D0">
        <w:t>s</w:t>
      </w:r>
    </w:p>
    <w:p w:rsidR="004B4B4C" w:rsidRDefault="004B4B4C" w:rsidP="000D7739">
      <w:pPr>
        <w:pStyle w:val="ListParagraph"/>
        <w:jc w:val="both"/>
      </w:pPr>
      <w:r>
        <w:t>Number of replies received from questionnaire recipients, largely irrespective of the content of the repl</w:t>
      </w:r>
      <w:r w:rsidR="00233A44">
        <w:t>y</w:t>
      </w:r>
      <w:r>
        <w:t xml:space="preserve">. It includes: </w:t>
      </w:r>
    </w:p>
    <w:p w:rsidR="00601765" w:rsidRDefault="00601765" w:rsidP="008F27CB">
      <w:pPr>
        <w:pStyle w:val="ListParagraph"/>
        <w:numPr>
          <w:ilvl w:val="1"/>
          <w:numId w:val="12"/>
        </w:numPr>
      </w:pPr>
      <w:r w:rsidRPr="00601765">
        <w:t>fill</w:t>
      </w:r>
      <w:r>
        <w:t>ed</w:t>
      </w:r>
      <w:r w:rsidRPr="00601765">
        <w:t>-in questionnaire</w:t>
      </w:r>
      <w:r>
        <w:t xml:space="preserve"> returned (partial or complete)</w:t>
      </w:r>
    </w:p>
    <w:p w:rsidR="00251AE9" w:rsidRDefault="00251AE9" w:rsidP="008F27CB">
      <w:pPr>
        <w:pStyle w:val="ListParagraph"/>
        <w:numPr>
          <w:ilvl w:val="1"/>
          <w:numId w:val="12"/>
        </w:numPr>
      </w:pPr>
      <w:r>
        <w:t xml:space="preserve">communication of work in process to fill in the questionnaire </w:t>
      </w:r>
    </w:p>
    <w:p w:rsidR="00601765" w:rsidRDefault="00601765" w:rsidP="008F27CB">
      <w:pPr>
        <w:pStyle w:val="ListParagraph"/>
        <w:numPr>
          <w:ilvl w:val="1"/>
          <w:numId w:val="12"/>
        </w:numPr>
      </w:pPr>
      <w:r w:rsidRPr="00601765">
        <w:t>link to an official site</w:t>
      </w:r>
      <w:r>
        <w:t xml:space="preserve"> provided</w:t>
      </w:r>
    </w:p>
    <w:p w:rsidR="00233A44" w:rsidRDefault="00233A44" w:rsidP="008F27CB">
      <w:pPr>
        <w:pStyle w:val="ListParagraph"/>
        <w:numPr>
          <w:ilvl w:val="1"/>
          <w:numId w:val="12"/>
        </w:numPr>
      </w:pPr>
      <w:r>
        <w:t>lac</w:t>
      </w:r>
      <w:r w:rsidR="00251AE9">
        <w:t>k of data availability reported</w:t>
      </w:r>
    </w:p>
    <w:p w:rsidR="00233A44" w:rsidRDefault="00233A44" w:rsidP="008F27CB">
      <w:pPr>
        <w:pStyle w:val="ListParagraph"/>
        <w:numPr>
          <w:ilvl w:val="1"/>
          <w:numId w:val="12"/>
        </w:numPr>
      </w:pPr>
      <w:r>
        <w:t>empty questionnaire returned</w:t>
      </w:r>
    </w:p>
    <w:p w:rsidR="004B4B4C" w:rsidRDefault="00601765" w:rsidP="008F27CB">
      <w:pPr>
        <w:pStyle w:val="ListParagraph"/>
        <w:numPr>
          <w:ilvl w:val="1"/>
          <w:numId w:val="12"/>
        </w:numPr>
      </w:pPr>
      <w:r w:rsidRPr="00601765">
        <w:t>instruct</w:t>
      </w:r>
      <w:r w:rsidR="00233A44">
        <w:t xml:space="preserve">ion provided to </w:t>
      </w:r>
      <w:r w:rsidRPr="00601765">
        <w:t xml:space="preserve">obtain data from another </w:t>
      </w:r>
      <w:r w:rsidR="00233A44">
        <w:t xml:space="preserve">source (e.g. from </w:t>
      </w:r>
      <w:r w:rsidRPr="00601765">
        <w:t>multilateral agency</w:t>
      </w:r>
      <w:r w:rsidR="00233A44">
        <w:t>)</w:t>
      </w:r>
    </w:p>
    <w:p w:rsidR="00233A44" w:rsidRDefault="00233A44" w:rsidP="00BA4305">
      <w:pPr>
        <w:ind w:left="720"/>
        <w:jc w:val="both"/>
      </w:pPr>
      <w:r>
        <w:t xml:space="preserve">The only cases that will not be counted </w:t>
      </w:r>
      <w:r w:rsidR="00251AE9">
        <w:t xml:space="preserve">in this number </w:t>
      </w:r>
      <w:r>
        <w:t xml:space="preserve">are those </w:t>
      </w:r>
      <w:r w:rsidR="00251AE9">
        <w:t xml:space="preserve">in </w:t>
      </w:r>
      <w:r>
        <w:t>which: i) no reply is received</w:t>
      </w:r>
      <w:r w:rsidR="00251AE9">
        <w:t xml:space="preserve">, ii) </w:t>
      </w:r>
      <w:r>
        <w:t>the reply indicates that the questionnaire was addressed to the wrong person</w:t>
      </w:r>
      <w:r w:rsidR="00251AE9">
        <w:t xml:space="preserve">, or iii) an automatic reply is received, which does not imply acknowledgement </w:t>
      </w:r>
      <w:r w:rsidR="00D32D49">
        <w:t xml:space="preserve">of </w:t>
      </w:r>
      <w:r w:rsidR="00251AE9">
        <w:t xml:space="preserve">the questionnaire </w:t>
      </w:r>
      <w:r w:rsidR="00D32D49">
        <w:t xml:space="preserve">being </w:t>
      </w:r>
      <w:r w:rsidR="00251AE9">
        <w:t>addressed to the right person</w:t>
      </w:r>
      <w:r w:rsidR="00D32D49">
        <w:t>.</w:t>
      </w:r>
    </w:p>
    <w:p w:rsidR="004B4B4C" w:rsidRPr="004B4B4C" w:rsidRDefault="00D32D49" w:rsidP="00BA4305">
      <w:pPr>
        <w:ind w:left="720"/>
        <w:jc w:val="both"/>
      </w:pPr>
      <w:r>
        <w:t>The ‘</w:t>
      </w:r>
      <w:r w:rsidRPr="00D32D49">
        <w:t>number of questionnaires acknowledged by focal points</w:t>
      </w:r>
      <w:r>
        <w:t>’</w:t>
      </w:r>
      <w:r w:rsidR="00233A44">
        <w:t xml:space="preserve"> indicates in how many cases contact with a focal point was established. </w:t>
      </w:r>
      <w:r w:rsidR="00D21C14">
        <w:t>At present, t</w:t>
      </w:r>
      <w:r w:rsidR="00233A44">
        <w:t xml:space="preserve">his number </w:t>
      </w:r>
      <w:r w:rsidR="002659AB">
        <w:t>needs</w:t>
      </w:r>
      <w:r w:rsidR="00233A44">
        <w:t xml:space="preserve"> to be calculated manually, as it involve</w:t>
      </w:r>
      <w:r w:rsidR="002659AB">
        <w:t>s</w:t>
      </w:r>
      <w:r w:rsidR="00233A44">
        <w:t xml:space="preserve"> </w:t>
      </w:r>
      <w:r w:rsidR="00F13BA2">
        <w:t>an assessment of</w:t>
      </w:r>
      <w:r w:rsidR="00251AE9">
        <w:t xml:space="preserve"> t</w:t>
      </w:r>
      <w:r w:rsidR="00233A44">
        <w:t xml:space="preserve">he content of the </w:t>
      </w:r>
      <w:r w:rsidR="002659AB">
        <w:t>replies</w:t>
      </w:r>
      <w:r w:rsidR="00233A44">
        <w:t xml:space="preserve"> received.</w:t>
      </w:r>
    </w:p>
    <w:p w:rsidR="007252B2" w:rsidRDefault="007252B2" w:rsidP="004B4B4C">
      <w:pPr>
        <w:pStyle w:val="Heading2"/>
      </w:pPr>
      <w:r>
        <w:t>Number of questionnaires filled</w:t>
      </w:r>
    </w:p>
    <w:p w:rsidR="00B60542" w:rsidRDefault="002659AB" w:rsidP="000D7739">
      <w:pPr>
        <w:pStyle w:val="ListParagraph"/>
        <w:ind w:left="717"/>
        <w:contextualSpacing w:val="0"/>
        <w:jc w:val="both"/>
      </w:pPr>
      <w:r>
        <w:t xml:space="preserve">Number of questionnaires </w:t>
      </w:r>
      <w:r w:rsidR="00B60542">
        <w:t xml:space="preserve">received </w:t>
      </w:r>
      <w:r w:rsidR="00C6150C">
        <w:t xml:space="preserve">containing some data </w:t>
      </w:r>
      <w:r w:rsidR="00B60542">
        <w:t>(contact details, metadata and feedback are excluded)</w:t>
      </w:r>
      <w:r w:rsidR="00C6150C" w:rsidRPr="00C6150C">
        <w:t xml:space="preserve"> </w:t>
      </w:r>
      <w:r w:rsidR="00C6150C">
        <w:t>in a particular year for a particular dataset</w:t>
      </w:r>
      <w:r>
        <w:t xml:space="preserve">. </w:t>
      </w:r>
      <w:r w:rsidR="00B60542">
        <w:t>The questionnaire may not be complete but it must be at least partially filled-in</w:t>
      </w:r>
      <w:r w:rsidR="00636153">
        <w:t xml:space="preserve"> (</w:t>
      </w:r>
      <w:r w:rsidR="000F112D">
        <w:t xml:space="preserve">as </w:t>
      </w:r>
      <w:r w:rsidR="00D21C14">
        <w:t xml:space="preserve">‘overall response rate’ </w:t>
      </w:r>
      <w:r w:rsidR="000F112D">
        <w:t xml:space="preserve">defined by </w:t>
      </w:r>
      <w:r w:rsidR="006B4BBB">
        <w:t>UK</w:t>
      </w:r>
      <w:r w:rsidR="006B4BBB" w:rsidRPr="006B4BBB">
        <w:t xml:space="preserve"> </w:t>
      </w:r>
      <w:r w:rsidR="006B4BBB">
        <w:t>O</w:t>
      </w:r>
      <w:r w:rsidR="006B4BBB" w:rsidRPr="00802FC0">
        <w:t>NS</w:t>
      </w:r>
      <w:r w:rsidR="006B4BBB">
        <w:t xml:space="preserve">, </w:t>
      </w:r>
      <w:r w:rsidR="006B4BBB" w:rsidRPr="00802FC0">
        <w:t>2013</w:t>
      </w:r>
      <w:r w:rsidR="006B4BBB">
        <w:t>; p.81)</w:t>
      </w:r>
      <w:r w:rsidR="00B60542">
        <w:t>.</w:t>
      </w:r>
    </w:p>
    <w:p w:rsidR="0078203A" w:rsidRPr="004B4B4C" w:rsidRDefault="003F5F94" w:rsidP="000D7739">
      <w:pPr>
        <w:pStyle w:val="ListParagraph"/>
        <w:ind w:left="714"/>
        <w:contextualSpacing w:val="0"/>
        <w:jc w:val="both"/>
      </w:pPr>
      <w:r w:rsidRPr="003F5F94">
        <w:rPr>
          <w:b/>
          <w:u w:val="single"/>
        </w:rPr>
        <w:t>Automatic proxy</w:t>
      </w:r>
      <w:r>
        <w:rPr>
          <w:b/>
        </w:rPr>
        <w:t xml:space="preserve">: </w:t>
      </w:r>
      <w:r w:rsidR="00F006AE">
        <w:t>For a particular dataset, n</w:t>
      </w:r>
      <w:r w:rsidR="002659AB">
        <w:t xml:space="preserve">umber of </w:t>
      </w:r>
      <w:r w:rsidR="00B97D7F">
        <w:t>territories</w:t>
      </w:r>
      <w:r w:rsidR="002659AB">
        <w:t xml:space="preserve"> with at least one data point from questionnaire for </w:t>
      </w:r>
      <w:r w:rsidR="00B60542">
        <w:t xml:space="preserve">the </w:t>
      </w:r>
      <w:r w:rsidR="00E61BBF">
        <w:t>last</w:t>
      </w:r>
      <w:r w:rsidR="00B60542">
        <w:t xml:space="preserve"> </w:t>
      </w:r>
      <w:r w:rsidR="00E61BBF">
        <w:t>year</w:t>
      </w:r>
      <w:r w:rsidR="00B60542">
        <w:t xml:space="preserve"> covered in </w:t>
      </w:r>
      <w:r w:rsidR="00E61BBF">
        <w:t xml:space="preserve">the relevant questionnaire </w:t>
      </w:r>
      <w:r w:rsidR="00B60542">
        <w:t>mail-out</w:t>
      </w:r>
      <w:r w:rsidR="00F006AE">
        <w:t>.</w:t>
      </w:r>
    </w:p>
    <w:p w:rsidR="007252B2" w:rsidRDefault="007252B2" w:rsidP="004B4B4C">
      <w:pPr>
        <w:pStyle w:val="Heading2"/>
      </w:pPr>
      <w:r>
        <w:lastRenderedPageBreak/>
        <w:t xml:space="preserve">Number of </w:t>
      </w:r>
      <w:r w:rsidR="00B97D7F">
        <w:t>territories</w:t>
      </w:r>
      <w:r>
        <w:t xml:space="preserve"> </w:t>
      </w:r>
      <w:r w:rsidR="00D722E8">
        <w:t xml:space="preserve">in the </w:t>
      </w:r>
      <w:r>
        <w:t>geographical scope</w:t>
      </w:r>
    </w:p>
    <w:p w:rsidR="00D722E8" w:rsidRDefault="00C61357" w:rsidP="000D7739">
      <w:pPr>
        <w:pStyle w:val="ListParagraph"/>
        <w:jc w:val="both"/>
      </w:pPr>
      <w:r>
        <w:t xml:space="preserve">Number of geographical </w:t>
      </w:r>
      <w:r w:rsidR="00B97D7F">
        <w:t>territories</w:t>
      </w:r>
      <w:r>
        <w:t xml:space="preserve"> eligible for a particular year in a particular dataset. It represents the number of </w:t>
      </w:r>
      <w:r w:rsidR="00B97D7F">
        <w:t>territories</w:t>
      </w:r>
      <w:r>
        <w:t xml:space="preserve"> that would cover the entire world (or the relevant geographical scope) in a dataset. It may vary fro</w:t>
      </w:r>
      <w:r w:rsidR="00D722E8">
        <w:t>m year to year depending</w:t>
      </w:r>
      <w:r w:rsidR="00E61BBF">
        <w:t>,</w:t>
      </w:r>
      <w:r w:rsidR="00D722E8">
        <w:t xml:space="preserve"> for instance</w:t>
      </w:r>
      <w:r w:rsidR="00E61BBF">
        <w:t>,</w:t>
      </w:r>
      <w:r w:rsidR="00D722E8">
        <w:t xml:space="preserve"> </w:t>
      </w:r>
      <w:r w:rsidR="00E61BBF">
        <w:t>o</w:t>
      </w:r>
      <w:r w:rsidR="00D722E8">
        <w:t xml:space="preserve">n </w:t>
      </w:r>
      <w:r w:rsidR="00E61BBF">
        <w:t>i</w:t>
      </w:r>
      <w:r w:rsidR="00D722E8">
        <w:t>ntegrati</w:t>
      </w:r>
      <w:r w:rsidR="00E61BBF">
        <w:t>on/disintegration of countries.</w:t>
      </w:r>
    </w:p>
    <w:p w:rsidR="00D64DAF" w:rsidRDefault="00E61BBF" w:rsidP="00E61BBF">
      <w:pPr>
        <w:pStyle w:val="ListParagraph"/>
        <w:contextualSpacing w:val="0"/>
        <w:jc w:val="both"/>
      </w:pPr>
      <w:r>
        <w:t xml:space="preserve">This number </w:t>
      </w:r>
      <w:r w:rsidR="00D722E8">
        <w:t xml:space="preserve">needs to be calculated manually (expert judgement) unless it is </w:t>
      </w:r>
      <w:r w:rsidR="006718C1">
        <w:t>certain</w:t>
      </w:r>
      <w:r w:rsidR="00D722E8">
        <w:t xml:space="preserve"> that all </w:t>
      </w:r>
      <w:r>
        <w:t xml:space="preserve">relevant </w:t>
      </w:r>
      <w:r w:rsidR="00B97D7F">
        <w:t>territories</w:t>
      </w:r>
      <w:r w:rsidR="00D722E8">
        <w:t xml:space="preserve"> have records in the dataset.</w:t>
      </w:r>
    </w:p>
    <w:p w:rsidR="00D64DAF" w:rsidRPr="00F22732" w:rsidRDefault="00F22732" w:rsidP="00F22732">
      <w:pPr>
        <w:pStyle w:val="ListParagraph"/>
        <w:spacing w:before="360"/>
        <w:ind w:left="1440"/>
        <w:jc w:val="both"/>
        <w:rPr>
          <w:i/>
          <w:sz w:val="20"/>
          <w:szCs w:val="20"/>
        </w:rPr>
      </w:pPr>
      <w:r w:rsidRPr="00E35934">
        <w:rPr>
          <w:i/>
          <w:sz w:val="20"/>
          <w:szCs w:val="20"/>
        </w:rPr>
        <w:t xml:space="preserve">Note: the number of </w:t>
      </w:r>
      <w:r>
        <w:rPr>
          <w:i/>
          <w:sz w:val="20"/>
          <w:szCs w:val="20"/>
        </w:rPr>
        <w:t>territories</w:t>
      </w:r>
      <w:r w:rsidRPr="00E35934">
        <w:rPr>
          <w:i/>
          <w:sz w:val="20"/>
          <w:szCs w:val="20"/>
        </w:rPr>
        <w:t xml:space="preserve"> in the geographical scope may vary between datasets because some domains may provide data with a higher level of geographical disaggregation than others. In fact, the list of M49 area codes endorsed by FAO Interdepartmental Working Group (IDWG) on Statistics as “Standard Country or Area Codes for Statistical Use” (FAO, 2018b) includes not only self-governing countries but also non-self-governing </w:t>
      </w:r>
      <w:r>
        <w:rPr>
          <w:i/>
          <w:sz w:val="20"/>
          <w:szCs w:val="20"/>
        </w:rPr>
        <w:t>territories</w:t>
      </w:r>
      <w:r w:rsidRPr="00E35934">
        <w:rPr>
          <w:i/>
          <w:sz w:val="20"/>
          <w:szCs w:val="20"/>
        </w:rPr>
        <w:t xml:space="preserve">. It may be tackled in future the identification of a subset of “main country codes” in this list, as well as the </w:t>
      </w:r>
      <w:r>
        <w:rPr>
          <w:i/>
          <w:sz w:val="20"/>
          <w:szCs w:val="20"/>
        </w:rPr>
        <w:t>correspondences with</w:t>
      </w:r>
      <w:r w:rsidRPr="00E35934">
        <w:rPr>
          <w:i/>
          <w:sz w:val="20"/>
          <w:szCs w:val="20"/>
        </w:rPr>
        <w:t xml:space="preserve"> GAUL and FAO Geopolitical Ontology (FAO, 2018c). As a step in this direction, </w:t>
      </w:r>
      <w:r>
        <w:rPr>
          <w:i/>
          <w:sz w:val="20"/>
          <w:szCs w:val="20"/>
        </w:rPr>
        <w:t>a n</w:t>
      </w:r>
      <w:r w:rsidRPr="00F22732">
        <w:rPr>
          <w:i/>
          <w:sz w:val="20"/>
          <w:szCs w:val="20"/>
        </w:rPr>
        <w:t>ote for discussion about ‘number of territories in the geographical scope’</w:t>
      </w:r>
      <w:r>
        <w:rPr>
          <w:i/>
          <w:sz w:val="20"/>
          <w:szCs w:val="20"/>
        </w:rPr>
        <w:t xml:space="preserve"> has been prepared at ESS together with this review on quality indicators. That note aims at </w:t>
      </w:r>
      <w:r w:rsidRPr="00E35934">
        <w:rPr>
          <w:i/>
          <w:sz w:val="20"/>
          <w:szCs w:val="20"/>
        </w:rPr>
        <w:t>generat</w:t>
      </w:r>
      <w:r>
        <w:rPr>
          <w:i/>
          <w:sz w:val="20"/>
          <w:szCs w:val="20"/>
        </w:rPr>
        <w:t>ing</w:t>
      </w:r>
      <w:r w:rsidRPr="00E35934">
        <w:rPr>
          <w:i/>
          <w:sz w:val="20"/>
          <w:szCs w:val="20"/>
        </w:rPr>
        <w:t xml:space="preserve"> a harmonized list of M49 codes representing the </w:t>
      </w:r>
      <w:r w:rsidRPr="00F575D5">
        <w:rPr>
          <w:i/>
          <w:sz w:val="20"/>
          <w:szCs w:val="20"/>
          <w:u w:val="single"/>
        </w:rPr>
        <w:t>default</w:t>
      </w:r>
      <w:r>
        <w:rPr>
          <w:i/>
          <w:sz w:val="20"/>
          <w:szCs w:val="20"/>
        </w:rPr>
        <w:t xml:space="preserve"> </w:t>
      </w:r>
      <w:r w:rsidRPr="00E35934">
        <w:rPr>
          <w:i/>
          <w:sz w:val="20"/>
          <w:szCs w:val="20"/>
        </w:rPr>
        <w:t xml:space="preserve">geographical scope of </w:t>
      </w:r>
      <w:r>
        <w:rPr>
          <w:i/>
          <w:sz w:val="20"/>
          <w:szCs w:val="20"/>
        </w:rPr>
        <w:t>the</w:t>
      </w:r>
      <w:r w:rsidRPr="00E35934">
        <w:rPr>
          <w:i/>
          <w:sz w:val="20"/>
          <w:szCs w:val="20"/>
        </w:rPr>
        <w:t xml:space="preserve"> questionnaires</w:t>
      </w:r>
      <w:r>
        <w:rPr>
          <w:i/>
          <w:sz w:val="20"/>
          <w:szCs w:val="20"/>
        </w:rPr>
        <w:t>.</w:t>
      </w:r>
    </w:p>
    <w:p w:rsidR="007252B2" w:rsidRDefault="007252B2" w:rsidP="004B4B4C">
      <w:pPr>
        <w:pStyle w:val="Heading2"/>
      </w:pPr>
      <w:r>
        <w:t>Number of expected data points</w:t>
      </w:r>
    </w:p>
    <w:p w:rsidR="00CB1AA6" w:rsidRDefault="00BC5D9B" w:rsidP="006718C1">
      <w:pPr>
        <w:pStyle w:val="ListParagraph"/>
        <w:spacing w:after="120"/>
        <w:contextualSpacing w:val="0"/>
        <w:jc w:val="both"/>
      </w:pPr>
      <w:r>
        <w:t>Total number of data points considered applicable in the geographical scope of a dataset, for a particular year. It may need to be calculated manually.</w:t>
      </w:r>
    </w:p>
    <w:p w:rsidR="00911769" w:rsidRPr="00767418" w:rsidRDefault="00767418" w:rsidP="006718C1">
      <w:pPr>
        <w:pStyle w:val="ListParagraph"/>
        <w:spacing w:after="120"/>
        <w:contextualSpacing w:val="0"/>
        <w:jc w:val="both"/>
        <w:rPr>
          <w:sz w:val="21"/>
          <w:szCs w:val="21"/>
        </w:rPr>
      </w:pPr>
      <w:r w:rsidRPr="00767418">
        <w:rPr>
          <w:sz w:val="21"/>
          <w:szCs w:val="21"/>
        </w:rPr>
        <w:t>I</w:t>
      </w:r>
      <w:r w:rsidR="00CB1AA6" w:rsidRPr="00767418">
        <w:rPr>
          <w:sz w:val="21"/>
          <w:szCs w:val="21"/>
        </w:rPr>
        <w:t xml:space="preserve">f </w:t>
      </w:r>
      <w:r>
        <w:rPr>
          <w:sz w:val="21"/>
          <w:szCs w:val="21"/>
        </w:rPr>
        <w:t xml:space="preserve">there are </w:t>
      </w:r>
      <w:r w:rsidR="00CB1AA6" w:rsidRPr="00767418">
        <w:rPr>
          <w:sz w:val="21"/>
          <w:szCs w:val="21"/>
        </w:rPr>
        <w:t xml:space="preserve">data points </w:t>
      </w:r>
      <w:r>
        <w:rPr>
          <w:sz w:val="21"/>
          <w:szCs w:val="21"/>
        </w:rPr>
        <w:t xml:space="preserve">in </w:t>
      </w:r>
      <w:r w:rsidR="00CB1AA6" w:rsidRPr="00767418">
        <w:rPr>
          <w:sz w:val="21"/>
          <w:szCs w:val="21"/>
        </w:rPr>
        <w:t>item-element combinations that by definition are derived from other data points (e.g. data calculated as ratio, data transformed by conversion of units, data calculated by aggregation), th</w:t>
      </w:r>
      <w:r w:rsidR="0026738F" w:rsidRPr="00767418">
        <w:rPr>
          <w:sz w:val="21"/>
          <w:szCs w:val="21"/>
        </w:rPr>
        <w:t>o</w:t>
      </w:r>
      <w:r w:rsidR="00CB1AA6" w:rsidRPr="00767418">
        <w:rPr>
          <w:sz w:val="21"/>
          <w:szCs w:val="21"/>
        </w:rPr>
        <w:t xml:space="preserve">se </w:t>
      </w:r>
      <w:r>
        <w:rPr>
          <w:sz w:val="21"/>
          <w:szCs w:val="21"/>
        </w:rPr>
        <w:t xml:space="preserve">data points are not </w:t>
      </w:r>
      <w:r w:rsidR="00CB1AA6" w:rsidRPr="00767418">
        <w:rPr>
          <w:sz w:val="21"/>
          <w:szCs w:val="21"/>
        </w:rPr>
        <w:t>counted</w:t>
      </w:r>
      <w:r>
        <w:rPr>
          <w:sz w:val="21"/>
          <w:szCs w:val="21"/>
        </w:rPr>
        <w:t xml:space="preserve"> in this total</w:t>
      </w:r>
      <w:r w:rsidR="00CB1AA6" w:rsidRPr="00767418">
        <w:rPr>
          <w:sz w:val="21"/>
          <w:szCs w:val="21"/>
        </w:rPr>
        <w:t xml:space="preserve">. This restriction </w:t>
      </w:r>
      <w:r>
        <w:rPr>
          <w:sz w:val="21"/>
          <w:szCs w:val="21"/>
        </w:rPr>
        <w:t xml:space="preserve">also applies </w:t>
      </w:r>
      <w:r w:rsidR="00CB1AA6" w:rsidRPr="00767418">
        <w:rPr>
          <w:sz w:val="21"/>
          <w:szCs w:val="21"/>
        </w:rPr>
        <w:t>to ‘number of data points’</w:t>
      </w:r>
      <w:r w:rsidR="0026738F" w:rsidRPr="00767418">
        <w:rPr>
          <w:sz w:val="21"/>
          <w:szCs w:val="21"/>
        </w:rPr>
        <w:t xml:space="preserve"> and </w:t>
      </w:r>
      <w:r w:rsidR="00CB1AA6" w:rsidRPr="00767418">
        <w:rPr>
          <w:sz w:val="21"/>
          <w:szCs w:val="21"/>
        </w:rPr>
        <w:t>‘</w:t>
      </w:r>
      <w:r>
        <w:rPr>
          <w:sz w:val="21"/>
          <w:szCs w:val="21"/>
        </w:rPr>
        <w:t>number of official data points’</w:t>
      </w:r>
      <w:r w:rsidR="0026738F" w:rsidRPr="00767418">
        <w:rPr>
          <w:sz w:val="21"/>
          <w:szCs w:val="21"/>
        </w:rPr>
        <w:t>.</w:t>
      </w:r>
    </w:p>
    <w:p w:rsidR="00E86470" w:rsidRDefault="00911769" w:rsidP="000D7739">
      <w:pPr>
        <w:pStyle w:val="ListParagraph"/>
        <w:jc w:val="both"/>
      </w:pPr>
      <w:r w:rsidRPr="003F5F94">
        <w:rPr>
          <w:b/>
          <w:u w:val="single"/>
        </w:rPr>
        <w:t>Automatic proxy</w:t>
      </w:r>
      <w:r w:rsidR="000D7739">
        <w:rPr>
          <w:rStyle w:val="FootnoteReference"/>
          <w:b/>
        </w:rPr>
        <w:footnoteReference w:id="3"/>
      </w:r>
      <w:r w:rsidR="003F5F94">
        <w:rPr>
          <w:b/>
        </w:rPr>
        <w:t>:</w:t>
      </w:r>
      <w:r>
        <w:t xml:space="preserve"> </w:t>
      </w:r>
      <w:r w:rsidR="000D7739" w:rsidRPr="000D7739">
        <w:t>S</w:t>
      </w:r>
      <w:r w:rsidR="00FC288B" w:rsidRPr="000D7739">
        <w:t xml:space="preserve">elect those </w:t>
      </w:r>
      <w:r w:rsidR="00BC5D9B" w:rsidRPr="000D7739">
        <w:t>lines (area-item-element</w:t>
      </w:r>
      <w:r w:rsidR="00FC288B" w:rsidRPr="000D7739">
        <w:t xml:space="preserve"> combinations</w:t>
      </w:r>
      <w:r w:rsidR="00BC5D9B" w:rsidRPr="000D7739">
        <w:t xml:space="preserve">) with at least one </w:t>
      </w:r>
      <w:r w:rsidR="00FC288B" w:rsidRPr="000D7739">
        <w:t xml:space="preserve">value different from </w:t>
      </w:r>
      <w:r w:rsidR="00341440" w:rsidRPr="000D7739">
        <w:t xml:space="preserve">blank-blank and </w:t>
      </w:r>
      <w:r w:rsidR="0097180C" w:rsidRPr="000D7739">
        <w:t xml:space="preserve">zero </w:t>
      </w:r>
      <w:r w:rsidR="00341440" w:rsidRPr="000D7739">
        <w:t>(where zero includes all zero values</w:t>
      </w:r>
      <w:r w:rsidR="00341440" w:rsidRPr="000D7739">
        <w:rPr>
          <w:rStyle w:val="FootnoteReference"/>
        </w:rPr>
        <w:footnoteReference w:id="4"/>
      </w:r>
      <w:r w:rsidR="00341440" w:rsidRPr="000D7739">
        <w:t xml:space="preserve">, also those with </w:t>
      </w:r>
      <w:r w:rsidR="0097180C" w:rsidRPr="000D7739">
        <w:t xml:space="preserve">flags </w:t>
      </w:r>
      <w:r w:rsidR="00FC288B" w:rsidRPr="000D7739">
        <w:t>O, M</w:t>
      </w:r>
      <w:r w:rsidR="0097180C" w:rsidRPr="000D7739">
        <w:t xml:space="preserve">, Q and </w:t>
      </w:r>
      <w:r w:rsidR="00FC288B" w:rsidRPr="000D7739">
        <w:t>N</w:t>
      </w:r>
      <w:r w:rsidR="0097180C" w:rsidRPr="000D7739">
        <w:t>)</w:t>
      </w:r>
      <w:r w:rsidR="00A702F4" w:rsidRPr="000D7739">
        <w:t xml:space="preserve">, and </w:t>
      </w:r>
      <w:r w:rsidR="00FC288B" w:rsidRPr="000D7739">
        <w:t>count those lines</w:t>
      </w:r>
      <w:r w:rsidR="00A702F4" w:rsidRPr="000D7739">
        <w:t xml:space="preserve">. Then subtract from the line count the number of data points </w:t>
      </w:r>
      <w:r w:rsidR="00525B1B">
        <w:t>with</w:t>
      </w:r>
      <w:r w:rsidR="00A702F4" w:rsidRPr="000D7739">
        <w:t xml:space="preserve">in those lines </w:t>
      </w:r>
      <w:r w:rsidR="00FC288B" w:rsidRPr="000D7739">
        <w:t>with 0</w:t>
      </w:r>
      <w:r w:rsidR="00FC288B" w:rsidRPr="000D7739">
        <w:noBreakHyphen/>
        <w:t xml:space="preserve">M for </w:t>
      </w:r>
      <w:r w:rsidR="00A702F4" w:rsidRPr="000D7739">
        <w:t>the selected year (example provided in next page).</w:t>
      </w:r>
      <w:r w:rsidR="00E86470">
        <w:br w:type="page"/>
      </w:r>
    </w:p>
    <w:p w:rsidR="008614D3" w:rsidRDefault="008614D3" w:rsidP="008614D3">
      <w:pPr>
        <w:pStyle w:val="Heading2"/>
      </w:pPr>
      <w:r>
        <w:lastRenderedPageBreak/>
        <w:t>Number of data points</w:t>
      </w:r>
    </w:p>
    <w:p w:rsidR="00583E37" w:rsidRDefault="008614D3" w:rsidP="00583E37">
      <w:pPr>
        <w:pStyle w:val="ListParagraph"/>
        <w:jc w:val="both"/>
      </w:pPr>
      <w:r>
        <w:t xml:space="preserve">Total number of data points with values in a dataset, for a particular year. It excludes </w:t>
      </w:r>
      <w:r w:rsidRPr="008614D3">
        <w:t xml:space="preserve">missing, suppressed and not applicable values, </w:t>
      </w:r>
      <w:r w:rsidR="00163F41">
        <w:t>as well as</w:t>
      </w:r>
      <w:r w:rsidRPr="008614D3">
        <w:t xml:space="preserve"> blanks</w:t>
      </w:r>
      <w:r>
        <w:t>.</w:t>
      </w:r>
      <w:r w:rsidR="00583E37">
        <w:t xml:space="preserve"> </w:t>
      </w:r>
    </w:p>
    <w:p w:rsidR="000D7739" w:rsidRDefault="00A50623" w:rsidP="00583E37">
      <w:pPr>
        <w:pStyle w:val="ListParagraph"/>
        <w:jc w:val="both"/>
      </w:pPr>
      <w:r>
        <w:t>T</w:t>
      </w:r>
      <w:r w:rsidR="00583E37">
        <w:t>he o</w:t>
      </w:r>
      <w:r w:rsidR="008614D3" w:rsidRPr="00583E37">
        <w:t xml:space="preserve">bservation flags </w:t>
      </w:r>
      <w:r w:rsidR="00583E37" w:rsidRPr="00583E37">
        <w:t xml:space="preserve">to be excluded </w:t>
      </w:r>
      <w:r w:rsidR="00DE474A" w:rsidRPr="00583E37">
        <w:t>are</w:t>
      </w:r>
      <w:r w:rsidR="00DE474A">
        <w:t>:</w:t>
      </w:r>
      <w:r w:rsidR="00583E37" w:rsidRPr="00583E37">
        <w:t xml:space="preserve"> </w:t>
      </w:r>
      <w:r w:rsidR="00BD17B5" w:rsidRPr="00583E37">
        <w:rPr>
          <w:b/>
        </w:rPr>
        <w:t>O</w:t>
      </w:r>
      <w:r w:rsidR="00BD17B5" w:rsidRPr="00583E37">
        <w:t xml:space="preserve">, </w:t>
      </w:r>
      <w:r w:rsidR="00BD17B5" w:rsidRPr="00583E37">
        <w:rPr>
          <w:b/>
        </w:rPr>
        <w:t>M</w:t>
      </w:r>
      <w:r w:rsidR="00BD17B5" w:rsidRPr="00583E37">
        <w:t xml:space="preserve">, </w:t>
      </w:r>
      <w:r w:rsidR="00BD17B5" w:rsidRPr="00583E37">
        <w:rPr>
          <w:b/>
        </w:rPr>
        <w:t>Q</w:t>
      </w:r>
      <w:r w:rsidR="00583E37">
        <w:t xml:space="preserve"> and</w:t>
      </w:r>
      <w:r w:rsidR="00BD17B5" w:rsidRPr="00583E37">
        <w:t xml:space="preserve">, </w:t>
      </w:r>
      <w:r w:rsidR="00BD17B5" w:rsidRPr="00583E37">
        <w:rPr>
          <w:b/>
        </w:rPr>
        <w:t>blank-blank</w:t>
      </w:r>
      <w:r w:rsidR="00583E37">
        <w:t xml:space="preserve"> </w:t>
      </w:r>
      <w:r w:rsidR="00BD17B5" w:rsidRPr="00583E37">
        <w:t>(</w:t>
      </w:r>
      <w:r w:rsidR="00583E37">
        <w:t>n</w:t>
      </w:r>
      <w:r w:rsidR="00BD17B5" w:rsidRPr="00583E37">
        <w:t xml:space="preserve">ote </w:t>
      </w:r>
      <w:r w:rsidR="00163F41">
        <w:t xml:space="preserve">that </w:t>
      </w:r>
      <w:r w:rsidR="00BD17B5" w:rsidRPr="00583E37">
        <w:t>blank-blank is different from value-blank</w:t>
      </w:r>
      <w:r w:rsidR="00163F41">
        <w:t xml:space="preserve">; the </w:t>
      </w:r>
      <w:r>
        <w:t xml:space="preserve">former </w:t>
      </w:r>
      <w:r w:rsidR="008B02A7">
        <w:t xml:space="preserve">is the result of no input whereas the </w:t>
      </w:r>
      <w:r w:rsidR="00163F41">
        <w:t>latter means ‘</w:t>
      </w:r>
      <w:r w:rsidR="00163F41" w:rsidRPr="00583E37">
        <w:t>official data</w:t>
      </w:r>
      <w:r w:rsidR="00163F41">
        <w:t>’</w:t>
      </w:r>
      <w:r w:rsidR="00BD17B5" w:rsidRPr="00583E37">
        <w:t>)</w:t>
      </w:r>
      <w:r w:rsidR="008B02A7">
        <w:t>.</w:t>
      </w:r>
    </w:p>
    <w:p w:rsidR="00163F41" w:rsidRDefault="00163F41" w:rsidP="00583E37">
      <w:pPr>
        <w:pStyle w:val="ListParagraph"/>
        <w:jc w:val="both"/>
      </w:pPr>
    </w:p>
    <w:p w:rsidR="00E86470" w:rsidRPr="000D7739" w:rsidRDefault="00E86470" w:rsidP="000D7739">
      <w:pPr>
        <w:pStyle w:val="Heading2"/>
        <w:numPr>
          <w:ilvl w:val="0"/>
          <w:numId w:val="0"/>
        </w:numPr>
        <w:spacing w:after="240"/>
      </w:pPr>
      <w:r w:rsidRPr="000D7739">
        <w:t xml:space="preserve">Example of calculation of </w:t>
      </w:r>
      <w:r w:rsidR="005C28BB" w:rsidRPr="000D7739">
        <w:t>“Number of data points” and “Number of expected data points (</w:t>
      </w:r>
      <w:r w:rsidRPr="000D7739">
        <w:t>by the automatic proxy method</w:t>
      </w:r>
      <w:r w:rsidR="005C28BB" w:rsidRPr="000D7739">
        <w:t>)”</w:t>
      </w:r>
      <w:r w:rsidRPr="000D7739">
        <w:t>:</w:t>
      </w:r>
    </w:p>
    <w:p w:rsidR="005C28BB" w:rsidRDefault="005C28BB" w:rsidP="00BA4305">
      <w:pPr>
        <w:jc w:val="both"/>
      </w:pPr>
      <w:r>
        <w:t xml:space="preserve">The first table shows the </w:t>
      </w:r>
      <w:r w:rsidR="0097180C">
        <w:t xml:space="preserve">value (‘#’ representing any </w:t>
      </w:r>
      <w:r w:rsidR="00457F04">
        <w:t>value</w:t>
      </w:r>
      <w:r w:rsidR="0097180C">
        <w:t xml:space="preserve"> different from zero)</w:t>
      </w:r>
      <w:r w:rsidR="00341440">
        <w:t xml:space="preserve"> and the</w:t>
      </w:r>
      <w:r w:rsidR="0097180C">
        <w:t xml:space="preserve"> </w:t>
      </w:r>
      <w:r>
        <w:t>observation flags</w:t>
      </w:r>
      <w:r w:rsidR="00894FFF">
        <w:t>. The second table</w:t>
      </w:r>
      <w:r>
        <w:t xml:space="preserve"> shows the corresponding </w:t>
      </w:r>
      <w:r w:rsidR="00341440">
        <w:t>counts</w:t>
      </w:r>
      <w:r w:rsidR="00457F04">
        <w:t>.</w:t>
      </w:r>
    </w:p>
    <w:tbl>
      <w:tblPr>
        <w:tblStyle w:val="TableGrid"/>
        <w:tblW w:w="9353" w:type="dxa"/>
        <w:jc w:val="center"/>
        <w:tblLook w:val="04A0" w:firstRow="1" w:lastRow="0" w:firstColumn="1" w:lastColumn="0" w:noHBand="0" w:noVBand="1"/>
      </w:tblPr>
      <w:tblGrid>
        <w:gridCol w:w="3118"/>
        <w:gridCol w:w="1247"/>
        <w:gridCol w:w="1247"/>
        <w:gridCol w:w="1247"/>
        <w:gridCol w:w="1247"/>
        <w:gridCol w:w="1247"/>
      </w:tblGrid>
      <w:tr w:rsidR="00E86470" w:rsidTr="00EB3E2E">
        <w:trPr>
          <w:trHeight w:val="397"/>
          <w:jc w:val="center"/>
        </w:trPr>
        <w:tc>
          <w:tcPr>
            <w:tcW w:w="3118" w:type="dxa"/>
            <w:tcBorders>
              <w:right w:val="single" w:sz="4" w:space="0" w:color="auto"/>
            </w:tcBorders>
            <w:vAlign w:val="center"/>
          </w:tcPr>
          <w:p w:rsidR="00E86470" w:rsidRDefault="00E86470" w:rsidP="00E86470">
            <w:r>
              <w:t>Year</w:t>
            </w:r>
          </w:p>
        </w:tc>
        <w:tc>
          <w:tcPr>
            <w:tcW w:w="1247" w:type="dxa"/>
            <w:tcBorders>
              <w:top w:val="single" w:sz="4" w:space="0" w:color="auto"/>
              <w:left w:val="single" w:sz="4" w:space="0" w:color="auto"/>
              <w:bottom w:val="single" w:sz="4" w:space="0" w:color="auto"/>
              <w:right w:val="single" w:sz="4" w:space="0" w:color="auto"/>
            </w:tcBorders>
            <w:vAlign w:val="center"/>
          </w:tcPr>
          <w:p w:rsidR="00E86470" w:rsidRDefault="00E86470" w:rsidP="00E86470">
            <w:pPr>
              <w:jc w:val="center"/>
            </w:pPr>
            <w:r>
              <w:t>2014</w:t>
            </w:r>
          </w:p>
        </w:tc>
        <w:tc>
          <w:tcPr>
            <w:tcW w:w="1247" w:type="dxa"/>
            <w:tcBorders>
              <w:top w:val="single" w:sz="4" w:space="0" w:color="auto"/>
              <w:left w:val="single" w:sz="4" w:space="0" w:color="auto"/>
              <w:bottom w:val="single" w:sz="4" w:space="0" w:color="auto"/>
              <w:right w:val="single" w:sz="4" w:space="0" w:color="auto"/>
            </w:tcBorders>
            <w:vAlign w:val="center"/>
          </w:tcPr>
          <w:p w:rsidR="00E86470" w:rsidRDefault="00E86470" w:rsidP="00E86470">
            <w:pPr>
              <w:jc w:val="center"/>
            </w:pPr>
            <w:r>
              <w:t>2015</w:t>
            </w:r>
          </w:p>
        </w:tc>
        <w:tc>
          <w:tcPr>
            <w:tcW w:w="1247" w:type="dxa"/>
            <w:tcBorders>
              <w:top w:val="single" w:sz="4" w:space="0" w:color="auto"/>
              <w:left w:val="single" w:sz="4" w:space="0" w:color="auto"/>
              <w:bottom w:val="single" w:sz="4" w:space="0" w:color="auto"/>
              <w:right w:val="single" w:sz="4" w:space="0" w:color="auto"/>
            </w:tcBorders>
            <w:vAlign w:val="center"/>
          </w:tcPr>
          <w:p w:rsidR="00E86470" w:rsidRDefault="00E86470" w:rsidP="00E86470">
            <w:pPr>
              <w:jc w:val="center"/>
            </w:pPr>
            <w:r>
              <w:t>2016</w:t>
            </w:r>
          </w:p>
        </w:tc>
        <w:tc>
          <w:tcPr>
            <w:tcW w:w="1247" w:type="dxa"/>
            <w:tcBorders>
              <w:top w:val="single" w:sz="4" w:space="0" w:color="auto"/>
              <w:left w:val="single" w:sz="4" w:space="0" w:color="auto"/>
              <w:bottom w:val="single" w:sz="4" w:space="0" w:color="auto"/>
              <w:right w:val="single" w:sz="4" w:space="0" w:color="auto"/>
            </w:tcBorders>
            <w:vAlign w:val="center"/>
          </w:tcPr>
          <w:p w:rsidR="00E86470" w:rsidRDefault="00E86470" w:rsidP="00E86470">
            <w:pPr>
              <w:jc w:val="center"/>
            </w:pPr>
            <w:r>
              <w:t>2017</w:t>
            </w:r>
          </w:p>
        </w:tc>
        <w:tc>
          <w:tcPr>
            <w:tcW w:w="1247" w:type="dxa"/>
            <w:tcBorders>
              <w:top w:val="single" w:sz="4" w:space="0" w:color="auto"/>
              <w:left w:val="single" w:sz="4" w:space="0" w:color="auto"/>
              <w:bottom w:val="single" w:sz="4" w:space="0" w:color="auto"/>
              <w:right w:val="single" w:sz="4" w:space="0" w:color="auto"/>
            </w:tcBorders>
            <w:vAlign w:val="center"/>
          </w:tcPr>
          <w:p w:rsidR="00E86470" w:rsidRDefault="00E86470" w:rsidP="00E86470">
            <w:pPr>
              <w:jc w:val="center"/>
            </w:pPr>
            <w:r>
              <w:t>2018</w:t>
            </w:r>
          </w:p>
        </w:tc>
      </w:tr>
      <w:tr w:rsidR="0097180C" w:rsidTr="00EB3E2E">
        <w:trPr>
          <w:trHeight w:val="397"/>
          <w:jc w:val="center"/>
        </w:trPr>
        <w:tc>
          <w:tcPr>
            <w:tcW w:w="3118" w:type="dxa"/>
            <w:vAlign w:val="center"/>
          </w:tcPr>
          <w:p w:rsidR="0097180C" w:rsidRDefault="0097180C" w:rsidP="0097180C">
            <w:r>
              <w:t>Area-Item-Element 1</w:t>
            </w:r>
          </w:p>
        </w:tc>
        <w:tc>
          <w:tcPr>
            <w:tcW w:w="1247" w:type="dxa"/>
            <w:tcBorders>
              <w:top w:val="single" w:sz="4" w:space="0" w:color="auto"/>
            </w:tcBorders>
            <w:vAlign w:val="center"/>
          </w:tcPr>
          <w:p w:rsidR="0097180C" w:rsidRDefault="0097180C" w:rsidP="0097180C">
            <w:pPr>
              <w:jc w:val="center"/>
            </w:pPr>
            <w:r>
              <w:t># - &lt;blank&gt;</w:t>
            </w:r>
          </w:p>
        </w:tc>
        <w:tc>
          <w:tcPr>
            <w:tcW w:w="1247" w:type="dxa"/>
            <w:tcBorders>
              <w:top w:val="single" w:sz="4" w:space="0" w:color="auto"/>
            </w:tcBorders>
            <w:vAlign w:val="center"/>
          </w:tcPr>
          <w:p w:rsidR="0097180C" w:rsidRDefault="0097180C" w:rsidP="0097180C">
            <w:pPr>
              <w:jc w:val="center"/>
            </w:pPr>
            <w:r w:rsidRPr="00780F62">
              <w:t># - &lt;blank&gt;</w:t>
            </w:r>
          </w:p>
        </w:tc>
        <w:tc>
          <w:tcPr>
            <w:tcW w:w="1247" w:type="dxa"/>
            <w:tcBorders>
              <w:top w:val="single" w:sz="4" w:space="0" w:color="auto"/>
            </w:tcBorders>
            <w:vAlign w:val="center"/>
          </w:tcPr>
          <w:p w:rsidR="0097180C" w:rsidRDefault="0097180C" w:rsidP="0097180C">
            <w:pPr>
              <w:jc w:val="center"/>
            </w:pPr>
            <w:r w:rsidRPr="00136372">
              <w:t># - &lt;blank&gt;</w:t>
            </w:r>
          </w:p>
        </w:tc>
        <w:tc>
          <w:tcPr>
            <w:tcW w:w="1247" w:type="dxa"/>
            <w:tcBorders>
              <w:top w:val="single" w:sz="4" w:space="0" w:color="auto"/>
            </w:tcBorders>
            <w:vAlign w:val="center"/>
          </w:tcPr>
          <w:p w:rsidR="0097180C" w:rsidRDefault="0097180C" w:rsidP="0097180C">
            <w:pPr>
              <w:jc w:val="center"/>
            </w:pPr>
            <w:r w:rsidRPr="00136372">
              <w:t># - &lt;blank&gt;</w:t>
            </w:r>
          </w:p>
        </w:tc>
        <w:tc>
          <w:tcPr>
            <w:tcW w:w="1247" w:type="dxa"/>
            <w:tcBorders>
              <w:top w:val="single" w:sz="4" w:space="0" w:color="auto"/>
            </w:tcBorders>
            <w:vAlign w:val="center"/>
          </w:tcPr>
          <w:p w:rsidR="0097180C" w:rsidRDefault="0097180C" w:rsidP="0097180C">
            <w:pPr>
              <w:jc w:val="center"/>
            </w:pPr>
            <w:r w:rsidRPr="00136372">
              <w:t># - &lt;blank&gt;</w:t>
            </w:r>
          </w:p>
        </w:tc>
      </w:tr>
      <w:tr w:rsidR="0097180C" w:rsidTr="0097180C">
        <w:trPr>
          <w:trHeight w:val="397"/>
          <w:jc w:val="center"/>
        </w:trPr>
        <w:tc>
          <w:tcPr>
            <w:tcW w:w="3118" w:type="dxa"/>
            <w:vAlign w:val="center"/>
          </w:tcPr>
          <w:p w:rsidR="0097180C" w:rsidRDefault="0097180C" w:rsidP="0097180C">
            <w:r>
              <w:t>Area-Item-Element 2</w:t>
            </w:r>
          </w:p>
        </w:tc>
        <w:tc>
          <w:tcPr>
            <w:tcW w:w="1247" w:type="dxa"/>
            <w:vAlign w:val="center"/>
          </w:tcPr>
          <w:p w:rsidR="0097180C" w:rsidRDefault="0097180C" w:rsidP="0097180C">
            <w:pPr>
              <w:jc w:val="center"/>
            </w:pPr>
            <w:r w:rsidRPr="005B2B09">
              <w:t># - &lt;blank&gt;</w:t>
            </w:r>
          </w:p>
        </w:tc>
        <w:tc>
          <w:tcPr>
            <w:tcW w:w="1247" w:type="dxa"/>
            <w:vAlign w:val="center"/>
          </w:tcPr>
          <w:p w:rsidR="0097180C" w:rsidRDefault="0097180C" w:rsidP="0097180C">
            <w:pPr>
              <w:jc w:val="center"/>
            </w:pPr>
            <w:r w:rsidRPr="00780F62">
              <w:t># - &lt;blank&gt;</w:t>
            </w:r>
          </w:p>
        </w:tc>
        <w:tc>
          <w:tcPr>
            <w:tcW w:w="1247" w:type="dxa"/>
            <w:vAlign w:val="center"/>
          </w:tcPr>
          <w:p w:rsidR="0097180C" w:rsidRDefault="0097180C" w:rsidP="0097180C">
            <w:pPr>
              <w:jc w:val="center"/>
            </w:pPr>
            <w:r>
              <w:t># - &lt;blank&gt;</w:t>
            </w:r>
          </w:p>
        </w:tc>
        <w:tc>
          <w:tcPr>
            <w:tcW w:w="1247" w:type="dxa"/>
            <w:vAlign w:val="center"/>
          </w:tcPr>
          <w:p w:rsidR="0097180C" w:rsidRDefault="0097180C" w:rsidP="0097180C">
            <w:pPr>
              <w:jc w:val="center"/>
            </w:pPr>
            <w:r>
              <w:t># - I</w:t>
            </w:r>
          </w:p>
        </w:tc>
        <w:tc>
          <w:tcPr>
            <w:tcW w:w="1247" w:type="dxa"/>
            <w:vAlign w:val="center"/>
          </w:tcPr>
          <w:p w:rsidR="0097180C" w:rsidRDefault="0097180C" w:rsidP="0097180C">
            <w:pPr>
              <w:jc w:val="center"/>
            </w:pPr>
            <w:r>
              <w:t># - I</w:t>
            </w:r>
          </w:p>
        </w:tc>
      </w:tr>
      <w:tr w:rsidR="0097180C" w:rsidTr="00571D6D">
        <w:trPr>
          <w:trHeight w:val="397"/>
          <w:jc w:val="center"/>
        </w:trPr>
        <w:tc>
          <w:tcPr>
            <w:tcW w:w="3118" w:type="dxa"/>
            <w:vAlign w:val="center"/>
          </w:tcPr>
          <w:p w:rsidR="0097180C" w:rsidRDefault="0097180C" w:rsidP="0097180C">
            <w:r>
              <w:t>Area-Item-Element 3</w:t>
            </w:r>
          </w:p>
        </w:tc>
        <w:tc>
          <w:tcPr>
            <w:tcW w:w="1247" w:type="dxa"/>
            <w:vAlign w:val="center"/>
          </w:tcPr>
          <w:p w:rsidR="0097180C" w:rsidRDefault="0097180C" w:rsidP="0097180C">
            <w:pPr>
              <w:jc w:val="center"/>
            </w:pPr>
            <w:r w:rsidRPr="005B2B09">
              <w:t># - &lt;blank&gt;</w:t>
            </w:r>
          </w:p>
        </w:tc>
        <w:tc>
          <w:tcPr>
            <w:tcW w:w="1247" w:type="dxa"/>
            <w:vAlign w:val="center"/>
          </w:tcPr>
          <w:p w:rsidR="0097180C" w:rsidRDefault="0097180C" w:rsidP="0097180C">
            <w:pPr>
              <w:jc w:val="center"/>
            </w:pPr>
            <w:r w:rsidRPr="00780F62">
              <w:t># - &lt;blank&gt;</w:t>
            </w:r>
          </w:p>
        </w:tc>
        <w:tc>
          <w:tcPr>
            <w:tcW w:w="1247" w:type="dxa"/>
            <w:shd w:val="clear" w:color="auto" w:fill="9CC2E5" w:themeFill="accent1" w:themeFillTint="99"/>
            <w:vAlign w:val="center"/>
          </w:tcPr>
          <w:p w:rsidR="0097180C" w:rsidRDefault="0097180C" w:rsidP="0097180C">
            <w:pPr>
              <w:jc w:val="center"/>
            </w:pPr>
            <w:r>
              <w:t>0 - M</w:t>
            </w:r>
          </w:p>
        </w:tc>
        <w:tc>
          <w:tcPr>
            <w:tcW w:w="1247" w:type="dxa"/>
            <w:shd w:val="clear" w:color="auto" w:fill="9CC2E5" w:themeFill="accent1" w:themeFillTint="99"/>
            <w:vAlign w:val="center"/>
          </w:tcPr>
          <w:p w:rsidR="0097180C" w:rsidRDefault="0097180C" w:rsidP="0097180C">
            <w:pPr>
              <w:jc w:val="center"/>
            </w:pPr>
            <w:r>
              <w:t>0 - M</w:t>
            </w:r>
          </w:p>
        </w:tc>
        <w:tc>
          <w:tcPr>
            <w:tcW w:w="1247" w:type="dxa"/>
            <w:shd w:val="clear" w:color="auto" w:fill="9CC2E5" w:themeFill="accent1" w:themeFillTint="99"/>
            <w:vAlign w:val="center"/>
          </w:tcPr>
          <w:p w:rsidR="0097180C" w:rsidRDefault="0097180C" w:rsidP="0097180C">
            <w:pPr>
              <w:jc w:val="center"/>
            </w:pPr>
            <w:r>
              <w:t>0 - M</w:t>
            </w:r>
          </w:p>
        </w:tc>
      </w:tr>
      <w:tr w:rsidR="00E86470" w:rsidTr="00571D6D">
        <w:trPr>
          <w:trHeight w:val="397"/>
          <w:jc w:val="center"/>
        </w:trPr>
        <w:tc>
          <w:tcPr>
            <w:tcW w:w="3118" w:type="dxa"/>
            <w:vAlign w:val="center"/>
          </w:tcPr>
          <w:p w:rsidR="00E86470" w:rsidRDefault="00E86470" w:rsidP="00E86470">
            <w:r>
              <w:t>Area-Item-Element 4</w:t>
            </w:r>
          </w:p>
        </w:tc>
        <w:tc>
          <w:tcPr>
            <w:tcW w:w="1247" w:type="dxa"/>
            <w:shd w:val="clear" w:color="auto" w:fill="DEEAF6" w:themeFill="accent1" w:themeFillTint="33"/>
            <w:vAlign w:val="center"/>
          </w:tcPr>
          <w:p w:rsidR="00E86470" w:rsidRDefault="0097180C" w:rsidP="0097180C">
            <w:pPr>
              <w:jc w:val="center"/>
            </w:pPr>
            <w:r>
              <w:t>0 - O</w:t>
            </w:r>
          </w:p>
        </w:tc>
        <w:tc>
          <w:tcPr>
            <w:tcW w:w="1247" w:type="dxa"/>
            <w:shd w:val="clear" w:color="auto" w:fill="auto"/>
            <w:vAlign w:val="center"/>
          </w:tcPr>
          <w:p w:rsidR="0097180C" w:rsidRDefault="0097180C" w:rsidP="0097180C">
            <w:pPr>
              <w:jc w:val="center"/>
            </w:pPr>
            <w:r>
              <w:t># - I</w:t>
            </w:r>
          </w:p>
        </w:tc>
        <w:tc>
          <w:tcPr>
            <w:tcW w:w="1247" w:type="dxa"/>
            <w:shd w:val="clear" w:color="auto" w:fill="DEEAF6" w:themeFill="accent1" w:themeFillTint="33"/>
            <w:vAlign w:val="center"/>
          </w:tcPr>
          <w:p w:rsidR="00E86470" w:rsidRDefault="0097180C" w:rsidP="0097180C">
            <w:pPr>
              <w:jc w:val="center"/>
            </w:pPr>
            <w:r>
              <w:t xml:space="preserve">0 - </w:t>
            </w:r>
            <w:r w:rsidR="00E86470">
              <w:t>O</w:t>
            </w:r>
          </w:p>
        </w:tc>
        <w:tc>
          <w:tcPr>
            <w:tcW w:w="1247" w:type="dxa"/>
            <w:shd w:val="clear" w:color="auto" w:fill="DEEAF6" w:themeFill="accent1" w:themeFillTint="33"/>
            <w:vAlign w:val="center"/>
          </w:tcPr>
          <w:p w:rsidR="00E86470" w:rsidRDefault="0097180C" w:rsidP="0097180C">
            <w:pPr>
              <w:jc w:val="center"/>
            </w:pPr>
            <w:r>
              <w:t xml:space="preserve">0 - </w:t>
            </w:r>
            <w:r w:rsidR="00DC5BCB">
              <w:t>O</w:t>
            </w:r>
          </w:p>
        </w:tc>
        <w:tc>
          <w:tcPr>
            <w:tcW w:w="1247" w:type="dxa"/>
            <w:shd w:val="clear" w:color="auto" w:fill="DEEAF6" w:themeFill="accent1" w:themeFillTint="33"/>
            <w:vAlign w:val="center"/>
          </w:tcPr>
          <w:p w:rsidR="00E86470" w:rsidRDefault="0097180C" w:rsidP="0097180C">
            <w:pPr>
              <w:jc w:val="center"/>
            </w:pPr>
            <w:r>
              <w:t xml:space="preserve">0 - </w:t>
            </w:r>
            <w:r w:rsidR="00DC5BCB">
              <w:t>O</w:t>
            </w:r>
          </w:p>
        </w:tc>
      </w:tr>
      <w:tr w:rsidR="00E86470" w:rsidTr="00571D6D">
        <w:trPr>
          <w:trHeight w:val="397"/>
          <w:jc w:val="center"/>
        </w:trPr>
        <w:tc>
          <w:tcPr>
            <w:tcW w:w="3118" w:type="dxa"/>
            <w:vAlign w:val="center"/>
          </w:tcPr>
          <w:p w:rsidR="00E86470" w:rsidRDefault="00E86470" w:rsidP="00E86470">
            <w:r>
              <w:t>Area-Item-Element 5</w:t>
            </w:r>
          </w:p>
        </w:tc>
        <w:tc>
          <w:tcPr>
            <w:tcW w:w="1247" w:type="dxa"/>
            <w:shd w:val="clear" w:color="auto" w:fill="DEEAF6" w:themeFill="accent1" w:themeFillTint="33"/>
            <w:vAlign w:val="center"/>
          </w:tcPr>
          <w:p w:rsidR="00E86470" w:rsidRDefault="0097180C" w:rsidP="0097180C">
            <w:pPr>
              <w:jc w:val="center"/>
            </w:pPr>
            <w:r>
              <w:t>0 - &lt;blank&gt;</w:t>
            </w:r>
          </w:p>
        </w:tc>
        <w:tc>
          <w:tcPr>
            <w:tcW w:w="1247" w:type="dxa"/>
            <w:shd w:val="clear" w:color="auto" w:fill="DEEAF6" w:themeFill="accent1" w:themeFillTint="33"/>
            <w:vAlign w:val="center"/>
          </w:tcPr>
          <w:p w:rsidR="00E86470" w:rsidRDefault="0097180C" w:rsidP="0097180C">
            <w:pPr>
              <w:jc w:val="center"/>
            </w:pPr>
            <w:r>
              <w:t>0 - I</w:t>
            </w:r>
          </w:p>
        </w:tc>
        <w:tc>
          <w:tcPr>
            <w:tcW w:w="1247" w:type="dxa"/>
            <w:shd w:val="clear" w:color="auto" w:fill="DEEAF6" w:themeFill="accent1" w:themeFillTint="33"/>
            <w:vAlign w:val="center"/>
          </w:tcPr>
          <w:p w:rsidR="00E86470" w:rsidRDefault="0097180C" w:rsidP="0097180C">
            <w:pPr>
              <w:jc w:val="center"/>
            </w:pPr>
            <w:r>
              <w:t>0 - I</w:t>
            </w:r>
          </w:p>
        </w:tc>
        <w:tc>
          <w:tcPr>
            <w:tcW w:w="1247" w:type="dxa"/>
            <w:shd w:val="clear" w:color="auto" w:fill="DEEAF6" w:themeFill="accent1" w:themeFillTint="33"/>
            <w:vAlign w:val="center"/>
          </w:tcPr>
          <w:p w:rsidR="00E86470" w:rsidRDefault="0097180C" w:rsidP="0097180C">
            <w:pPr>
              <w:jc w:val="center"/>
            </w:pPr>
            <w:r>
              <w:t xml:space="preserve">0 - </w:t>
            </w:r>
            <w:r w:rsidR="00E86470">
              <w:t>O</w:t>
            </w:r>
          </w:p>
        </w:tc>
        <w:tc>
          <w:tcPr>
            <w:tcW w:w="1247" w:type="dxa"/>
            <w:shd w:val="clear" w:color="auto" w:fill="DEEAF6" w:themeFill="accent1" w:themeFillTint="33"/>
            <w:vAlign w:val="center"/>
          </w:tcPr>
          <w:p w:rsidR="00E86470" w:rsidRPr="003B64DE" w:rsidRDefault="003B64DE" w:rsidP="0097180C">
            <w:pPr>
              <w:jc w:val="center"/>
              <w:rPr>
                <w:sz w:val="20"/>
                <w:szCs w:val="20"/>
              </w:rPr>
            </w:pPr>
            <w:r w:rsidRPr="003B64DE">
              <w:rPr>
                <w:color w:val="A6A6A6" w:themeColor="background1" w:themeShade="A6"/>
                <w:sz w:val="20"/>
                <w:szCs w:val="20"/>
              </w:rPr>
              <w:t>blank-blank</w:t>
            </w:r>
          </w:p>
        </w:tc>
      </w:tr>
      <w:tr w:rsidR="0097180C" w:rsidTr="00571D6D">
        <w:trPr>
          <w:trHeight w:val="397"/>
          <w:jc w:val="center"/>
        </w:trPr>
        <w:tc>
          <w:tcPr>
            <w:tcW w:w="3118" w:type="dxa"/>
            <w:vAlign w:val="center"/>
          </w:tcPr>
          <w:p w:rsidR="0097180C" w:rsidRDefault="0097180C" w:rsidP="0097180C">
            <w:r>
              <w:t>Area-Item-Element 6</w:t>
            </w:r>
          </w:p>
        </w:tc>
        <w:tc>
          <w:tcPr>
            <w:tcW w:w="1247" w:type="dxa"/>
            <w:shd w:val="clear" w:color="auto" w:fill="9CC2E5" w:themeFill="accent1" w:themeFillTint="99"/>
            <w:vAlign w:val="center"/>
          </w:tcPr>
          <w:p w:rsidR="0097180C" w:rsidRDefault="0097180C" w:rsidP="0097180C">
            <w:pPr>
              <w:jc w:val="center"/>
            </w:pPr>
            <w:r>
              <w:t>0 - M</w:t>
            </w:r>
          </w:p>
        </w:tc>
        <w:tc>
          <w:tcPr>
            <w:tcW w:w="1247" w:type="dxa"/>
            <w:shd w:val="clear" w:color="auto" w:fill="9CC2E5" w:themeFill="accent1" w:themeFillTint="99"/>
            <w:vAlign w:val="center"/>
          </w:tcPr>
          <w:p w:rsidR="0097180C" w:rsidRDefault="0097180C" w:rsidP="0097180C">
            <w:pPr>
              <w:jc w:val="center"/>
            </w:pPr>
            <w:r>
              <w:t>0 - M</w:t>
            </w:r>
          </w:p>
        </w:tc>
        <w:tc>
          <w:tcPr>
            <w:tcW w:w="1247" w:type="dxa"/>
            <w:shd w:val="clear" w:color="auto" w:fill="9CC2E5" w:themeFill="accent1" w:themeFillTint="99"/>
            <w:vAlign w:val="center"/>
          </w:tcPr>
          <w:p w:rsidR="0097180C" w:rsidRDefault="0097180C" w:rsidP="0097180C">
            <w:pPr>
              <w:jc w:val="center"/>
            </w:pPr>
            <w:r>
              <w:t xml:space="preserve">0 - </w:t>
            </w:r>
            <w:r w:rsidRPr="00BE73E4">
              <w:t>M</w:t>
            </w:r>
          </w:p>
        </w:tc>
        <w:tc>
          <w:tcPr>
            <w:tcW w:w="1247" w:type="dxa"/>
            <w:shd w:val="clear" w:color="auto" w:fill="DEEAF6" w:themeFill="accent1" w:themeFillTint="33"/>
            <w:vAlign w:val="center"/>
          </w:tcPr>
          <w:p w:rsidR="0097180C" w:rsidRDefault="0097180C" w:rsidP="0097180C">
            <w:pPr>
              <w:jc w:val="center"/>
            </w:pPr>
            <w:r>
              <w:t>0 - O</w:t>
            </w:r>
          </w:p>
        </w:tc>
        <w:tc>
          <w:tcPr>
            <w:tcW w:w="1247" w:type="dxa"/>
            <w:shd w:val="clear" w:color="auto" w:fill="DEEAF6" w:themeFill="accent1" w:themeFillTint="33"/>
            <w:vAlign w:val="center"/>
          </w:tcPr>
          <w:p w:rsidR="0097180C" w:rsidRDefault="0097180C" w:rsidP="0097180C">
            <w:pPr>
              <w:jc w:val="center"/>
            </w:pPr>
            <w:r>
              <w:t>0 - O</w:t>
            </w:r>
          </w:p>
        </w:tc>
      </w:tr>
    </w:tbl>
    <w:p w:rsidR="00E86470" w:rsidRPr="005C28BB" w:rsidRDefault="00E86470"/>
    <w:tbl>
      <w:tblPr>
        <w:tblStyle w:val="TableGrid"/>
        <w:tblW w:w="9353" w:type="dxa"/>
        <w:jc w:val="center"/>
        <w:tblLook w:val="04A0" w:firstRow="1" w:lastRow="0" w:firstColumn="1" w:lastColumn="0" w:noHBand="0" w:noVBand="1"/>
      </w:tblPr>
      <w:tblGrid>
        <w:gridCol w:w="3118"/>
        <w:gridCol w:w="1247"/>
        <w:gridCol w:w="1247"/>
        <w:gridCol w:w="1247"/>
        <w:gridCol w:w="1247"/>
        <w:gridCol w:w="1247"/>
      </w:tblGrid>
      <w:tr w:rsidR="00E86470" w:rsidTr="0097180C">
        <w:trPr>
          <w:trHeight w:val="397"/>
          <w:jc w:val="center"/>
        </w:trPr>
        <w:tc>
          <w:tcPr>
            <w:tcW w:w="3118" w:type="dxa"/>
            <w:vAlign w:val="center"/>
          </w:tcPr>
          <w:p w:rsidR="00E86470" w:rsidRDefault="00E86470" w:rsidP="00524879">
            <w:r>
              <w:t>Year</w:t>
            </w:r>
          </w:p>
        </w:tc>
        <w:tc>
          <w:tcPr>
            <w:tcW w:w="1247" w:type="dxa"/>
            <w:vAlign w:val="center"/>
          </w:tcPr>
          <w:p w:rsidR="00E86470" w:rsidRDefault="00E86470" w:rsidP="00524879">
            <w:pPr>
              <w:jc w:val="center"/>
            </w:pPr>
            <w:r>
              <w:t>2014</w:t>
            </w:r>
          </w:p>
        </w:tc>
        <w:tc>
          <w:tcPr>
            <w:tcW w:w="1247" w:type="dxa"/>
            <w:vAlign w:val="center"/>
          </w:tcPr>
          <w:p w:rsidR="00E86470" w:rsidRDefault="00E86470" w:rsidP="00524879">
            <w:pPr>
              <w:jc w:val="center"/>
            </w:pPr>
            <w:r>
              <w:t>2015</w:t>
            </w:r>
          </w:p>
        </w:tc>
        <w:tc>
          <w:tcPr>
            <w:tcW w:w="1247" w:type="dxa"/>
            <w:vAlign w:val="center"/>
          </w:tcPr>
          <w:p w:rsidR="00E86470" w:rsidRDefault="00E86470" w:rsidP="00524879">
            <w:pPr>
              <w:jc w:val="center"/>
            </w:pPr>
            <w:r>
              <w:t>2016</w:t>
            </w:r>
          </w:p>
        </w:tc>
        <w:tc>
          <w:tcPr>
            <w:tcW w:w="1247" w:type="dxa"/>
            <w:vAlign w:val="center"/>
          </w:tcPr>
          <w:p w:rsidR="00E86470" w:rsidRDefault="00E86470" w:rsidP="00524879">
            <w:pPr>
              <w:jc w:val="center"/>
            </w:pPr>
            <w:r>
              <w:t>2017</w:t>
            </w:r>
          </w:p>
        </w:tc>
        <w:tc>
          <w:tcPr>
            <w:tcW w:w="1247" w:type="dxa"/>
            <w:vAlign w:val="center"/>
          </w:tcPr>
          <w:p w:rsidR="00E86470" w:rsidRDefault="00E86470" w:rsidP="00524879">
            <w:pPr>
              <w:jc w:val="center"/>
            </w:pPr>
            <w:r>
              <w:t>2018</w:t>
            </w:r>
          </w:p>
        </w:tc>
      </w:tr>
      <w:tr w:rsidR="00E86470" w:rsidTr="0097180C">
        <w:trPr>
          <w:trHeight w:val="397"/>
          <w:jc w:val="center"/>
        </w:trPr>
        <w:tc>
          <w:tcPr>
            <w:tcW w:w="3118" w:type="dxa"/>
            <w:vAlign w:val="center"/>
          </w:tcPr>
          <w:p w:rsidR="00E86470" w:rsidRDefault="00E86470" w:rsidP="008614D3">
            <w:r>
              <w:t>Number of data points</w:t>
            </w:r>
          </w:p>
        </w:tc>
        <w:tc>
          <w:tcPr>
            <w:tcW w:w="1247" w:type="dxa"/>
            <w:vAlign w:val="center"/>
          </w:tcPr>
          <w:p w:rsidR="00E86470" w:rsidRDefault="00341440" w:rsidP="00894FFF">
            <w:pPr>
              <w:jc w:val="center"/>
            </w:pPr>
            <w:r>
              <w:t>3</w:t>
            </w:r>
          </w:p>
        </w:tc>
        <w:tc>
          <w:tcPr>
            <w:tcW w:w="1247" w:type="dxa"/>
            <w:vAlign w:val="center"/>
          </w:tcPr>
          <w:p w:rsidR="00E86470" w:rsidRDefault="00341440" w:rsidP="00894FFF">
            <w:pPr>
              <w:jc w:val="center"/>
            </w:pPr>
            <w:r>
              <w:t>4</w:t>
            </w:r>
          </w:p>
        </w:tc>
        <w:tc>
          <w:tcPr>
            <w:tcW w:w="1247" w:type="dxa"/>
            <w:vAlign w:val="center"/>
          </w:tcPr>
          <w:p w:rsidR="00E86470" w:rsidRDefault="008614D3" w:rsidP="00894FFF">
            <w:pPr>
              <w:jc w:val="center"/>
            </w:pPr>
            <w:r>
              <w:t>2</w:t>
            </w:r>
          </w:p>
        </w:tc>
        <w:tc>
          <w:tcPr>
            <w:tcW w:w="1247" w:type="dxa"/>
            <w:vAlign w:val="center"/>
          </w:tcPr>
          <w:p w:rsidR="00E86470" w:rsidRDefault="00DC5BCB" w:rsidP="00894FFF">
            <w:pPr>
              <w:jc w:val="center"/>
            </w:pPr>
            <w:r>
              <w:t>2</w:t>
            </w:r>
          </w:p>
        </w:tc>
        <w:tc>
          <w:tcPr>
            <w:tcW w:w="1247" w:type="dxa"/>
            <w:vAlign w:val="center"/>
          </w:tcPr>
          <w:p w:rsidR="00E86470" w:rsidRDefault="00DC5BCB" w:rsidP="00894FFF">
            <w:pPr>
              <w:jc w:val="center"/>
            </w:pPr>
            <w:r>
              <w:t>2</w:t>
            </w:r>
          </w:p>
        </w:tc>
      </w:tr>
      <w:tr w:rsidR="00EF443F" w:rsidTr="0097180C">
        <w:trPr>
          <w:trHeight w:val="397"/>
          <w:jc w:val="center"/>
        </w:trPr>
        <w:tc>
          <w:tcPr>
            <w:tcW w:w="3118" w:type="dxa"/>
            <w:vAlign w:val="center"/>
          </w:tcPr>
          <w:p w:rsidR="00EF443F" w:rsidRDefault="00EF443F" w:rsidP="00EF443F">
            <w:r>
              <w:t>Number of lines selected</w:t>
            </w:r>
          </w:p>
        </w:tc>
        <w:tc>
          <w:tcPr>
            <w:tcW w:w="1247" w:type="dxa"/>
            <w:vAlign w:val="center"/>
          </w:tcPr>
          <w:p w:rsidR="00EF443F" w:rsidRDefault="00EF443F" w:rsidP="00894FFF">
            <w:pPr>
              <w:jc w:val="center"/>
            </w:pPr>
            <w:r>
              <w:t>4</w:t>
            </w:r>
          </w:p>
        </w:tc>
        <w:tc>
          <w:tcPr>
            <w:tcW w:w="1247" w:type="dxa"/>
            <w:vAlign w:val="center"/>
          </w:tcPr>
          <w:p w:rsidR="00EF443F" w:rsidRDefault="00EF443F" w:rsidP="00894FFF">
            <w:pPr>
              <w:jc w:val="center"/>
            </w:pPr>
            <w:r>
              <w:t>4</w:t>
            </w:r>
          </w:p>
        </w:tc>
        <w:tc>
          <w:tcPr>
            <w:tcW w:w="1247" w:type="dxa"/>
            <w:vAlign w:val="center"/>
          </w:tcPr>
          <w:p w:rsidR="00EF443F" w:rsidRDefault="00EF443F" w:rsidP="00894FFF">
            <w:pPr>
              <w:jc w:val="center"/>
            </w:pPr>
            <w:r>
              <w:t>4</w:t>
            </w:r>
          </w:p>
        </w:tc>
        <w:tc>
          <w:tcPr>
            <w:tcW w:w="1247" w:type="dxa"/>
            <w:vAlign w:val="center"/>
          </w:tcPr>
          <w:p w:rsidR="00EF443F" w:rsidRDefault="00EF443F" w:rsidP="00894FFF">
            <w:pPr>
              <w:jc w:val="center"/>
            </w:pPr>
            <w:r>
              <w:t>4</w:t>
            </w:r>
          </w:p>
        </w:tc>
        <w:tc>
          <w:tcPr>
            <w:tcW w:w="1247" w:type="dxa"/>
            <w:vAlign w:val="center"/>
          </w:tcPr>
          <w:p w:rsidR="00EF443F" w:rsidRDefault="00EF443F" w:rsidP="00894FFF">
            <w:pPr>
              <w:jc w:val="center"/>
            </w:pPr>
            <w:r>
              <w:t>4</w:t>
            </w:r>
          </w:p>
        </w:tc>
      </w:tr>
      <w:tr w:rsidR="00E86470" w:rsidTr="0097180C">
        <w:trPr>
          <w:trHeight w:val="397"/>
          <w:jc w:val="center"/>
        </w:trPr>
        <w:tc>
          <w:tcPr>
            <w:tcW w:w="3118" w:type="dxa"/>
            <w:vAlign w:val="center"/>
          </w:tcPr>
          <w:p w:rsidR="00E86470" w:rsidRDefault="008614D3" w:rsidP="00524879">
            <w:r>
              <w:t>Number of expected data points</w:t>
            </w:r>
          </w:p>
        </w:tc>
        <w:tc>
          <w:tcPr>
            <w:tcW w:w="1247" w:type="dxa"/>
            <w:vAlign w:val="center"/>
          </w:tcPr>
          <w:p w:rsidR="00E86470" w:rsidRDefault="008614D3" w:rsidP="00894FFF">
            <w:pPr>
              <w:jc w:val="center"/>
            </w:pPr>
            <w:r>
              <w:t>4</w:t>
            </w:r>
          </w:p>
        </w:tc>
        <w:tc>
          <w:tcPr>
            <w:tcW w:w="1247" w:type="dxa"/>
            <w:vAlign w:val="center"/>
          </w:tcPr>
          <w:p w:rsidR="00E86470" w:rsidRDefault="008614D3" w:rsidP="00894FFF">
            <w:pPr>
              <w:jc w:val="center"/>
            </w:pPr>
            <w:r>
              <w:t>4</w:t>
            </w:r>
          </w:p>
        </w:tc>
        <w:tc>
          <w:tcPr>
            <w:tcW w:w="1247" w:type="dxa"/>
            <w:vAlign w:val="center"/>
          </w:tcPr>
          <w:p w:rsidR="00E86470" w:rsidRDefault="008614D3" w:rsidP="00894FFF">
            <w:pPr>
              <w:jc w:val="center"/>
            </w:pPr>
            <w:r>
              <w:t>3</w:t>
            </w:r>
          </w:p>
        </w:tc>
        <w:tc>
          <w:tcPr>
            <w:tcW w:w="1247" w:type="dxa"/>
            <w:vAlign w:val="center"/>
          </w:tcPr>
          <w:p w:rsidR="00E86470" w:rsidRDefault="008614D3" w:rsidP="00894FFF">
            <w:pPr>
              <w:jc w:val="center"/>
            </w:pPr>
            <w:r>
              <w:t>3</w:t>
            </w:r>
          </w:p>
        </w:tc>
        <w:tc>
          <w:tcPr>
            <w:tcW w:w="1247" w:type="dxa"/>
            <w:vAlign w:val="center"/>
          </w:tcPr>
          <w:p w:rsidR="00E86470" w:rsidRDefault="008614D3" w:rsidP="00894FFF">
            <w:pPr>
              <w:jc w:val="center"/>
            </w:pPr>
            <w:r>
              <w:t>3</w:t>
            </w:r>
          </w:p>
        </w:tc>
      </w:tr>
    </w:tbl>
    <w:p w:rsidR="00E86470" w:rsidRDefault="00E86470">
      <w:pPr>
        <w:rPr>
          <w:rFonts w:asciiTheme="majorHAnsi" w:eastAsiaTheme="majorEastAsia" w:hAnsiTheme="majorHAnsi" w:cstheme="majorBidi"/>
          <w:b/>
          <w:bCs/>
          <w:smallCaps/>
          <w:color w:val="000000" w:themeColor="text1"/>
          <w:sz w:val="28"/>
          <w:szCs w:val="28"/>
        </w:rPr>
      </w:pPr>
      <w:r>
        <w:br w:type="page"/>
      </w:r>
    </w:p>
    <w:p w:rsidR="007252B2" w:rsidRDefault="007252B2" w:rsidP="004B4B4C">
      <w:pPr>
        <w:pStyle w:val="Heading2"/>
      </w:pPr>
      <w:r>
        <w:lastRenderedPageBreak/>
        <w:t>Number of official data points</w:t>
      </w:r>
    </w:p>
    <w:p w:rsidR="00641040" w:rsidRDefault="00641040" w:rsidP="000D7739">
      <w:pPr>
        <w:pStyle w:val="ListParagraph"/>
        <w:jc w:val="both"/>
      </w:pPr>
      <w:r>
        <w:t>Number of data points classified as official in a dataset, for a particular year.</w:t>
      </w:r>
      <w:r w:rsidR="00974A33">
        <w:t xml:space="preserve"> Official </w:t>
      </w:r>
      <w:r w:rsidR="00324A9C">
        <w:t xml:space="preserve">statistics </w:t>
      </w:r>
      <w:r w:rsidR="00974A33">
        <w:t>are those disseminated by a national statistical system (</w:t>
      </w:r>
      <w:r w:rsidR="00324A9C">
        <w:t>OECD, 2007</w:t>
      </w:r>
      <w:r w:rsidR="00974A33">
        <w:t>)</w:t>
      </w:r>
      <w:r w:rsidR="00324A9C">
        <w:t>.</w:t>
      </w:r>
    </w:p>
    <w:p w:rsidR="00583E37" w:rsidRPr="00FD7CB6" w:rsidRDefault="000A660A" w:rsidP="00BA4305">
      <w:pPr>
        <w:ind w:left="720"/>
        <w:jc w:val="both"/>
        <w:rPr>
          <w:sz w:val="21"/>
          <w:szCs w:val="21"/>
        </w:rPr>
      </w:pPr>
      <w:r w:rsidRPr="00FD7CB6">
        <w:rPr>
          <w:sz w:val="21"/>
          <w:szCs w:val="21"/>
        </w:rPr>
        <w:t xml:space="preserve">SWS </w:t>
      </w:r>
      <w:r w:rsidR="00583E37" w:rsidRPr="00FD7CB6">
        <w:rPr>
          <w:sz w:val="21"/>
          <w:szCs w:val="21"/>
        </w:rPr>
        <w:t xml:space="preserve">seems to </w:t>
      </w:r>
      <w:r w:rsidRPr="00FD7CB6">
        <w:rPr>
          <w:sz w:val="21"/>
          <w:szCs w:val="21"/>
        </w:rPr>
        <w:t xml:space="preserve">allow dataset-specific </w:t>
      </w:r>
      <w:r w:rsidR="000B2106" w:rsidRPr="00FD7CB6">
        <w:rPr>
          <w:sz w:val="21"/>
          <w:szCs w:val="21"/>
        </w:rPr>
        <w:t>selection of the subset</w:t>
      </w:r>
      <w:r w:rsidRPr="00FD7CB6">
        <w:rPr>
          <w:sz w:val="21"/>
          <w:szCs w:val="21"/>
        </w:rPr>
        <w:t xml:space="preserve"> of flags represent</w:t>
      </w:r>
      <w:r w:rsidR="000B2106" w:rsidRPr="00FD7CB6">
        <w:rPr>
          <w:sz w:val="21"/>
          <w:szCs w:val="21"/>
        </w:rPr>
        <w:t>ing</w:t>
      </w:r>
      <w:r w:rsidRPr="00FD7CB6">
        <w:rPr>
          <w:sz w:val="21"/>
          <w:szCs w:val="21"/>
        </w:rPr>
        <w:t xml:space="preserve"> official values</w:t>
      </w:r>
      <w:r w:rsidR="008B02A7" w:rsidRPr="00FD7CB6">
        <w:rPr>
          <w:sz w:val="21"/>
          <w:szCs w:val="21"/>
        </w:rPr>
        <w:t>, but t</w:t>
      </w:r>
      <w:r w:rsidRPr="00FD7CB6">
        <w:rPr>
          <w:sz w:val="21"/>
          <w:szCs w:val="21"/>
        </w:rPr>
        <w:t xml:space="preserve">his </w:t>
      </w:r>
      <w:r w:rsidR="000B2106" w:rsidRPr="00FD7CB6">
        <w:rPr>
          <w:sz w:val="21"/>
          <w:szCs w:val="21"/>
        </w:rPr>
        <w:t>might</w:t>
      </w:r>
      <w:r w:rsidRPr="00FD7CB6">
        <w:rPr>
          <w:sz w:val="21"/>
          <w:szCs w:val="21"/>
        </w:rPr>
        <w:t xml:space="preserve"> affect the comparability of the resulting </w:t>
      </w:r>
      <w:r w:rsidR="000B2106" w:rsidRPr="00FD7CB6">
        <w:rPr>
          <w:sz w:val="21"/>
          <w:szCs w:val="21"/>
        </w:rPr>
        <w:t>‘</w:t>
      </w:r>
      <w:r w:rsidRPr="00FD7CB6">
        <w:rPr>
          <w:sz w:val="21"/>
          <w:szCs w:val="21"/>
        </w:rPr>
        <w:t xml:space="preserve">number </w:t>
      </w:r>
      <w:r w:rsidR="00583E37" w:rsidRPr="00FD7CB6">
        <w:rPr>
          <w:sz w:val="21"/>
          <w:szCs w:val="21"/>
        </w:rPr>
        <w:t>of official data</w:t>
      </w:r>
      <w:r w:rsidR="000B2106" w:rsidRPr="00FD7CB6">
        <w:rPr>
          <w:sz w:val="21"/>
          <w:szCs w:val="21"/>
        </w:rPr>
        <w:t xml:space="preserve"> points’</w:t>
      </w:r>
      <w:r w:rsidR="008B02A7" w:rsidRPr="00FD7CB6">
        <w:rPr>
          <w:sz w:val="21"/>
          <w:szCs w:val="21"/>
        </w:rPr>
        <w:t xml:space="preserve"> across domains</w:t>
      </w:r>
      <w:r w:rsidRPr="00FD7CB6">
        <w:rPr>
          <w:sz w:val="21"/>
          <w:szCs w:val="21"/>
        </w:rPr>
        <w:t xml:space="preserve">. </w:t>
      </w:r>
      <w:r w:rsidR="008B02A7" w:rsidRPr="00FD7CB6">
        <w:rPr>
          <w:sz w:val="21"/>
          <w:szCs w:val="21"/>
        </w:rPr>
        <w:t>Therefore, a</w:t>
      </w:r>
      <w:r w:rsidRPr="00FD7CB6">
        <w:rPr>
          <w:sz w:val="21"/>
          <w:szCs w:val="21"/>
        </w:rPr>
        <w:t xml:space="preserve"> harmonized approach </w:t>
      </w:r>
      <w:r w:rsidR="00583E37" w:rsidRPr="00FD7CB6">
        <w:rPr>
          <w:sz w:val="21"/>
          <w:szCs w:val="21"/>
        </w:rPr>
        <w:t xml:space="preserve">is </w:t>
      </w:r>
      <w:r w:rsidR="008B02A7" w:rsidRPr="00FD7CB6">
        <w:rPr>
          <w:sz w:val="21"/>
          <w:szCs w:val="21"/>
        </w:rPr>
        <w:t xml:space="preserve">defined </w:t>
      </w:r>
      <w:r w:rsidR="00583E37" w:rsidRPr="00FD7CB6">
        <w:rPr>
          <w:sz w:val="21"/>
          <w:szCs w:val="21"/>
        </w:rPr>
        <w:t xml:space="preserve">in the table below, where data points are classified as official or non-official depending on their observation flag. </w:t>
      </w:r>
    </w:p>
    <w:tbl>
      <w:tblPr>
        <w:tblStyle w:val="TableGrid"/>
        <w:tblW w:w="0" w:type="auto"/>
        <w:jc w:val="right"/>
        <w:tblLook w:val="04A0" w:firstRow="1" w:lastRow="0" w:firstColumn="1" w:lastColumn="0" w:noHBand="0" w:noVBand="1"/>
      </w:tblPr>
      <w:tblGrid>
        <w:gridCol w:w="2438"/>
        <w:gridCol w:w="907"/>
        <w:gridCol w:w="1191"/>
        <w:gridCol w:w="4195"/>
      </w:tblGrid>
      <w:tr w:rsidR="00FD7CB6" w:rsidTr="00524879">
        <w:trPr>
          <w:trHeight w:val="397"/>
          <w:jc w:val="right"/>
        </w:trPr>
        <w:tc>
          <w:tcPr>
            <w:tcW w:w="8731" w:type="dxa"/>
            <w:gridSpan w:val="4"/>
            <w:vAlign w:val="center"/>
          </w:tcPr>
          <w:p w:rsidR="00FD7CB6" w:rsidRPr="00F70532" w:rsidRDefault="00FD7CB6" w:rsidP="00FD7CB6">
            <w:pPr>
              <w:jc w:val="center"/>
              <w:rPr>
                <w:b/>
              </w:rPr>
            </w:pPr>
            <w:r w:rsidRPr="00F70532">
              <w:rPr>
                <w:b/>
              </w:rPr>
              <w:t>Observation status flags</w:t>
            </w:r>
          </w:p>
        </w:tc>
      </w:tr>
      <w:tr w:rsidR="00571D6D" w:rsidTr="00012EFD">
        <w:trPr>
          <w:trHeight w:val="340"/>
          <w:jc w:val="right"/>
        </w:trPr>
        <w:tc>
          <w:tcPr>
            <w:tcW w:w="2438" w:type="dxa"/>
            <w:shd w:val="clear" w:color="auto" w:fill="9CC2E5" w:themeFill="accent1" w:themeFillTint="99"/>
            <w:vAlign w:val="center"/>
          </w:tcPr>
          <w:p w:rsidR="00F70532" w:rsidRPr="00F70532" w:rsidRDefault="00F70532" w:rsidP="00012EFD">
            <w:pPr>
              <w:rPr>
                <w:b/>
                <w:sz w:val="20"/>
                <w:szCs w:val="20"/>
              </w:rPr>
            </w:pPr>
            <w:r w:rsidRPr="00F70532">
              <w:rPr>
                <w:b/>
                <w:sz w:val="20"/>
                <w:szCs w:val="20"/>
              </w:rPr>
              <w:t>Description</w:t>
            </w:r>
          </w:p>
        </w:tc>
        <w:tc>
          <w:tcPr>
            <w:tcW w:w="907" w:type="dxa"/>
            <w:shd w:val="clear" w:color="auto" w:fill="9CC2E5" w:themeFill="accent1" w:themeFillTint="99"/>
            <w:vAlign w:val="center"/>
          </w:tcPr>
          <w:p w:rsidR="00F70532" w:rsidRPr="00F70532" w:rsidRDefault="00F70532" w:rsidP="00FD7CB6">
            <w:pPr>
              <w:jc w:val="center"/>
              <w:rPr>
                <w:b/>
                <w:sz w:val="20"/>
                <w:szCs w:val="20"/>
              </w:rPr>
            </w:pPr>
            <w:r w:rsidRPr="00F70532">
              <w:rPr>
                <w:b/>
                <w:sz w:val="20"/>
                <w:szCs w:val="20"/>
              </w:rPr>
              <w:t>Flag</w:t>
            </w:r>
          </w:p>
        </w:tc>
        <w:tc>
          <w:tcPr>
            <w:tcW w:w="1191" w:type="dxa"/>
            <w:shd w:val="clear" w:color="auto" w:fill="9CC2E5" w:themeFill="accent1" w:themeFillTint="99"/>
            <w:vAlign w:val="center"/>
          </w:tcPr>
          <w:p w:rsidR="00F70532" w:rsidRPr="00F70532" w:rsidRDefault="00F70532" w:rsidP="00FD7CB6">
            <w:pPr>
              <w:jc w:val="center"/>
              <w:rPr>
                <w:b/>
                <w:sz w:val="20"/>
                <w:szCs w:val="20"/>
              </w:rPr>
            </w:pPr>
            <w:r w:rsidRPr="00F70532">
              <w:rPr>
                <w:b/>
                <w:sz w:val="20"/>
                <w:szCs w:val="20"/>
              </w:rPr>
              <w:t>Official</w:t>
            </w:r>
            <w:r w:rsidR="00D41951">
              <w:rPr>
                <w:b/>
                <w:sz w:val="20"/>
                <w:szCs w:val="20"/>
              </w:rPr>
              <w:t xml:space="preserve"> data point</w:t>
            </w:r>
          </w:p>
        </w:tc>
        <w:tc>
          <w:tcPr>
            <w:tcW w:w="4195" w:type="dxa"/>
            <w:shd w:val="clear" w:color="auto" w:fill="9CC2E5" w:themeFill="accent1" w:themeFillTint="99"/>
            <w:vAlign w:val="center"/>
          </w:tcPr>
          <w:p w:rsidR="00F70532" w:rsidRPr="00F70532" w:rsidRDefault="003E1EB6" w:rsidP="00012EFD">
            <w:pPr>
              <w:rPr>
                <w:b/>
                <w:sz w:val="20"/>
                <w:szCs w:val="20"/>
              </w:rPr>
            </w:pPr>
            <w:r>
              <w:rPr>
                <w:b/>
                <w:sz w:val="20"/>
                <w:szCs w:val="20"/>
              </w:rPr>
              <w:t>Comment</w:t>
            </w:r>
          </w:p>
        </w:tc>
      </w:tr>
      <w:tr w:rsidR="00571D6D" w:rsidTr="003E1EB6">
        <w:trPr>
          <w:trHeight w:val="454"/>
          <w:jc w:val="right"/>
        </w:trPr>
        <w:tc>
          <w:tcPr>
            <w:tcW w:w="2438" w:type="dxa"/>
            <w:shd w:val="clear" w:color="auto" w:fill="DEEAF6" w:themeFill="accent1" w:themeFillTint="33"/>
            <w:vAlign w:val="center"/>
          </w:tcPr>
          <w:p w:rsidR="00F70532" w:rsidRPr="004E76FA" w:rsidRDefault="00F70532" w:rsidP="00524879">
            <w:pPr>
              <w:rPr>
                <w:sz w:val="20"/>
                <w:szCs w:val="20"/>
              </w:rPr>
            </w:pPr>
            <w:r w:rsidRPr="004E76FA">
              <w:rPr>
                <w:sz w:val="20"/>
                <w:szCs w:val="20"/>
              </w:rPr>
              <w:t>Official figure</w:t>
            </w:r>
          </w:p>
        </w:tc>
        <w:tc>
          <w:tcPr>
            <w:tcW w:w="907" w:type="dxa"/>
            <w:shd w:val="clear" w:color="auto" w:fill="DEEAF6" w:themeFill="accent1" w:themeFillTint="33"/>
            <w:vAlign w:val="center"/>
          </w:tcPr>
          <w:p w:rsidR="00F70532" w:rsidRPr="004E76FA" w:rsidRDefault="00F70532" w:rsidP="00012EFD">
            <w:pPr>
              <w:jc w:val="center"/>
              <w:rPr>
                <w:sz w:val="20"/>
                <w:szCs w:val="20"/>
              </w:rPr>
            </w:pPr>
            <w:r w:rsidRPr="004E76FA">
              <w:rPr>
                <w:sz w:val="20"/>
                <w:szCs w:val="20"/>
              </w:rPr>
              <w:t>&lt;blank&gt;</w:t>
            </w:r>
          </w:p>
        </w:tc>
        <w:tc>
          <w:tcPr>
            <w:tcW w:w="1191" w:type="dxa"/>
            <w:shd w:val="clear" w:color="auto" w:fill="DEEAF6" w:themeFill="accent1" w:themeFillTint="33"/>
            <w:vAlign w:val="center"/>
          </w:tcPr>
          <w:p w:rsidR="00F70532" w:rsidRPr="004E76FA" w:rsidRDefault="00F70532" w:rsidP="00F70532">
            <w:pPr>
              <w:jc w:val="center"/>
              <w:rPr>
                <w:sz w:val="20"/>
                <w:szCs w:val="20"/>
              </w:rPr>
            </w:pPr>
            <w:r w:rsidRPr="004E76FA">
              <w:rPr>
                <w:sz w:val="20"/>
                <w:szCs w:val="20"/>
              </w:rPr>
              <w:t>Yes</w:t>
            </w:r>
          </w:p>
        </w:tc>
        <w:tc>
          <w:tcPr>
            <w:tcW w:w="4195" w:type="dxa"/>
            <w:shd w:val="clear" w:color="auto" w:fill="DEEAF6" w:themeFill="accent1" w:themeFillTint="33"/>
            <w:vAlign w:val="center"/>
          </w:tcPr>
          <w:p w:rsidR="00F70532" w:rsidRPr="004E76FA" w:rsidRDefault="00F70532" w:rsidP="00524879">
            <w:pPr>
              <w:rPr>
                <w:sz w:val="20"/>
                <w:szCs w:val="20"/>
              </w:rPr>
            </w:pPr>
          </w:p>
        </w:tc>
      </w:tr>
      <w:tr w:rsidR="00571D6D" w:rsidTr="003E1EB6">
        <w:trPr>
          <w:trHeight w:val="454"/>
          <w:jc w:val="right"/>
        </w:trPr>
        <w:tc>
          <w:tcPr>
            <w:tcW w:w="2438" w:type="dxa"/>
            <w:shd w:val="clear" w:color="auto" w:fill="DEEAF6" w:themeFill="accent1" w:themeFillTint="33"/>
            <w:vAlign w:val="center"/>
          </w:tcPr>
          <w:p w:rsidR="00F70532" w:rsidRPr="004E76FA" w:rsidRDefault="00F70532" w:rsidP="00524879">
            <w:pPr>
              <w:rPr>
                <w:sz w:val="20"/>
                <w:szCs w:val="20"/>
              </w:rPr>
            </w:pPr>
            <w:r w:rsidRPr="004E76FA">
              <w:rPr>
                <w:sz w:val="20"/>
                <w:szCs w:val="20"/>
              </w:rPr>
              <w:t>Revised</w:t>
            </w:r>
          </w:p>
        </w:tc>
        <w:tc>
          <w:tcPr>
            <w:tcW w:w="907" w:type="dxa"/>
            <w:shd w:val="clear" w:color="auto" w:fill="DEEAF6" w:themeFill="accent1" w:themeFillTint="33"/>
            <w:vAlign w:val="center"/>
          </w:tcPr>
          <w:p w:rsidR="00F70532" w:rsidRPr="004E76FA" w:rsidRDefault="00F70532" w:rsidP="00012EFD">
            <w:pPr>
              <w:jc w:val="center"/>
              <w:rPr>
                <w:sz w:val="20"/>
                <w:szCs w:val="20"/>
              </w:rPr>
            </w:pPr>
            <w:r w:rsidRPr="004E76FA">
              <w:rPr>
                <w:sz w:val="20"/>
                <w:szCs w:val="20"/>
              </w:rPr>
              <w:t>R</w:t>
            </w:r>
          </w:p>
        </w:tc>
        <w:tc>
          <w:tcPr>
            <w:tcW w:w="1191" w:type="dxa"/>
            <w:shd w:val="clear" w:color="auto" w:fill="DEEAF6" w:themeFill="accent1" w:themeFillTint="33"/>
            <w:vAlign w:val="center"/>
          </w:tcPr>
          <w:p w:rsidR="00F70532" w:rsidRPr="004E76FA" w:rsidRDefault="00F70532" w:rsidP="00F70532">
            <w:pPr>
              <w:jc w:val="center"/>
              <w:rPr>
                <w:sz w:val="20"/>
                <w:szCs w:val="20"/>
              </w:rPr>
            </w:pPr>
            <w:r w:rsidRPr="004E76FA">
              <w:rPr>
                <w:sz w:val="20"/>
                <w:szCs w:val="20"/>
              </w:rPr>
              <w:t>Yes</w:t>
            </w:r>
          </w:p>
        </w:tc>
        <w:tc>
          <w:tcPr>
            <w:tcW w:w="4195" w:type="dxa"/>
            <w:shd w:val="clear" w:color="auto" w:fill="DEEAF6" w:themeFill="accent1" w:themeFillTint="33"/>
            <w:vAlign w:val="center"/>
          </w:tcPr>
          <w:p w:rsidR="00F70532" w:rsidRPr="004E76FA" w:rsidRDefault="00F70532" w:rsidP="00524879">
            <w:pPr>
              <w:rPr>
                <w:sz w:val="20"/>
                <w:szCs w:val="20"/>
              </w:rPr>
            </w:pPr>
          </w:p>
        </w:tc>
      </w:tr>
      <w:tr w:rsidR="00C437AB" w:rsidTr="003E1EB6">
        <w:trPr>
          <w:trHeight w:val="454"/>
          <w:jc w:val="right"/>
        </w:trPr>
        <w:tc>
          <w:tcPr>
            <w:tcW w:w="2438" w:type="dxa"/>
            <w:shd w:val="clear" w:color="auto" w:fill="DEEAF6" w:themeFill="accent1" w:themeFillTint="33"/>
            <w:vAlign w:val="center"/>
          </w:tcPr>
          <w:p w:rsidR="00C437AB" w:rsidRPr="004E76FA" w:rsidRDefault="00C437AB" w:rsidP="00C437AB">
            <w:pPr>
              <w:rPr>
                <w:sz w:val="20"/>
                <w:szCs w:val="20"/>
              </w:rPr>
            </w:pPr>
            <w:r>
              <w:rPr>
                <w:sz w:val="20"/>
                <w:szCs w:val="20"/>
              </w:rPr>
              <w:t>Provisional value</w:t>
            </w:r>
          </w:p>
        </w:tc>
        <w:tc>
          <w:tcPr>
            <w:tcW w:w="907" w:type="dxa"/>
            <w:shd w:val="clear" w:color="auto" w:fill="DEEAF6" w:themeFill="accent1" w:themeFillTint="33"/>
            <w:vAlign w:val="center"/>
          </w:tcPr>
          <w:p w:rsidR="00C437AB" w:rsidRPr="004E76FA" w:rsidRDefault="00C437AB" w:rsidP="00C437AB">
            <w:pPr>
              <w:jc w:val="center"/>
              <w:rPr>
                <w:sz w:val="20"/>
                <w:szCs w:val="20"/>
              </w:rPr>
            </w:pPr>
            <w:r w:rsidRPr="004E76FA">
              <w:rPr>
                <w:sz w:val="20"/>
                <w:szCs w:val="20"/>
              </w:rPr>
              <w:t>P</w:t>
            </w:r>
          </w:p>
        </w:tc>
        <w:tc>
          <w:tcPr>
            <w:tcW w:w="1191" w:type="dxa"/>
            <w:shd w:val="clear" w:color="auto" w:fill="DEEAF6" w:themeFill="accent1" w:themeFillTint="33"/>
            <w:vAlign w:val="center"/>
          </w:tcPr>
          <w:p w:rsidR="00C437AB" w:rsidRPr="00C437AB" w:rsidRDefault="00C437AB" w:rsidP="00C437AB">
            <w:pPr>
              <w:jc w:val="center"/>
              <w:rPr>
                <w:sz w:val="20"/>
                <w:szCs w:val="20"/>
              </w:rPr>
            </w:pPr>
            <w:r w:rsidRPr="00C437AB">
              <w:rPr>
                <w:sz w:val="20"/>
                <w:szCs w:val="20"/>
              </w:rPr>
              <w:t>Yes</w:t>
            </w:r>
          </w:p>
        </w:tc>
        <w:tc>
          <w:tcPr>
            <w:tcW w:w="4195" w:type="dxa"/>
            <w:shd w:val="clear" w:color="auto" w:fill="DEEAF6" w:themeFill="accent1" w:themeFillTint="33"/>
            <w:vAlign w:val="center"/>
          </w:tcPr>
          <w:p w:rsidR="00C437AB" w:rsidRPr="00FD7CB6" w:rsidRDefault="00C437AB" w:rsidP="00FD7CB6">
            <w:pPr>
              <w:jc w:val="both"/>
              <w:rPr>
                <w:sz w:val="15"/>
                <w:szCs w:val="15"/>
              </w:rPr>
            </w:pPr>
            <w:r w:rsidRPr="00FD7CB6">
              <w:rPr>
                <w:sz w:val="15"/>
                <w:szCs w:val="15"/>
              </w:rPr>
              <w:t xml:space="preserve">In this review, it is recommended to use flag “P” </w:t>
            </w:r>
            <w:r w:rsidR="00FD7CB6" w:rsidRPr="00FD7CB6">
              <w:rPr>
                <w:sz w:val="15"/>
                <w:szCs w:val="15"/>
              </w:rPr>
              <w:t xml:space="preserve">at ESS </w:t>
            </w:r>
            <w:r w:rsidRPr="00FD7CB6">
              <w:rPr>
                <w:sz w:val="15"/>
                <w:szCs w:val="15"/>
              </w:rPr>
              <w:t xml:space="preserve">for provisional </w:t>
            </w:r>
            <w:r w:rsidRPr="00FD7CB6">
              <w:rPr>
                <w:sz w:val="15"/>
                <w:szCs w:val="15"/>
                <w:u w:val="single"/>
              </w:rPr>
              <w:t>official statistics</w:t>
            </w:r>
            <w:r w:rsidRPr="00FD7CB6">
              <w:rPr>
                <w:sz w:val="15"/>
                <w:szCs w:val="15"/>
              </w:rPr>
              <w:t xml:space="preserve"> only (same as ‘P’ in FAOSTAT 2 flags), pending further discussion and harmonization with FAO OCS and IDWG-Statistics.</w:t>
            </w:r>
          </w:p>
        </w:tc>
      </w:tr>
      <w:tr w:rsidR="00C437AB" w:rsidTr="003E1EB6">
        <w:trPr>
          <w:trHeight w:val="454"/>
          <w:jc w:val="right"/>
        </w:trPr>
        <w:tc>
          <w:tcPr>
            <w:tcW w:w="2438" w:type="dxa"/>
            <w:shd w:val="clear" w:color="auto" w:fill="auto"/>
            <w:vAlign w:val="center"/>
          </w:tcPr>
          <w:p w:rsidR="00C437AB" w:rsidRPr="004E76FA" w:rsidRDefault="00C437AB" w:rsidP="00C437AB">
            <w:pPr>
              <w:rPr>
                <w:sz w:val="20"/>
                <w:szCs w:val="20"/>
              </w:rPr>
            </w:pPr>
            <w:r w:rsidRPr="004E76FA">
              <w:rPr>
                <w:sz w:val="20"/>
                <w:szCs w:val="20"/>
              </w:rPr>
              <w:t>Estimated value</w:t>
            </w:r>
          </w:p>
        </w:tc>
        <w:tc>
          <w:tcPr>
            <w:tcW w:w="907" w:type="dxa"/>
            <w:shd w:val="clear" w:color="auto" w:fill="auto"/>
            <w:vAlign w:val="center"/>
          </w:tcPr>
          <w:p w:rsidR="00C437AB" w:rsidRPr="004E76FA" w:rsidRDefault="00C437AB" w:rsidP="00C437AB">
            <w:pPr>
              <w:jc w:val="center"/>
              <w:rPr>
                <w:sz w:val="20"/>
                <w:szCs w:val="20"/>
              </w:rPr>
            </w:pPr>
            <w:r w:rsidRPr="004E76FA">
              <w:rPr>
                <w:sz w:val="20"/>
                <w:szCs w:val="20"/>
              </w:rPr>
              <w:t>E</w:t>
            </w:r>
          </w:p>
        </w:tc>
        <w:tc>
          <w:tcPr>
            <w:tcW w:w="1191" w:type="dxa"/>
            <w:shd w:val="clear" w:color="auto" w:fill="auto"/>
            <w:vAlign w:val="center"/>
          </w:tcPr>
          <w:p w:rsidR="00C437AB" w:rsidRPr="004E76FA" w:rsidRDefault="00C437AB" w:rsidP="00C437AB">
            <w:pPr>
              <w:jc w:val="center"/>
              <w:rPr>
                <w:sz w:val="20"/>
                <w:szCs w:val="20"/>
              </w:rPr>
            </w:pPr>
            <w:r w:rsidRPr="004E76FA">
              <w:rPr>
                <w:sz w:val="20"/>
                <w:szCs w:val="20"/>
              </w:rPr>
              <w:t>No</w:t>
            </w:r>
          </w:p>
        </w:tc>
        <w:tc>
          <w:tcPr>
            <w:tcW w:w="4195" w:type="dxa"/>
            <w:shd w:val="clear" w:color="auto" w:fill="auto"/>
            <w:vAlign w:val="center"/>
          </w:tcPr>
          <w:p w:rsidR="00C437AB" w:rsidRPr="004E76FA" w:rsidRDefault="00C437AB" w:rsidP="00C437AB">
            <w:pPr>
              <w:rPr>
                <w:sz w:val="20"/>
                <w:szCs w:val="20"/>
              </w:rPr>
            </w:pPr>
          </w:p>
        </w:tc>
      </w:tr>
      <w:tr w:rsidR="00C437AB" w:rsidTr="003E1EB6">
        <w:trPr>
          <w:trHeight w:val="454"/>
          <w:jc w:val="right"/>
        </w:trPr>
        <w:tc>
          <w:tcPr>
            <w:tcW w:w="2438" w:type="dxa"/>
            <w:shd w:val="clear" w:color="auto" w:fill="auto"/>
            <w:vAlign w:val="center"/>
          </w:tcPr>
          <w:p w:rsidR="00C437AB" w:rsidRPr="004E76FA" w:rsidRDefault="00C437AB" w:rsidP="00C437AB">
            <w:pPr>
              <w:rPr>
                <w:sz w:val="20"/>
                <w:szCs w:val="20"/>
              </w:rPr>
            </w:pPr>
            <w:r w:rsidRPr="004E76FA">
              <w:rPr>
                <w:sz w:val="20"/>
                <w:szCs w:val="20"/>
              </w:rPr>
              <w:t>Imputed value</w:t>
            </w:r>
          </w:p>
        </w:tc>
        <w:tc>
          <w:tcPr>
            <w:tcW w:w="907" w:type="dxa"/>
            <w:shd w:val="clear" w:color="auto" w:fill="auto"/>
            <w:vAlign w:val="center"/>
          </w:tcPr>
          <w:p w:rsidR="00C437AB" w:rsidRPr="004E76FA" w:rsidRDefault="00C437AB" w:rsidP="00C437AB">
            <w:pPr>
              <w:jc w:val="center"/>
              <w:rPr>
                <w:sz w:val="20"/>
                <w:szCs w:val="20"/>
              </w:rPr>
            </w:pPr>
            <w:r w:rsidRPr="004E76FA">
              <w:rPr>
                <w:sz w:val="20"/>
                <w:szCs w:val="20"/>
              </w:rPr>
              <w:t>I</w:t>
            </w:r>
          </w:p>
        </w:tc>
        <w:tc>
          <w:tcPr>
            <w:tcW w:w="1191" w:type="dxa"/>
            <w:shd w:val="clear" w:color="auto" w:fill="auto"/>
            <w:vAlign w:val="center"/>
          </w:tcPr>
          <w:p w:rsidR="00C437AB" w:rsidRPr="004E76FA" w:rsidRDefault="00C437AB" w:rsidP="00C437AB">
            <w:pPr>
              <w:jc w:val="center"/>
              <w:rPr>
                <w:sz w:val="20"/>
                <w:szCs w:val="20"/>
              </w:rPr>
            </w:pPr>
            <w:r w:rsidRPr="004E76FA">
              <w:rPr>
                <w:sz w:val="20"/>
                <w:szCs w:val="20"/>
              </w:rPr>
              <w:t>No</w:t>
            </w:r>
          </w:p>
        </w:tc>
        <w:tc>
          <w:tcPr>
            <w:tcW w:w="4195" w:type="dxa"/>
            <w:shd w:val="clear" w:color="auto" w:fill="auto"/>
            <w:vAlign w:val="center"/>
          </w:tcPr>
          <w:p w:rsidR="00C437AB" w:rsidRPr="004E76FA" w:rsidRDefault="00C437AB" w:rsidP="00C437AB">
            <w:pPr>
              <w:rPr>
                <w:sz w:val="20"/>
                <w:szCs w:val="20"/>
              </w:rPr>
            </w:pPr>
          </w:p>
        </w:tc>
      </w:tr>
      <w:tr w:rsidR="00C437AB" w:rsidTr="003E1EB6">
        <w:trPr>
          <w:trHeight w:val="454"/>
          <w:jc w:val="right"/>
        </w:trPr>
        <w:tc>
          <w:tcPr>
            <w:tcW w:w="2438" w:type="dxa"/>
            <w:shd w:val="clear" w:color="auto" w:fill="auto"/>
            <w:vAlign w:val="center"/>
          </w:tcPr>
          <w:p w:rsidR="00C437AB" w:rsidRPr="004E76FA" w:rsidRDefault="00C437AB" w:rsidP="00C437AB">
            <w:pPr>
              <w:rPr>
                <w:sz w:val="20"/>
                <w:szCs w:val="20"/>
              </w:rPr>
            </w:pPr>
            <w:r w:rsidRPr="004E76FA">
              <w:rPr>
                <w:sz w:val="20"/>
                <w:szCs w:val="20"/>
              </w:rPr>
              <w:t>Unofficial figure</w:t>
            </w:r>
          </w:p>
        </w:tc>
        <w:tc>
          <w:tcPr>
            <w:tcW w:w="907" w:type="dxa"/>
            <w:shd w:val="clear" w:color="auto" w:fill="auto"/>
            <w:vAlign w:val="center"/>
          </w:tcPr>
          <w:p w:rsidR="00C437AB" w:rsidRPr="004E76FA" w:rsidRDefault="00C437AB" w:rsidP="00C437AB">
            <w:pPr>
              <w:jc w:val="center"/>
              <w:rPr>
                <w:sz w:val="20"/>
                <w:szCs w:val="20"/>
              </w:rPr>
            </w:pPr>
            <w:r w:rsidRPr="004E76FA">
              <w:rPr>
                <w:sz w:val="20"/>
                <w:szCs w:val="20"/>
              </w:rPr>
              <w:t>T</w:t>
            </w:r>
          </w:p>
        </w:tc>
        <w:tc>
          <w:tcPr>
            <w:tcW w:w="1191" w:type="dxa"/>
            <w:shd w:val="clear" w:color="auto" w:fill="auto"/>
            <w:vAlign w:val="center"/>
          </w:tcPr>
          <w:p w:rsidR="00C437AB" w:rsidRPr="004E76FA" w:rsidRDefault="00C437AB" w:rsidP="00C437AB">
            <w:pPr>
              <w:jc w:val="center"/>
              <w:rPr>
                <w:sz w:val="20"/>
                <w:szCs w:val="20"/>
              </w:rPr>
            </w:pPr>
            <w:r w:rsidRPr="004E76FA">
              <w:rPr>
                <w:sz w:val="20"/>
                <w:szCs w:val="20"/>
              </w:rPr>
              <w:t>No</w:t>
            </w:r>
          </w:p>
        </w:tc>
        <w:tc>
          <w:tcPr>
            <w:tcW w:w="4195" w:type="dxa"/>
            <w:shd w:val="clear" w:color="auto" w:fill="auto"/>
            <w:vAlign w:val="center"/>
          </w:tcPr>
          <w:p w:rsidR="00C437AB" w:rsidRPr="004E76FA" w:rsidRDefault="00C437AB" w:rsidP="00C437AB">
            <w:pPr>
              <w:rPr>
                <w:sz w:val="20"/>
                <w:szCs w:val="20"/>
              </w:rPr>
            </w:pPr>
          </w:p>
        </w:tc>
      </w:tr>
      <w:tr w:rsidR="00C437AB" w:rsidTr="003E1EB6">
        <w:trPr>
          <w:trHeight w:val="454"/>
          <w:jc w:val="right"/>
        </w:trPr>
        <w:tc>
          <w:tcPr>
            <w:tcW w:w="2438" w:type="dxa"/>
            <w:shd w:val="clear" w:color="auto" w:fill="auto"/>
            <w:vAlign w:val="center"/>
          </w:tcPr>
          <w:p w:rsidR="00C437AB" w:rsidRPr="004E76FA" w:rsidRDefault="00C437AB" w:rsidP="00C437AB">
            <w:pPr>
              <w:rPr>
                <w:sz w:val="20"/>
                <w:szCs w:val="20"/>
              </w:rPr>
            </w:pPr>
            <w:r w:rsidRPr="004E76FA">
              <w:rPr>
                <w:sz w:val="20"/>
                <w:szCs w:val="20"/>
              </w:rPr>
              <w:t>Missing value</w:t>
            </w:r>
          </w:p>
        </w:tc>
        <w:tc>
          <w:tcPr>
            <w:tcW w:w="907" w:type="dxa"/>
            <w:shd w:val="clear" w:color="auto" w:fill="auto"/>
            <w:vAlign w:val="center"/>
          </w:tcPr>
          <w:p w:rsidR="00C437AB" w:rsidRPr="004E76FA" w:rsidRDefault="00C437AB" w:rsidP="00C437AB">
            <w:pPr>
              <w:jc w:val="center"/>
              <w:rPr>
                <w:sz w:val="20"/>
                <w:szCs w:val="20"/>
              </w:rPr>
            </w:pPr>
            <w:r w:rsidRPr="004E76FA">
              <w:rPr>
                <w:sz w:val="20"/>
                <w:szCs w:val="20"/>
              </w:rPr>
              <w:t>O</w:t>
            </w:r>
          </w:p>
        </w:tc>
        <w:tc>
          <w:tcPr>
            <w:tcW w:w="1191" w:type="dxa"/>
            <w:shd w:val="clear" w:color="auto" w:fill="auto"/>
            <w:vAlign w:val="center"/>
          </w:tcPr>
          <w:p w:rsidR="00C437AB" w:rsidRPr="004E76FA" w:rsidRDefault="00C437AB" w:rsidP="00C437AB">
            <w:pPr>
              <w:jc w:val="center"/>
              <w:rPr>
                <w:sz w:val="20"/>
                <w:szCs w:val="20"/>
              </w:rPr>
            </w:pPr>
            <w:r w:rsidRPr="004E76FA">
              <w:rPr>
                <w:sz w:val="20"/>
                <w:szCs w:val="20"/>
              </w:rPr>
              <w:t>No</w:t>
            </w:r>
          </w:p>
        </w:tc>
        <w:tc>
          <w:tcPr>
            <w:tcW w:w="4195" w:type="dxa"/>
            <w:shd w:val="clear" w:color="auto" w:fill="auto"/>
            <w:vAlign w:val="center"/>
          </w:tcPr>
          <w:p w:rsidR="00C437AB" w:rsidRPr="004E76FA" w:rsidRDefault="00C437AB" w:rsidP="00C437AB">
            <w:pPr>
              <w:rPr>
                <w:sz w:val="20"/>
                <w:szCs w:val="20"/>
              </w:rPr>
            </w:pPr>
          </w:p>
        </w:tc>
      </w:tr>
      <w:tr w:rsidR="00C437AB" w:rsidTr="003E1EB6">
        <w:trPr>
          <w:trHeight w:val="567"/>
          <w:jc w:val="right"/>
        </w:trPr>
        <w:tc>
          <w:tcPr>
            <w:tcW w:w="2438" w:type="dxa"/>
            <w:shd w:val="clear" w:color="auto" w:fill="auto"/>
            <w:vAlign w:val="center"/>
          </w:tcPr>
          <w:p w:rsidR="00C437AB" w:rsidRPr="004E76FA" w:rsidRDefault="00C437AB" w:rsidP="00C437AB">
            <w:pPr>
              <w:rPr>
                <w:sz w:val="20"/>
                <w:szCs w:val="20"/>
              </w:rPr>
            </w:pPr>
            <w:r w:rsidRPr="004E76FA">
              <w:rPr>
                <w:sz w:val="20"/>
                <w:szCs w:val="20"/>
              </w:rPr>
              <w:t>Missing value (data cannot exist, not applicable)</w:t>
            </w:r>
          </w:p>
        </w:tc>
        <w:tc>
          <w:tcPr>
            <w:tcW w:w="907" w:type="dxa"/>
            <w:shd w:val="clear" w:color="auto" w:fill="auto"/>
            <w:vAlign w:val="center"/>
          </w:tcPr>
          <w:p w:rsidR="00C437AB" w:rsidRPr="004E76FA" w:rsidRDefault="00C437AB" w:rsidP="00C437AB">
            <w:pPr>
              <w:jc w:val="center"/>
              <w:rPr>
                <w:sz w:val="20"/>
                <w:szCs w:val="20"/>
              </w:rPr>
            </w:pPr>
            <w:r w:rsidRPr="004E76FA">
              <w:rPr>
                <w:sz w:val="20"/>
                <w:szCs w:val="20"/>
              </w:rPr>
              <w:t>M</w:t>
            </w:r>
          </w:p>
        </w:tc>
        <w:tc>
          <w:tcPr>
            <w:tcW w:w="1191" w:type="dxa"/>
            <w:shd w:val="clear" w:color="auto" w:fill="auto"/>
            <w:vAlign w:val="center"/>
          </w:tcPr>
          <w:p w:rsidR="00C437AB" w:rsidRPr="004E76FA" w:rsidRDefault="00C437AB" w:rsidP="00C437AB">
            <w:pPr>
              <w:jc w:val="center"/>
              <w:rPr>
                <w:sz w:val="20"/>
                <w:szCs w:val="20"/>
              </w:rPr>
            </w:pPr>
            <w:r w:rsidRPr="004E76FA">
              <w:rPr>
                <w:sz w:val="20"/>
                <w:szCs w:val="20"/>
              </w:rPr>
              <w:t>No</w:t>
            </w:r>
          </w:p>
        </w:tc>
        <w:tc>
          <w:tcPr>
            <w:tcW w:w="4195" w:type="dxa"/>
            <w:shd w:val="clear" w:color="auto" w:fill="auto"/>
            <w:vAlign w:val="center"/>
          </w:tcPr>
          <w:p w:rsidR="00C437AB" w:rsidRPr="004E76FA" w:rsidRDefault="00C437AB" w:rsidP="00C437AB">
            <w:pPr>
              <w:rPr>
                <w:sz w:val="20"/>
                <w:szCs w:val="20"/>
              </w:rPr>
            </w:pPr>
          </w:p>
        </w:tc>
      </w:tr>
      <w:tr w:rsidR="00C437AB" w:rsidTr="003E1EB6">
        <w:trPr>
          <w:trHeight w:val="454"/>
          <w:jc w:val="right"/>
        </w:trPr>
        <w:tc>
          <w:tcPr>
            <w:tcW w:w="2438" w:type="dxa"/>
            <w:shd w:val="clear" w:color="auto" w:fill="auto"/>
            <w:vAlign w:val="center"/>
          </w:tcPr>
          <w:p w:rsidR="00C437AB" w:rsidRPr="004E76FA" w:rsidRDefault="00C437AB" w:rsidP="00C437AB">
            <w:pPr>
              <w:rPr>
                <w:sz w:val="20"/>
                <w:szCs w:val="20"/>
              </w:rPr>
            </w:pPr>
            <w:r w:rsidRPr="004E76FA">
              <w:rPr>
                <w:sz w:val="20"/>
                <w:szCs w:val="20"/>
              </w:rPr>
              <w:t>Missing value; suppressed</w:t>
            </w:r>
          </w:p>
        </w:tc>
        <w:tc>
          <w:tcPr>
            <w:tcW w:w="907" w:type="dxa"/>
            <w:shd w:val="clear" w:color="auto" w:fill="auto"/>
            <w:vAlign w:val="center"/>
          </w:tcPr>
          <w:p w:rsidR="00C437AB" w:rsidRPr="004E76FA" w:rsidRDefault="00C437AB" w:rsidP="00C437AB">
            <w:pPr>
              <w:jc w:val="center"/>
              <w:rPr>
                <w:sz w:val="20"/>
                <w:szCs w:val="20"/>
              </w:rPr>
            </w:pPr>
            <w:r w:rsidRPr="004E76FA">
              <w:rPr>
                <w:sz w:val="20"/>
                <w:szCs w:val="20"/>
              </w:rPr>
              <w:t>Q</w:t>
            </w:r>
          </w:p>
        </w:tc>
        <w:tc>
          <w:tcPr>
            <w:tcW w:w="1191" w:type="dxa"/>
            <w:shd w:val="clear" w:color="auto" w:fill="auto"/>
            <w:vAlign w:val="center"/>
          </w:tcPr>
          <w:p w:rsidR="00C437AB" w:rsidRPr="004E76FA" w:rsidRDefault="00C437AB" w:rsidP="00C437AB">
            <w:pPr>
              <w:jc w:val="center"/>
              <w:rPr>
                <w:sz w:val="20"/>
                <w:szCs w:val="20"/>
              </w:rPr>
            </w:pPr>
            <w:r w:rsidRPr="004E76FA">
              <w:rPr>
                <w:sz w:val="20"/>
                <w:szCs w:val="20"/>
              </w:rPr>
              <w:t>No</w:t>
            </w:r>
          </w:p>
        </w:tc>
        <w:tc>
          <w:tcPr>
            <w:tcW w:w="4195" w:type="dxa"/>
            <w:shd w:val="clear" w:color="auto" w:fill="auto"/>
            <w:vAlign w:val="center"/>
          </w:tcPr>
          <w:p w:rsidR="00C437AB" w:rsidRPr="004E76FA" w:rsidRDefault="00C437AB" w:rsidP="00C437AB">
            <w:pPr>
              <w:rPr>
                <w:sz w:val="20"/>
                <w:szCs w:val="20"/>
              </w:rPr>
            </w:pPr>
          </w:p>
        </w:tc>
      </w:tr>
      <w:tr w:rsidR="00C437AB" w:rsidTr="00012EFD">
        <w:trPr>
          <w:trHeight w:val="567"/>
          <w:jc w:val="right"/>
        </w:trPr>
        <w:tc>
          <w:tcPr>
            <w:tcW w:w="2438" w:type="dxa"/>
            <w:vAlign w:val="center"/>
          </w:tcPr>
          <w:p w:rsidR="00C437AB" w:rsidRPr="004E76FA" w:rsidRDefault="00C437AB" w:rsidP="00C437AB">
            <w:pPr>
              <w:rPr>
                <w:sz w:val="20"/>
                <w:szCs w:val="20"/>
              </w:rPr>
            </w:pPr>
            <w:r w:rsidRPr="004E76FA">
              <w:rPr>
                <w:sz w:val="20"/>
                <w:szCs w:val="20"/>
              </w:rPr>
              <w:t>Figure from international organizations</w:t>
            </w:r>
          </w:p>
        </w:tc>
        <w:tc>
          <w:tcPr>
            <w:tcW w:w="907" w:type="dxa"/>
            <w:vAlign w:val="center"/>
          </w:tcPr>
          <w:p w:rsidR="00C437AB" w:rsidRPr="004E76FA" w:rsidRDefault="00C437AB" w:rsidP="00C437AB">
            <w:pPr>
              <w:jc w:val="center"/>
              <w:rPr>
                <w:sz w:val="20"/>
                <w:szCs w:val="20"/>
              </w:rPr>
            </w:pPr>
            <w:r w:rsidRPr="004E76FA">
              <w:rPr>
                <w:sz w:val="20"/>
                <w:szCs w:val="20"/>
              </w:rPr>
              <w:t>X</w:t>
            </w:r>
          </w:p>
        </w:tc>
        <w:tc>
          <w:tcPr>
            <w:tcW w:w="1191" w:type="dxa"/>
            <w:vAlign w:val="center"/>
          </w:tcPr>
          <w:p w:rsidR="00C437AB" w:rsidRPr="008B02A7" w:rsidRDefault="00C437AB" w:rsidP="00C437AB">
            <w:pPr>
              <w:jc w:val="center"/>
              <w:rPr>
                <w:sz w:val="20"/>
                <w:szCs w:val="20"/>
              </w:rPr>
            </w:pPr>
            <w:r w:rsidRPr="008B02A7">
              <w:rPr>
                <w:sz w:val="20"/>
                <w:szCs w:val="20"/>
              </w:rPr>
              <w:t>No</w:t>
            </w:r>
          </w:p>
        </w:tc>
        <w:tc>
          <w:tcPr>
            <w:tcW w:w="4195" w:type="dxa"/>
            <w:vAlign w:val="center"/>
          </w:tcPr>
          <w:p w:rsidR="00C437AB" w:rsidRPr="00FD7CB6" w:rsidRDefault="00C437AB" w:rsidP="00C437AB">
            <w:pPr>
              <w:jc w:val="both"/>
              <w:rPr>
                <w:sz w:val="15"/>
                <w:szCs w:val="15"/>
              </w:rPr>
            </w:pPr>
            <w:r w:rsidRPr="00FD7CB6">
              <w:rPr>
                <w:sz w:val="15"/>
                <w:szCs w:val="15"/>
              </w:rPr>
              <w:t>If it is possible to know that a data point was originally disseminated by the statistical system of a country, even if FAO received the data through an international organization, such data point is considered official and flagged &lt;blank&gt; (e.g. data from Comtrade in ‘tariff line’). In consequence, the data flagged X are not counted as official.</w:t>
            </w:r>
          </w:p>
        </w:tc>
      </w:tr>
      <w:tr w:rsidR="00C437AB" w:rsidTr="00012EFD">
        <w:trPr>
          <w:trHeight w:val="567"/>
          <w:jc w:val="right"/>
        </w:trPr>
        <w:tc>
          <w:tcPr>
            <w:tcW w:w="2438" w:type="dxa"/>
            <w:vAlign w:val="center"/>
          </w:tcPr>
          <w:p w:rsidR="00C437AB" w:rsidRPr="004E76FA" w:rsidRDefault="00C437AB" w:rsidP="00C437AB">
            <w:pPr>
              <w:rPr>
                <w:sz w:val="20"/>
                <w:szCs w:val="20"/>
              </w:rPr>
            </w:pPr>
            <w:r w:rsidRPr="004E76FA">
              <w:rPr>
                <w:sz w:val="20"/>
                <w:szCs w:val="20"/>
              </w:rPr>
              <w:t>Forecast value</w:t>
            </w:r>
          </w:p>
        </w:tc>
        <w:tc>
          <w:tcPr>
            <w:tcW w:w="907" w:type="dxa"/>
            <w:vAlign w:val="center"/>
          </w:tcPr>
          <w:p w:rsidR="00C437AB" w:rsidRPr="004E76FA" w:rsidRDefault="00C437AB" w:rsidP="00C437AB">
            <w:pPr>
              <w:jc w:val="center"/>
              <w:rPr>
                <w:sz w:val="20"/>
                <w:szCs w:val="20"/>
              </w:rPr>
            </w:pPr>
            <w:r w:rsidRPr="004E76FA">
              <w:rPr>
                <w:sz w:val="20"/>
                <w:szCs w:val="20"/>
              </w:rPr>
              <w:t>F</w:t>
            </w:r>
          </w:p>
        </w:tc>
        <w:tc>
          <w:tcPr>
            <w:tcW w:w="1191" w:type="dxa"/>
            <w:vAlign w:val="center"/>
          </w:tcPr>
          <w:p w:rsidR="00C437AB" w:rsidRPr="00C437AB" w:rsidRDefault="00C437AB" w:rsidP="00C437AB">
            <w:pPr>
              <w:jc w:val="center"/>
              <w:rPr>
                <w:sz w:val="20"/>
                <w:szCs w:val="20"/>
              </w:rPr>
            </w:pPr>
            <w:r w:rsidRPr="00C437AB">
              <w:rPr>
                <w:sz w:val="20"/>
                <w:szCs w:val="20"/>
              </w:rPr>
              <w:t>No</w:t>
            </w:r>
          </w:p>
        </w:tc>
        <w:tc>
          <w:tcPr>
            <w:tcW w:w="4195" w:type="dxa"/>
            <w:vAlign w:val="center"/>
          </w:tcPr>
          <w:p w:rsidR="00C437AB" w:rsidRPr="00FD7CB6" w:rsidRDefault="00C437AB" w:rsidP="00FD7CB6">
            <w:pPr>
              <w:rPr>
                <w:sz w:val="15"/>
                <w:szCs w:val="15"/>
              </w:rPr>
            </w:pPr>
            <w:r w:rsidRPr="00FD7CB6">
              <w:rPr>
                <w:sz w:val="15"/>
                <w:szCs w:val="15"/>
              </w:rPr>
              <w:t xml:space="preserve">In this review, it is recommended to use flag “F” </w:t>
            </w:r>
            <w:r w:rsidR="00FD7CB6" w:rsidRPr="00FD7CB6">
              <w:rPr>
                <w:sz w:val="15"/>
                <w:szCs w:val="15"/>
              </w:rPr>
              <w:t xml:space="preserve">at ESS </w:t>
            </w:r>
            <w:r w:rsidRPr="00FD7CB6">
              <w:rPr>
                <w:sz w:val="15"/>
                <w:szCs w:val="15"/>
              </w:rPr>
              <w:t>for non-official statistics only</w:t>
            </w:r>
            <w:r w:rsidR="00AF7990" w:rsidRPr="00FD7CB6">
              <w:rPr>
                <w:sz w:val="15"/>
                <w:szCs w:val="15"/>
              </w:rPr>
              <w:t>, pending further discussion and harmonization with FAO OCS and IDWG-Statistics</w:t>
            </w:r>
            <w:r w:rsidRPr="00FD7CB6">
              <w:rPr>
                <w:sz w:val="15"/>
                <w:szCs w:val="15"/>
              </w:rPr>
              <w:t>.</w:t>
            </w:r>
          </w:p>
        </w:tc>
      </w:tr>
      <w:tr w:rsidR="00C437AB" w:rsidTr="00012EFD">
        <w:trPr>
          <w:trHeight w:val="567"/>
          <w:jc w:val="right"/>
        </w:trPr>
        <w:tc>
          <w:tcPr>
            <w:tcW w:w="2438" w:type="dxa"/>
            <w:vAlign w:val="center"/>
          </w:tcPr>
          <w:p w:rsidR="00C437AB" w:rsidRPr="004E76FA" w:rsidRDefault="00C437AB" w:rsidP="00C437AB">
            <w:pPr>
              <w:rPr>
                <w:sz w:val="20"/>
                <w:szCs w:val="20"/>
              </w:rPr>
            </w:pPr>
            <w:r w:rsidRPr="004E76FA">
              <w:rPr>
                <w:sz w:val="20"/>
                <w:szCs w:val="20"/>
              </w:rPr>
              <w:t>Not significant (negligible)</w:t>
            </w:r>
          </w:p>
        </w:tc>
        <w:tc>
          <w:tcPr>
            <w:tcW w:w="907" w:type="dxa"/>
            <w:vAlign w:val="center"/>
          </w:tcPr>
          <w:p w:rsidR="00C437AB" w:rsidRPr="004E76FA" w:rsidRDefault="00C437AB" w:rsidP="00C437AB">
            <w:pPr>
              <w:jc w:val="center"/>
              <w:rPr>
                <w:sz w:val="20"/>
                <w:szCs w:val="20"/>
              </w:rPr>
            </w:pPr>
            <w:r w:rsidRPr="004E76FA">
              <w:rPr>
                <w:sz w:val="20"/>
                <w:szCs w:val="20"/>
              </w:rPr>
              <w:t>N</w:t>
            </w:r>
          </w:p>
        </w:tc>
        <w:tc>
          <w:tcPr>
            <w:tcW w:w="1191" w:type="dxa"/>
            <w:vAlign w:val="center"/>
          </w:tcPr>
          <w:p w:rsidR="00C437AB" w:rsidRPr="00AB5AE3" w:rsidRDefault="00AB5AE3" w:rsidP="00C437AB">
            <w:pPr>
              <w:jc w:val="center"/>
              <w:rPr>
                <w:sz w:val="20"/>
                <w:szCs w:val="20"/>
              </w:rPr>
            </w:pPr>
            <w:r w:rsidRPr="00AB5AE3">
              <w:rPr>
                <w:sz w:val="20"/>
                <w:szCs w:val="20"/>
              </w:rPr>
              <w:t>No</w:t>
            </w:r>
          </w:p>
        </w:tc>
        <w:tc>
          <w:tcPr>
            <w:tcW w:w="4195" w:type="dxa"/>
            <w:vAlign w:val="center"/>
          </w:tcPr>
          <w:p w:rsidR="00C437AB" w:rsidRPr="00FD7CB6" w:rsidRDefault="00AB5AE3" w:rsidP="00FD7CB6">
            <w:pPr>
              <w:rPr>
                <w:sz w:val="15"/>
                <w:szCs w:val="15"/>
              </w:rPr>
            </w:pPr>
            <w:r w:rsidRPr="00FD7CB6">
              <w:rPr>
                <w:sz w:val="15"/>
                <w:szCs w:val="15"/>
              </w:rPr>
              <w:t xml:space="preserve">In this review, it is recommended to use flag “F” </w:t>
            </w:r>
            <w:r w:rsidR="00FD7CB6" w:rsidRPr="00FD7CB6">
              <w:rPr>
                <w:sz w:val="15"/>
                <w:szCs w:val="15"/>
              </w:rPr>
              <w:t xml:space="preserve">at ESS </w:t>
            </w:r>
            <w:r w:rsidRPr="00FD7CB6">
              <w:rPr>
                <w:sz w:val="15"/>
                <w:szCs w:val="15"/>
              </w:rPr>
              <w:t>for non-official statistics only</w:t>
            </w:r>
            <w:r w:rsidR="00AF7990" w:rsidRPr="00FD7CB6">
              <w:rPr>
                <w:sz w:val="15"/>
                <w:szCs w:val="15"/>
              </w:rPr>
              <w:t>, pending further discussion and harmonization with FAO OCS and IDWG-Statistics.</w:t>
            </w:r>
          </w:p>
        </w:tc>
      </w:tr>
      <w:tr w:rsidR="00C437AB" w:rsidTr="00012EFD">
        <w:trPr>
          <w:trHeight w:val="567"/>
          <w:jc w:val="right"/>
        </w:trPr>
        <w:tc>
          <w:tcPr>
            <w:tcW w:w="2438" w:type="dxa"/>
            <w:vAlign w:val="center"/>
          </w:tcPr>
          <w:p w:rsidR="00C437AB" w:rsidRPr="004E76FA" w:rsidRDefault="00C437AB" w:rsidP="00C437AB">
            <w:pPr>
              <w:rPr>
                <w:sz w:val="20"/>
                <w:szCs w:val="20"/>
              </w:rPr>
            </w:pPr>
            <w:r w:rsidRPr="004E76FA">
              <w:rPr>
                <w:sz w:val="20"/>
                <w:szCs w:val="20"/>
              </w:rPr>
              <w:t xml:space="preserve">Time series break </w:t>
            </w:r>
          </w:p>
        </w:tc>
        <w:tc>
          <w:tcPr>
            <w:tcW w:w="907" w:type="dxa"/>
            <w:vAlign w:val="center"/>
          </w:tcPr>
          <w:p w:rsidR="00C437AB" w:rsidRPr="004E76FA" w:rsidRDefault="00C437AB" w:rsidP="00C437AB">
            <w:pPr>
              <w:jc w:val="center"/>
              <w:rPr>
                <w:sz w:val="20"/>
                <w:szCs w:val="20"/>
              </w:rPr>
            </w:pPr>
            <w:r w:rsidRPr="004E76FA">
              <w:rPr>
                <w:sz w:val="20"/>
                <w:szCs w:val="20"/>
              </w:rPr>
              <w:t>B</w:t>
            </w:r>
          </w:p>
        </w:tc>
        <w:tc>
          <w:tcPr>
            <w:tcW w:w="1191" w:type="dxa"/>
            <w:vAlign w:val="center"/>
          </w:tcPr>
          <w:p w:rsidR="00C437AB" w:rsidRPr="00AB5AE3" w:rsidRDefault="00AB5AE3" w:rsidP="00C437AB">
            <w:pPr>
              <w:jc w:val="center"/>
              <w:rPr>
                <w:sz w:val="20"/>
                <w:szCs w:val="20"/>
              </w:rPr>
            </w:pPr>
            <w:r w:rsidRPr="00AB5AE3">
              <w:rPr>
                <w:sz w:val="20"/>
                <w:szCs w:val="20"/>
              </w:rPr>
              <w:t>No</w:t>
            </w:r>
          </w:p>
        </w:tc>
        <w:tc>
          <w:tcPr>
            <w:tcW w:w="4195" w:type="dxa"/>
            <w:vAlign w:val="center"/>
          </w:tcPr>
          <w:p w:rsidR="00C437AB" w:rsidRPr="00FD7CB6" w:rsidRDefault="00AB5AE3" w:rsidP="00FD7CB6">
            <w:pPr>
              <w:rPr>
                <w:sz w:val="15"/>
                <w:szCs w:val="15"/>
              </w:rPr>
            </w:pPr>
            <w:r w:rsidRPr="00FD7CB6">
              <w:rPr>
                <w:sz w:val="15"/>
                <w:szCs w:val="15"/>
              </w:rPr>
              <w:t xml:space="preserve">In this review, it is recommended to use flag “B” </w:t>
            </w:r>
            <w:r w:rsidR="00FD7CB6" w:rsidRPr="00FD7CB6">
              <w:rPr>
                <w:sz w:val="15"/>
                <w:szCs w:val="15"/>
              </w:rPr>
              <w:t xml:space="preserve">at ESS </w:t>
            </w:r>
            <w:r w:rsidRPr="00FD7CB6">
              <w:rPr>
                <w:sz w:val="15"/>
                <w:szCs w:val="15"/>
              </w:rPr>
              <w:t xml:space="preserve">for non-official statistics only. If the time series break applies to an official data point, it is recommended to </w:t>
            </w:r>
            <w:r w:rsidR="003E1EB6" w:rsidRPr="00FD7CB6">
              <w:rPr>
                <w:sz w:val="15"/>
                <w:szCs w:val="15"/>
              </w:rPr>
              <w:t xml:space="preserve">mention the break </w:t>
            </w:r>
            <w:r w:rsidRPr="00FD7CB6">
              <w:rPr>
                <w:sz w:val="15"/>
                <w:szCs w:val="15"/>
              </w:rPr>
              <w:t xml:space="preserve">in the </w:t>
            </w:r>
            <w:r w:rsidR="00C437AB" w:rsidRPr="00FD7CB6">
              <w:rPr>
                <w:sz w:val="15"/>
                <w:szCs w:val="15"/>
              </w:rPr>
              <w:t xml:space="preserve">“notes” </w:t>
            </w:r>
            <w:r w:rsidRPr="00FD7CB6">
              <w:rPr>
                <w:sz w:val="15"/>
                <w:szCs w:val="15"/>
              </w:rPr>
              <w:t>field instead of the “flag” fie</w:t>
            </w:r>
            <w:r w:rsidR="00AF7990" w:rsidRPr="00FD7CB6">
              <w:rPr>
                <w:sz w:val="15"/>
                <w:szCs w:val="15"/>
              </w:rPr>
              <w:t>ld, pending further discussion and harmonization with FAO OCS and IDWG-Statistics.</w:t>
            </w:r>
          </w:p>
        </w:tc>
      </w:tr>
      <w:tr w:rsidR="00C437AB" w:rsidTr="00012EFD">
        <w:trPr>
          <w:trHeight w:val="567"/>
          <w:jc w:val="right"/>
        </w:trPr>
        <w:tc>
          <w:tcPr>
            <w:tcW w:w="2438" w:type="dxa"/>
            <w:vAlign w:val="center"/>
          </w:tcPr>
          <w:p w:rsidR="00C437AB" w:rsidRPr="004E76FA" w:rsidRDefault="00C437AB" w:rsidP="00C437AB">
            <w:pPr>
              <w:rPr>
                <w:sz w:val="20"/>
                <w:szCs w:val="20"/>
              </w:rPr>
            </w:pPr>
            <w:r w:rsidRPr="004E76FA">
              <w:rPr>
                <w:sz w:val="20"/>
                <w:szCs w:val="20"/>
              </w:rPr>
              <w:t>Exceptional event</w:t>
            </w:r>
          </w:p>
        </w:tc>
        <w:tc>
          <w:tcPr>
            <w:tcW w:w="907" w:type="dxa"/>
            <w:vAlign w:val="center"/>
          </w:tcPr>
          <w:p w:rsidR="00C437AB" w:rsidRPr="004E76FA" w:rsidRDefault="00C437AB" w:rsidP="00C437AB">
            <w:pPr>
              <w:jc w:val="center"/>
              <w:rPr>
                <w:sz w:val="20"/>
                <w:szCs w:val="20"/>
              </w:rPr>
            </w:pPr>
            <w:r w:rsidRPr="004E76FA">
              <w:rPr>
                <w:sz w:val="20"/>
                <w:szCs w:val="20"/>
              </w:rPr>
              <w:t>S</w:t>
            </w:r>
          </w:p>
        </w:tc>
        <w:tc>
          <w:tcPr>
            <w:tcW w:w="1191" w:type="dxa"/>
            <w:vAlign w:val="center"/>
          </w:tcPr>
          <w:p w:rsidR="00C437AB" w:rsidRPr="00AB5AE3" w:rsidRDefault="00AB5AE3" w:rsidP="00C437AB">
            <w:pPr>
              <w:jc w:val="center"/>
              <w:rPr>
                <w:sz w:val="20"/>
                <w:szCs w:val="20"/>
              </w:rPr>
            </w:pPr>
            <w:r w:rsidRPr="00AB5AE3">
              <w:rPr>
                <w:sz w:val="20"/>
                <w:szCs w:val="20"/>
              </w:rPr>
              <w:t>No</w:t>
            </w:r>
          </w:p>
        </w:tc>
        <w:tc>
          <w:tcPr>
            <w:tcW w:w="4195" w:type="dxa"/>
            <w:vAlign w:val="center"/>
          </w:tcPr>
          <w:p w:rsidR="00C437AB" w:rsidRPr="00FD7CB6" w:rsidRDefault="00FD7CB6" w:rsidP="00FD7CB6">
            <w:pPr>
              <w:rPr>
                <w:sz w:val="15"/>
                <w:szCs w:val="15"/>
              </w:rPr>
            </w:pPr>
            <w:r w:rsidRPr="00FD7CB6">
              <w:rPr>
                <w:sz w:val="15"/>
                <w:szCs w:val="15"/>
              </w:rPr>
              <w:t>In this review, it is recommended to use flag “S” at ESS for non-official statistics only. If the exceptional event mention applies to an official data point, it is recommended to include it in the “notes” field instead of the “flag” field, pending further discussion and harmonization with FAO OCS and IDWG-Statistics.</w:t>
            </w:r>
          </w:p>
        </w:tc>
      </w:tr>
    </w:tbl>
    <w:p w:rsidR="000D7739" w:rsidRDefault="000D7739">
      <w:pPr>
        <w:rPr>
          <w:rFonts w:asciiTheme="majorHAnsi" w:eastAsiaTheme="majorEastAsia" w:hAnsiTheme="majorHAnsi" w:cstheme="majorBidi"/>
          <w:b/>
          <w:bCs/>
          <w:smallCaps/>
          <w:color w:val="000000" w:themeColor="text1"/>
          <w:sz w:val="28"/>
          <w:szCs w:val="28"/>
        </w:rPr>
      </w:pPr>
      <w:r>
        <w:br w:type="page"/>
      </w:r>
    </w:p>
    <w:p w:rsidR="00641040" w:rsidRPr="00641040" w:rsidRDefault="00641040" w:rsidP="00641040">
      <w:pPr>
        <w:pStyle w:val="Heading2"/>
      </w:pPr>
      <w:r>
        <w:lastRenderedPageBreak/>
        <w:t>Number of data points received through questionnaires</w:t>
      </w:r>
    </w:p>
    <w:p w:rsidR="00DE36F0" w:rsidRDefault="00DE36F0" w:rsidP="000D7739">
      <w:pPr>
        <w:pStyle w:val="ListParagraph"/>
        <w:jc w:val="both"/>
      </w:pPr>
      <w:r>
        <w:t xml:space="preserve">Number of data points classified as ‘received through questionnaire’ (according to </w:t>
      </w:r>
      <w:r w:rsidR="00524879">
        <w:t xml:space="preserve">‘method’ </w:t>
      </w:r>
      <w:r>
        <w:t>flag) in a dataset, for a particular year.</w:t>
      </w:r>
    </w:p>
    <w:p w:rsidR="00F61742" w:rsidRDefault="00F61742" w:rsidP="000D7739">
      <w:pPr>
        <w:pStyle w:val="ListParagraph"/>
        <w:jc w:val="both"/>
      </w:pPr>
    </w:p>
    <w:p w:rsidR="00F61742" w:rsidRPr="00756D0C" w:rsidRDefault="00524879" w:rsidP="00F61742">
      <w:pPr>
        <w:pStyle w:val="ListParagraph"/>
        <w:jc w:val="both"/>
      </w:pPr>
      <w:r>
        <w:t>O</w:t>
      </w:r>
      <w:r w:rsidR="00F61742">
        <w:t xml:space="preserve">nly data points with method flag ‘q’ </w:t>
      </w:r>
      <w:r>
        <w:t>are</w:t>
      </w:r>
      <w:r w:rsidR="00F61742">
        <w:t xml:space="preserve"> </w:t>
      </w:r>
      <w:r>
        <w:t xml:space="preserve">counted </w:t>
      </w:r>
      <w:r w:rsidR="00F61742">
        <w:t xml:space="preserve">in the number of data points received through questionnaires. All other flags, for instance </w:t>
      </w:r>
      <w:r w:rsidR="00F61742" w:rsidRPr="00756D0C">
        <w:t>‘-’ (unknown collection method)</w:t>
      </w:r>
      <w:r w:rsidR="00F61742">
        <w:t xml:space="preserve">, </w:t>
      </w:r>
      <w:r>
        <w:t>are</w:t>
      </w:r>
      <w:r w:rsidR="00F61742">
        <w:t xml:space="preserve"> excluded.</w:t>
      </w:r>
    </w:p>
    <w:p w:rsidR="00DE36F0" w:rsidRPr="000D7739" w:rsidRDefault="00DE36F0" w:rsidP="00BA4305">
      <w:pPr>
        <w:pStyle w:val="ListParagraph"/>
        <w:jc w:val="both"/>
        <w:rPr>
          <w:sz w:val="18"/>
          <w:szCs w:val="18"/>
        </w:rPr>
      </w:pPr>
    </w:p>
    <w:p w:rsidR="00F47EE5" w:rsidRDefault="00756D0C" w:rsidP="00F61742">
      <w:pPr>
        <w:pStyle w:val="ListParagraph"/>
        <w:jc w:val="both"/>
      </w:pPr>
      <w:r>
        <w:t>It must be noted that t</w:t>
      </w:r>
      <w:r w:rsidR="00C63339" w:rsidRPr="00756D0C">
        <w:t xml:space="preserve">here is no specific </w:t>
      </w:r>
      <w:r w:rsidRPr="00756D0C">
        <w:rPr>
          <w:i/>
        </w:rPr>
        <w:t xml:space="preserve">observation </w:t>
      </w:r>
      <w:r w:rsidR="00C63339" w:rsidRPr="00524879">
        <w:t>flag</w:t>
      </w:r>
      <w:r w:rsidR="00C63339" w:rsidRPr="00756D0C">
        <w:t xml:space="preserve"> identify</w:t>
      </w:r>
      <w:r>
        <w:t>ing</w:t>
      </w:r>
      <w:r w:rsidR="00C63339" w:rsidRPr="00756D0C">
        <w:t xml:space="preserve"> </w:t>
      </w:r>
      <w:r>
        <w:t xml:space="preserve">the </w:t>
      </w:r>
      <w:r w:rsidR="00C63339" w:rsidRPr="00756D0C">
        <w:t xml:space="preserve">data points </w:t>
      </w:r>
      <w:r>
        <w:t>taken from a</w:t>
      </w:r>
      <w:r w:rsidR="00C63339" w:rsidRPr="00756D0C">
        <w:t xml:space="preserve"> questionnaire. </w:t>
      </w:r>
      <w:r>
        <w:t xml:space="preserve">It is the </w:t>
      </w:r>
      <w:r w:rsidRPr="00524879">
        <w:t>method flag</w:t>
      </w:r>
      <w:r>
        <w:t xml:space="preserve"> </w:t>
      </w:r>
      <w:r w:rsidR="00524879">
        <w:t xml:space="preserve">in the </w:t>
      </w:r>
      <w:r>
        <w:t xml:space="preserve">SWS the one indicating if </w:t>
      </w:r>
      <w:r w:rsidR="00C63339" w:rsidRPr="00756D0C">
        <w:t xml:space="preserve">the data point was collected through questionnaire. </w:t>
      </w:r>
      <w:r w:rsidR="002E5D6A">
        <w:t>T</w:t>
      </w:r>
      <w:r>
        <w:t xml:space="preserve">his method flag may not be available in FAOSTAT. </w:t>
      </w:r>
    </w:p>
    <w:p w:rsidR="00524879" w:rsidRDefault="00524879" w:rsidP="00F61742">
      <w:pPr>
        <w:pStyle w:val="ListParagraph"/>
        <w:jc w:val="both"/>
      </w:pPr>
    </w:p>
    <w:p w:rsidR="00524879" w:rsidRDefault="00524879">
      <w:r>
        <w:br w:type="page"/>
      </w:r>
    </w:p>
    <w:p w:rsidR="00611C3D" w:rsidRDefault="00611C3D" w:rsidP="00611C3D">
      <w:pPr>
        <w:pStyle w:val="Heading1"/>
      </w:pPr>
      <w:r w:rsidRPr="00611C3D">
        <w:lastRenderedPageBreak/>
        <w:t xml:space="preserve">Proposed </w:t>
      </w:r>
      <w:r w:rsidR="0038299D">
        <w:t>f</w:t>
      </w:r>
      <w:r w:rsidRPr="00611C3D">
        <w:t xml:space="preserve">ormulas for </w:t>
      </w:r>
      <w:r w:rsidR="0038299D">
        <w:t>s</w:t>
      </w:r>
      <w:r w:rsidRPr="00611C3D">
        <w:t xml:space="preserve">elected </w:t>
      </w:r>
      <w:r w:rsidR="0038299D">
        <w:t>q</w:t>
      </w:r>
      <w:r w:rsidRPr="00611C3D">
        <w:t xml:space="preserve">uality </w:t>
      </w:r>
      <w:r w:rsidR="0038299D">
        <w:t>i</w:t>
      </w:r>
      <w:r w:rsidRPr="00611C3D">
        <w:t xml:space="preserve">ndicators </w:t>
      </w:r>
    </w:p>
    <w:p w:rsidR="00DE474A" w:rsidRDefault="00611C3D" w:rsidP="00DE474A">
      <w:pPr>
        <w:spacing w:after="120"/>
        <w:jc w:val="both"/>
      </w:pPr>
      <w:r>
        <w:t>As mentioned in section 1</w:t>
      </w:r>
      <w:r w:rsidR="000319F8">
        <w:t xml:space="preserve"> (Scope)</w:t>
      </w:r>
      <w:r>
        <w:t xml:space="preserve">, this review focuses on three concepts to be measured: </w:t>
      </w:r>
      <w:r w:rsidR="000319F8">
        <w:t xml:space="preserve">one is response rate and </w:t>
      </w:r>
      <w:r w:rsidR="00524879">
        <w:t xml:space="preserve">the </w:t>
      </w:r>
      <w:r w:rsidR="000319F8">
        <w:t>other two relate to data completeness (pr</w:t>
      </w:r>
      <w:r w:rsidR="00867379">
        <w:t>oportion of imputed data points</w:t>
      </w:r>
      <w:r w:rsidR="000319F8">
        <w:t xml:space="preserve"> and ratio of the value of imputations).</w:t>
      </w:r>
    </w:p>
    <w:p w:rsidR="00611C3D" w:rsidRDefault="00524879" w:rsidP="00DE474A">
      <w:pPr>
        <w:spacing w:after="120"/>
        <w:jc w:val="both"/>
      </w:pPr>
      <w:r>
        <w:t>The indicators defined below measure r</w:t>
      </w:r>
      <w:r w:rsidR="00973FCB">
        <w:t>esponse</w:t>
      </w:r>
      <w:r w:rsidR="0050651D">
        <w:t xml:space="preserve"> rates </w:t>
      </w:r>
      <w:r>
        <w:t>for questionnaires and</w:t>
      </w:r>
      <w:r w:rsidR="0050651D">
        <w:t xml:space="preserve"> data completeness for datasets</w:t>
      </w:r>
      <w:r w:rsidR="00423932">
        <w:t>. This selection of indicators and objects of analysis intends to optimize the number of indicators to be monitored and to focus the analysis.</w:t>
      </w:r>
    </w:p>
    <w:p w:rsidR="00DE474A" w:rsidRDefault="00DE474A" w:rsidP="00BA4305">
      <w:pPr>
        <w:jc w:val="both"/>
      </w:pPr>
      <w:r>
        <w:t xml:space="preserve">The proposal is to </w:t>
      </w:r>
      <w:r w:rsidRPr="00DE474A">
        <w:rPr>
          <w:u w:val="single"/>
        </w:rPr>
        <w:t>make available all the data indicated in the table</w:t>
      </w:r>
      <w:r>
        <w:rPr>
          <w:u w:val="single"/>
        </w:rPr>
        <w:t>s</w:t>
      </w:r>
      <w:r w:rsidRPr="00DE474A">
        <w:rPr>
          <w:u w:val="single"/>
        </w:rPr>
        <w:t xml:space="preserve"> below</w:t>
      </w:r>
      <w:r>
        <w:t>, including the calculation of the indicator in the last cell, according to the formula provided.</w:t>
      </w:r>
    </w:p>
    <w:p w:rsidR="000319F8" w:rsidRDefault="003F6276" w:rsidP="00B97D7F">
      <w:pPr>
        <w:pStyle w:val="Heading2"/>
        <w:spacing w:before="240" w:after="240"/>
        <w:ind w:left="578" w:hanging="578"/>
      </w:pPr>
      <w:r w:rsidRPr="003F6276">
        <w:t>R</w:t>
      </w:r>
      <w:r w:rsidR="000319F8" w:rsidRPr="003F6276">
        <w:t>esponse rate</w:t>
      </w:r>
      <w:r w:rsidR="000319F8">
        <w:t xml:space="preserve"> </w:t>
      </w:r>
      <w:r w:rsidR="0050651D">
        <w:t>(questionnaires)</w:t>
      </w:r>
      <w:r w:rsidR="000319F8">
        <w:t>:</w:t>
      </w:r>
    </w:p>
    <w:p w:rsidR="00E22ECD" w:rsidRDefault="00E22ECD" w:rsidP="00DE474A">
      <w:pPr>
        <w:pStyle w:val="Heading3"/>
        <w:spacing w:before="240" w:after="120"/>
      </w:pPr>
      <w:r w:rsidRPr="0038299D">
        <w:t xml:space="preserve">Overall response rate </w:t>
      </w:r>
      <w:r>
        <w:t>by questionnaire</w:t>
      </w:r>
    </w:p>
    <w:p w:rsidR="00302F62" w:rsidRDefault="00302F62" w:rsidP="00DE474A">
      <w:pPr>
        <w:spacing w:after="120"/>
      </w:pPr>
      <w:r w:rsidRPr="00302F62">
        <w:rPr>
          <w:b/>
        </w:rPr>
        <w:t>Meaning</w:t>
      </w:r>
      <w:r>
        <w:t xml:space="preserve">: Share of </w:t>
      </w:r>
      <w:r w:rsidR="00DE3C0F">
        <w:t>questionnaires dispatched</w:t>
      </w:r>
      <w:r>
        <w:t xml:space="preserve"> that </w:t>
      </w:r>
      <w:r w:rsidR="00F10928">
        <w:t xml:space="preserve">have </w:t>
      </w:r>
      <w:r w:rsidR="00DE3C0F">
        <w:t xml:space="preserve">been </w:t>
      </w:r>
      <w:r w:rsidR="000C3CB2">
        <w:t>returned</w:t>
      </w:r>
      <w:r w:rsidR="00DE3C0F">
        <w:t xml:space="preserve"> filled with</w:t>
      </w:r>
      <w:r>
        <w:t xml:space="preserve"> some data</w:t>
      </w:r>
      <w:r w:rsidR="00607240">
        <w:t>.</w:t>
      </w:r>
    </w:p>
    <w:p w:rsidR="00302F62" w:rsidRPr="00302F62" w:rsidRDefault="00302F62" w:rsidP="00DE474A">
      <w:pPr>
        <w:spacing w:after="120"/>
      </w:pPr>
      <w:r w:rsidRPr="00302F62">
        <w:rPr>
          <w:b/>
        </w:rPr>
        <w:t>Objective</w:t>
      </w:r>
      <w:r>
        <w:t xml:space="preserve">: </w:t>
      </w:r>
      <w:r w:rsidR="00F50698">
        <w:t xml:space="preserve">Assist in </w:t>
      </w:r>
      <w:r>
        <w:t>ESS internal assessment of the relevance of the questionnaire dispatch exercise.</w:t>
      </w:r>
      <w:r w:rsidR="00FE75FA">
        <w:t xml:space="preserve"> </w:t>
      </w:r>
      <w:r w:rsidR="001D14F0">
        <w:t xml:space="preserve">To infer information about the completeness of the questionnaires received, this indicator needs to be analyzed in combination with </w:t>
      </w:r>
      <w:r w:rsidR="00F50698" w:rsidRPr="00F50698">
        <w:t>the indicator “</w:t>
      </w:r>
      <w:r w:rsidR="00F50698">
        <w:t>d</w:t>
      </w:r>
      <w:r w:rsidR="00F50698" w:rsidRPr="00F50698">
        <w:t>ataset completeness from questionnaire”.</w:t>
      </w:r>
    </w:p>
    <w:p w:rsidR="0028541F" w:rsidRDefault="00F50698" w:rsidP="00DE474A">
      <w:pPr>
        <w:pStyle w:val="Default"/>
        <w:spacing w:before="120" w:after="240"/>
        <w:jc w:val="both"/>
        <w:rPr>
          <w:sz w:val="22"/>
          <w:szCs w:val="22"/>
        </w:rPr>
      </w:pPr>
      <w:r w:rsidRPr="00F50698">
        <w:rPr>
          <w:b/>
          <w:sz w:val="22"/>
          <w:szCs w:val="22"/>
        </w:rPr>
        <w:t>Calculation</w:t>
      </w:r>
      <w:r>
        <w:rPr>
          <w:sz w:val="22"/>
          <w:szCs w:val="22"/>
        </w:rPr>
        <w:t xml:space="preserve">: </w:t>
      </w:r>
      <w:r w:rsidR="0028541F" w:rsidRPr="00BA4305">
        <w:rPr>
          <w:sz w:val="22"/>
          <w:szCs w:val="22"/>
        </w:rPr>
        <w:t xml:space="preserve">This indicator is calculated for </w:t>
      </w:r>
      <w:r w:rsidR="00B03E85">
        <w:rPr>
          <w:sz w:val="22"/>
          <w:szCs w:val="22"/>
        </w:rPr>
        <w:t>a</w:t>
      </w:r>
      <w:r w:rsidR="0028541F" w:rsidRPr="00BA4305">
        <w:rPr>
          <w:sz w:val="22"/>
          <w:szCs w:val="22"/>
        </w:rPr>
        <w:t xml:space="preserve"> questionnaire.</w:t>
      </w:r>
    </w:p>
    <w:tbl>
      <w:tblPr>
        <w:tblStyle w:val="TableGrid"/>
        <w:tblW w:w="5000" w:type="pct"/>
        <w:tblLook w:val="04A0" w:firstRow="1" w:lastRow="0" w:firstColumn="1" w:lastColumn="0" w:noHBand="0" w:noVBand="1"/>
      </w:tblPr>
      <w:tblGrid>
        <w:gridCol w:w="1557"/>
        <w:gridCol w:w="1557"/>
        <w:gridCol w:w="1560"/>
        <w:gridCol w:w="1558"/>
        <w:gridCol w:w="1558"/>
        <w:gridCol w:w="1560"/>
      </w:tblGrid>
      <w:tr w:rsidR="00B97D7F" w:rsidTr="00524879">
        <w:tc>
          <w:tcPr>
            <w:tcW w:w="833" w:type="pct"/>
            <w:shd w:val="clear" w:color="auto" w:fill="DEEAF6" w:themeFill="accent1" w:themeFillTint="33"/>
            <w:vAlign w:val="center"/>
          </w:tcPr>
          <w:p w:rsidR="00B97D7F" w:rsidRPr="00E22ECD" w:rsidRDefault="00B97D7F" w:rsidP="00524879">
            <w:pPr>
              <w:rPr>
                <w:sz w:val="20"/>
                <w:szCs w:val="20"/>
              </w:rPr>
            </w:pPr>
            <w:r w:rsidRPr="00E22ECD">
              <w:rPr>
                <w:sz w:val="20"/>
                <w:szCs w:val="20"/>
              </w:rPr>
              <w:t>Questionnaire</w:t>
            </w:r>
          </w:p>
        </w:tc>
        <w:tc>
          <w:tcPr>
            <w:tcW w:w="833" w:type="pct"/>
            <w:shd w:val="clear" w:color="auto" w:fill="DEEAF6" w:themeFill="accent1" w:themeFillTint="33"/>
            <w:vAlign w:val="center"/>
          </w:tcPr>
          <w:p w:rsidR="00B97D7F" w:rsidRPr="00E22ECD" w:rsidRDefault="00B97D7F" w:rsidP="00524879">
            <w:pPr>
              <w:rPr>
                <w:sz w:val="20"/>
                <w:szCs w:val="20"/>
              </w:rPr>
            </w:pPr>
            <w:r w:rsidRPr="00E22ECD">
              <w:rPr>
                <w:sz w:val="20"/>
                <w:szCs w:val="20"/>
              </w:rPr>
              <w:t xml:space="preserve"># territories </w:t>
            </w:r>
            <w:r>
              <w:rPr>
                <w:sz w:val="20"/>
                <w:szCs w:val="20"/>
              </w:rPr>
              <w:br/>
            </w:r>
            <w:r w:rsidRPr="00E22ECD">
              <w:rPr>
                <w:sz w:val="20"/>
                <w:szCs w:val="20"/>
              </w:rPr>
              <w:t>in scope</w:t>
            </w:r>
          </w:p>
        </w:tc>
        <w:tc>
          <w:tcPr>
            <w:tcW w:w="834" w:type="pct"/>
            <w:shd w:val="clear" w:color="auto" w:fill="DEEAF6" w:themeFill="accent1" w:themeFillTint="33"/>
            <w:vAlign w:val="center"/>
          </w:tcPr>
          <w:p w:rsidR="00B97D7F" w:rsidRPr="00E22ECD" w:rsidRDefault="00B97D7F" w:rsidP="00524879">
            <w:pPr>
              <w:rPr>
                <w:sz w:val="20"/>
                <w:szCs w:val="20"/>
              </w:rPr>
            </w:pPr>
            <w:r w:rsidRPr="00E22ECD">
              <w:rPr>
                <w:sz w:val="20"/>
                <w:szCs w:val="20"/>
              </w:rPr>
              <w:t># quest</w:t>
            </w:r>
            <w:r>
              <w:rPr>
                <w:sz w:val="20"/>
                <w:szCs w:val="20"/>
              </w:rPr>
              <w:t>.</w:t>
            </w:r>
            <w:r w:rsidRPr="00E22ECD">
              <w:rPr>
                <w:sz w:val="20"/>
                <w:szCs w:val="20"/>
              </w:rPr>
              <w:t xml:space="preserve"> dispatched</w:t>
            </w:r>
          </w:p>
        </w:tc>
        <w:tc>
          <w:tcPr>
            <w:tcW w:w="833" w:type="pct"/>
            <w:shd w:val="clear" w:color="auto" w:fill="DEEAF6" w:themeFill="accent1" w:themeFillTint="33"/>
            <w:vAlign w:val="center"/>
          </w:tcPr>
          <w:p w:rsidR="00B97D7F" w:rsidRPr="00E22ECD" w:rsidRDefault="00B97D7F" w:rsidP="00524879">
            <w:pPr>
              <w:rPr>
                <w:sz w:val="20"/>
                <w:szCs w:val="20"/>
              </w:rPr>
            </w:pPr>
            <w:r w:rsidRPr="00E22ECD">
              <w:rPr>
                <w:sz w:val="20"/>
                <w:szCs w:val="20"/>
              </w:rPr>
              <w:t># quest</w:t>
            </w:r>
            <w:r>
              <w:rPr>
                <w:sz w:val="20"/>
                <w:szCs w:val="20"/>
              </w:rPr>
              <w:t>.</w:t>
            </w:r>
            <w:r w:rsidRPr="00E22ECD">
              <w:rPr>
                <w:sz w:val="20"/>
                <w:szCs w:val="20"/>
              </w:rPr>
              <w:t xml:space="preserve"> acknowledged</w:t>
            </w:r>
          </w:p>
        </w:tc>
        <w:tc>
          <w:tcPr>
            <w:tcW w:w="833" w:type="pct"/>
            <w:shd w:val="clear" w:color="auto" w:fill="DEEAF6" w:themeFill="accent1" w:themeFillTint="33"/>
            <w:vAlign w:val="center"/>
          </w:tcPr>
          <w:p w:rsidR="00B97D7F" w:rsidRPr="00E22ECD" w:rsidRDefault="00B97D7F" w:rsidP="00524879">
            <w:pPr>
              <w:rPr>
                <w:sz w:val="20"/>
                <w:szCs w:val="20"/>
              </w:rPr>
            </w:pPr>
            <w:r w:rsidRPr="00E22ECD">
              <w:rPr>
                <w:sz w:val="20"/>
                <w:szCs w:val="20"/>
              </w:rPr>
              <w:t># quest</w:t>
            </w:r>
            <w:r>
              <w:rPr>
                <w:sz w:val="20"/>
                <w:szCs w:val="20"/>
              </w:rPr>
              <w:t>.</w:t>
            </w:r>
            <w:r w:rsidRPr="00E22ECD">
              <w:rPr>
                <w:sz w:val="20"/>
                <w:szCs w:val="20"/>
              </w:rPr>
              <w:t xml:space="preserve"> </w:t>
            </w:r>
            <w:r>
              <w:rPr>
                <w:sz w:val="20"/>
                <w:szCs w:val="20"/>
              </w:rPr>
              <w:br/>
            </w:r>
            <w:r w:rsidRPr="00E22ECD">
              <w:rPr>
                <w:sz w:val="20"/>
                <w:szCs w:val="20"/>
              </w:rPr>
              <w:t>filled</w:t>
            </w:r>
          </w:p>
        </w:tc>
        <w:tc>
          <w:tcPr>
            <w:tcW w:w="834" w:type="pct"/>
            <w:shd w:val="clear" w:color="auto" w:fill="9CC2E5" w:themeFill="accent1" w:themeFillTint="99"/>
            <w:vAlign w:val="center"/>
          </w:tcPr>
          <w:p w:rsidR="00B97D7F" w:rsidRPr="00E22ECD" w:rsidRDefault="00B97D7F" w:rsidP="00524879">
            <w:pPr>
              <w:rPr>
                <w:sz w:val="20"/>
                <w:szCs w:val="20"/>
              </w:rPr>
            </w:pPr>
            <w:r w:rsidRPr="00E22ECD">
              <w:rPr>
                <w:sz w:val="20"/>
                <w:szCs w:val="20"/>
              </w:rPr>
              <w:t>Response rate</w:t>
            </w:r>
          </w:p>
        </w:tc>
      </w:tr>
      <w:tr w:rsidR="00B97D7F" w:rsidTr="00524879">
        <w:tc>
          <w:tcPr>
            <w:tcW w:w="833" w:type="pct"/>
            <w:vAlign w:val="center"/>
          </w:tcPr>
          <w:p w:rsidR="00B97D7F" w:rsidRPr="00E22ECD" w:rsidRDefault="00B97D7F" w:rsidP="00524879">
            <w:pPr>
              <w:rPr>
                <w:sz w:val="20"/>
                <w:szCs w:val="20"/>
              </w:rPr>
            </w:pPr>
            <w:r>
              <w:rPr>
                <w:sz w:val="20"/>
                <w:szCs w:val="20"/>
              </w:rPr>
              <w:t>Name</w:t>
            </w:r>
          </w:p>
        </w:tc>
        <w:tc>
          <w:tcPr>
            <w:tcW w:w="833" w:type="pct"/>
            <w:vAlign w:val="center"/>
          </w:tcPr>
          <w:p w:rsidR="00B97D7F" w:rsidRPr="00E22ECD" w:rsidRDefault="00B97D7F" w:rsidP="00524879">
            <w:pPr>
              <w:jc w:val="center"/>
              <w:rPr>
                <w:sz w:val="20"/>
                <w:szCs w:val="20"/>
              </w:rPr>
            </w:pPr>
            <w:r>
              <w:rPr>
                <w:sz w:val="20"/>
                <w:szCs w:val="20"/>
              </w:rPr>
              <w:t>A</w:t>
            </w:r>
          </w:p>
        </w:tc>
        <w:tc>
          <w:tcPr>
            <w:tcW w:w="834" w:type="pct"/>
            <w:vAlign w:val="center"/>
          </w:tcPr>
          <w:p w:rsidR="00B97D7F" w:rsidRPr="00E22ECD" w:rsidRDefault="00B97D7F" w:rsidP="00524879">
            <w:pPr>
              <w:jc w:val="center"/>
              <w:rPr>
                <w:sz w:val="20"/>
                <w:szCs w:val="20"/>
              </w:rPr>
            </w:pPr>
            <w:r>
              <w:rPr>
                <w:sz w:val="20"/>
                <w:szCs w:val="20"/>
              </w:rPr>
              <w:t>B</w:t>
            </w:r>
          </w:p>
        </w:tc>
        <w:tc>
          <w:tcPr>
            <w:tcW w:w="833" w:type="pct"/>
            <w:vAlign w:val="center"/>
          </w:tcPr>
          <w:p w:rsidR="00B97D7F" w:rsidRPr="00E22ECD" w:rsidRDefault="00B97D7F" w:rsidP="00524879">
            <w:pPr>
              <w:jc w:val="center"/>
              <w:rPr>
                <w:sz w:val="20"/>
                <w:szCs w:val="20"/>
              </w:rPr>
            </w:pPr>
            <w:r>
              <w:rPr>
                <w:sz w:val="20"/>
                <w:szCs w:val="20"/>
              </w:rPr>
              <w:t>C</w:t>
            </w:r>
          </w:p>
        </w:tc>
        <w:tc>
          <w:tcPr>
            <w:tcW w:w="833" w:type="pct"/>
            <w:vAlign w:val="center"/>
          </w:tcPr>
          <w:p w:rsidR="00B97D7F" w:rsidRPr="00E22ECD" w:rsidRDefault="00B97D7F" w:rsidP="00524879">
            <w:pPr>
              <w:jc w:val="center"/>
              <w:rPr>
                <w:sz w:val="20"/>
                <w:szCs w:val="20"/>
              </w:rPr>
            </w:pPr>
            <w:r>
              <w:rPr>
                <w:sz w:val="20"/>
                <w:szCs w:val="20"/>
              </w:rPr>
              <w:t>D</w:t>
            </w:r>
          </w:p>
        </w:tc>
        <w:tc>
          <w:tcPr>
            <w:tcW w:w="834" w:type="pct"/>
            <w:vAlign w:val="center"/>
          </w:tcPr>
          <w:p w:rsidR="00B97D7F" w:rsidRPr="00E22ECD" w:rsidRDefault="00B97D7F" w:rsidP="00DE3C0F">
            <w:pPr>
              <w:jc w:val="center"/>
              <w:rPr>
                <w:sz w:val="20"/>
                <w:szCs w:val="20"/>
              </w:rPr>
            </w:pPr>
            <w:r>
              <w:rPr>
                <w:sz w:val="20"/>
                <w:szCs w:val="20"/>
              </w:rPr>
              <w:t>D/</w:t>
            </w:r>
            <w:r w:rsidR="00DE3C0F">
              <w:rPr>
                <w:sz w:val="20"/>
                <w:szCs w:val="20"/>
              </w:rPr>
              <w:t>B</w:t>
            </w:r>
          </w:p>
        </w:tc>
      </w:tr>
    </w:tbl>
    <w:p w:rsidR="00B97D7F" w:rsidRPr="0028541F" w:rsidRDefault="00B97D7F" w:rsidP="00B97D7F">
      <w:pPr>
        <w:spacing w:before="160" w:after="240"/>
        <w:jc w:val="both"/>
      </w:pPr>
      <w:r>
        <w:t xml:space="preserve">Comparability of response rates may be affected by </w:t>
      </w:r>
      <w:r w:rsidR="00DE3C0F">
        <w:t xml:space="preserve">the </w:t>
      </w:r>
      <w:r>
        <w:t>geographical scope</w:t>
      </w:r>
      <w:r w:rsidR="00DE3C0F">
        <w:t>,</w:t>
      </w:r>
      <w:r>
        <w:t xml:space="preserve"> </w:t>
      </w:r>
      <w:r w:rsidR="00DE3C0F">
        <w:t xml:space="preserve">and by the </w:t>
      </w:r>
      <w:r w:rsidR="000C3CB2">
        <w:t xml:space="preserve">degree of </w:t>
      </w:r>
      <w:r w:rsidR="00DE3C0F">
        <w:t xml:space="preserve">coverage of such scope with the questionnaires dispatched </w:t>
      </w:r>
      <w:r>
        <w:t>(possibility of selection bias). A narrower geographical scope</w:t>
      </w:r>
      <w:r w:rsidR="00DE3C0F">
        <w:t xml:space="preserve"> or </w:t>
      </w:r>
      <w:r w:rsidR="000C3CB2">
        <w:t xml:space="preserve">a lower coverage with the </w:t>
      </w:r>
      <w:r w:rsidR="00DE3C0F">
        <w:t xml:space="preserve">questionnaire dispatch </w:t>
      </w:r>
      <w:r>
        <w:t>may affect the response rate upwards or downwards depending on the likelihood of the selected recipients to respond.</w:t>
      </w:r>
    </w:p>
    <w:p w:rsidR="00E22ECD" w:rsidRDefault="00476FF0" w:rsidP="00E22ECD">
      <w:pPr>
        <w:spacing w:before="120" w:after="120"/>
        <w:jc w:val="both"/>
      </w:pPr>
      <m:oMathPara>
        <m:oMath>
          <m:f>
            <m:fPr>
              <m:ctrlPr>
                <w:rPr>
                  <w:rFonts w:ascii="Cambria Math" w:hAnsi="Cambria Math"/>
                  <w:i/>
                </w:rPr>
              </m:ctrlPr>
            </m:fPr>
            <m:num>
              <m:r>
                <w:rPr>
                  <w:rFonts w:ascii="Cambria Math" w:hAnsi="Cambria Math"/>
                </w:rPr>
                <m:t>Number of questionnaires filled (by year)</m:t>
              </m:r>
            </m:num>
            <m:den>
              <m:r>
                <w:rPr>
                  <w:rFonts w:ascii="Cambria Math" w:hAnsi="Cambria Math"/>
                </w:rPr>
                <m:t>Number of questionnnaires dispatched (by year)</m:t>
              </m:r>
            </m:den>
          </m:f>
        </m:oMath>
      </m:oMathPara>
    </w:p>
    <w:p w:rsidR="0028541F" w:rsidRDefault="0028541F" w:rsidP="00DE474A">
      <w:pPr>
        <w:pStyle w:val="Heading3"/>
        <w:spacing w:before="360" w:after="120"/>
      </w:pPr>
      <w:r>
        <w:t>Overall r</w:t>
      </w:r>
      <w:r w:rsidRPr="0038299D">
        <w:t xml:space="preserve">esponse rate </w:t>
      </w:r>
      <w:r>
        <w:t>by territory</w:t>
      </w:r>
    </w:p>
    <w:p w:rsidR="00302F62" w:rsidRDefault="00302F62" w:rsidP="00DE474A">
      <w:pPr>
        <w:spacing w:after="120"/>
      </w:pPr>
      <w:r w:rsidRPr="00302F62">
        <w:rPr>
          <w:b/>
        </w:rPr>
        <w:t>Meaning</w:t>
      </w:r>
      <w:r>
        <w:t>: S</w:t>
      </w:r>
      <w:r w:rsidRPr="00302F62">
        <w:t>hare of all data requests via questionnaire for which a certain country provide</w:t>
      </w:r>
      <w:r w:rsidR="001D14F0">
        <w:t>d</w:t>
      </w:r>
      <w:r w:rsidRPr="00302F62">
        <w:t xml:space="preserve"> some data</w:t>
      </w:r>
      <w:r w:rsidR="00607240">
        <w:t>.</w:t>
      </w:r>
    </w:p>
    <w:p w:rsidR="00302F62" w:rsidRPr="00302F62" w:rsidRDefault="00302F62" w:rsidP="00DE474A">
      <w:pPr>
        <w:spacing w:after="120"/>
      </w:pPr>
      <w:r w:rsidRPr="00302F62">
        <w:rPr>
          <w:b/>
        </w:rPr>
        <w:t>Objective</w:t>
      </w:r>
      <w:r>
        <w:t>: Support discussion with countries to identify issues with contact details or data availability.</w:t>
      </w:r>
    </w:p>
    <w:p w:rsidR="0028541F" w:rsidRPr="00B97D7F" w:rsidRDefault="00F50698" w:rsidP="00B97D7F">
      <w:pPr>
        <w:pStyle w:val="Default"/>
        <w:spacing w:after="240"/>
        <w:jc w:val="both"/>
        <w:rPr>
          <w:sz w:val="22"/>
          <w:szCs w:val="22"/>
        </w:rPr>
      </w:pPr>
      <w:r w:rsidRPr="00F50698">
        <w:rPr>
          <w:b/>
          <w:sz w:val="22"/>
          <w:szCs w:val="22"/>
        </w:rPr>
        <w:t>Calculation</w:t>
      </w:r>
      <w:r>
        <w:rPr>
          <w:sz w:val="22"/>
          <w:szCs w:val="22"/>
        </w:rPr>
        <w:t xml:space="preserve">: </w:t>
      </w:r>
      <w:r w:rsidR="00B97D7F">
        <w:rPr>
          <w:sz w:val="22"/>
          <w:szCs w:val="22"/>
        </w:rPr>
        <w:t xml:space="preserve">Response rate calculated by territory. In this case, the denominator is the number of questionnaires (domains) that </w:t>
      </w:r>
      <w:r w:rsidR="00DE3C0F">
        <w:rPr>
          <w:sz w:val="22"/>
          <w:szCs w:val="22"/>
        </w:rPr>
        <w:t xml:space="preserve">were dispatched to </w:t>
      </w:r>
      <w:r w:rsidR="00B97D7F">
        <w:rPr>
          <w:sz w:val="22"/>
          <w:szCs w:val="22"/>
        </w:rPr>
        <w:t>this territory</w:t>
      </w:r>
      <w:r w:rsidR="00DE3C0F">
        <w:rPr>
          <w:sz w:val="22"/>
          <w:szCs w:val="22"/>
        </w:rPr>
        <w:t>.</w:t>
      </w:r>
    </w:p>
    <w:p w:rsidR="0028541F" w:rsidRDefault="00476FF0" w:rsidP="0028541F">
      <w:pPr>
        <w:spacing w:before="120" w:after="120"/>
        <w:jc w:val="both"/>
      </w:pPr>
      <m:oMathPara>
        <m:oMath>
          <m:f>
            <m:fPr>
              <m:ctrlPr>
                <w:rPr>
                  <w:rFonts w:ascii="Cambria Math" w:hAnsi="Cambria Math"/>
                  <w:i/>
                </w:rPr>
              </m:ctrlPr>
            </m:fPr>
            <m:num>
              <m:r>
                <w:rPr>
                  <w:rFonts w:ascii="Cambria Math" w:hAnsi="Cambria Math"/>
                </w:rPr>
                <m:t>Number of questionnaires filled (by year)</m:t>
              </m:r>
            </m:num>
            <m:den>
              <m:r>
                <w:rPr>
                  <w:rFonts w:ascii="Cambria Math" w:hAnsi="Cambria Math"/>
                </w:rPr>
                <m:t>Number of questionnaires dispatched to this territory (by year)</m:t>
              </m:r>
            </m:den>
          </m:f>
        </m:oMath>
      </m:oMathPara>
    </w:p>
    <w:p w:rsidR="00AE4FC3" w:rsidRDefault="00AE4FC3">
      <w:pPr>
        <w:rPr>
          <w:rFonts w:asciiTheme="majorHAnsi" w:eastAsiaTheme="majorEastAsia" w:hAnsiTheme="majorHAnsi" w:cstheme="majorBidi"/>
          <w:b/>
          <w:bCs/>
          <w:smallCaps/>
          <w:color w:val="000000" w:themeColor="text1"/>
          <w:sz w:val="28"/>
          <w:szCs w:val="28"/>
        </w:rPr>
      </w:pPr>
      <w:r>
        <w:br w:type="page"/>
      </w:r>
    </w:p>
    <w:p w:rsidR="0028541F" w:rsidRPr="00BA4305" w:rsidRDefault="00B97D7F" w:rsidP="00B97D7F">
      <w:pPr>
        <w:pStyle w:val="Heading2"/>
        <w:spacing w:before="480" w:after="240"/>
        <w:ind w:left="578" w:hanging="578"/>
      </w:pPr>
      <w:r>
        <w:lastRenderedPageBreak/>
        <w:t>Data completeness (datasets)</w:t>
      </w:r>
    </w:p>
    <w:p w:rsidR="00816BB6" w:rsidRDefault="000319F8" w:rsidP="00BA4305">
      <w:pPr>
        <w:jc w:val="both"/>
      </w:pPr>
      <w:r w:rsidRPr="003F6276">
        <w:rPr>
          <w:b/>
        </w:rPr>
        <w:t>Data completeness</w:t>
      </w:r>
      <w:r>
        <w:t xml:space="preserve"> is </w:t>
      </w:r>
      <w:r w:rsidR="00816BB6">
        <w:t>understood</w:t>
      </w:r>
      <w:r>
        <w:t xml:space="preserve"> </w:t>
      </w:r>
      <w:r w:rsidR="00867379">
        <w:t>in this review</w:t>
      </w:r>
      <w:r w:rsidR="00816BB6">
        <w:t xml:space="preserve"> </w:t>
      </w:r>
      <w:r w:rsidR="007317DF">
        <w:t>as related to the</w:t>
      </w:r>
      <w:r w:rsidR="00346174">
        <w:t xml:space="preserve"> </w:t>
      </w:r>
      <w:r w:rsidR="00346174" w:rsidRPr="00346174">
        <w:t xml:space="preserve">number of data items provided by </w:t>
      </w:r>
      <w:r w:rsidR="0028662B">
        <w:t xml:space="preserve">a </w:t>
      </w:r>
      <w:r w:rsidR="00346174" w:rsidRPr="00346174">
        <w:t>reliable source</w:t>
      </w:r>
      <w:r w:rsidR="00346174">
        <w:t xml:space="preserve"> (FAO</w:t>
      </w:r>
      <w:r w:rsidR="0013228E">
        <w:t>,</w:t>
      </w:r>
      <w:r w:rsidR="00346174">
        <w:t xml:space="preserve"> </w:t>
      </w:r>
      <w:r w:rsidR="0013228E">
        <w:t>2016a; p.5</w:t>
      </w:r>
      <w:r w:rsidR="00346174">
        <w:t>)</w:t>
      </w:r>
      <w:r w:rsidR="002D6798">
        <w:t>,</w:t>
      </w:r>
      <w:r w:rsidR="00FE75FA">
        <w:t xml:space="preserve"> and more specifically to the number of official data items; i.e. </w:t>
      </w:r>
      <w:r w:rsidR="002D6798">
        <w:t xml:space="preserve">data </w:t>
      </w:r>
      <w:r w:rsidR="00FE75FA">
        <w:t>disseminated by a national statistical system (OECD, 2007)</w:t>
      </w:r>
      <w:r w:rsidR="0028662B">
        <w:t>.</w:t>
      </w:r>
    </w:p>
    <w:p w:rsidR="007D6530" w:rsidRDefault="002D6798" w:rsidP="00BA4305">
      <w:pPr>
        <w:jc w:val="both"/>
      </w:pPr>
      <w:r>
        <w:t>The d</w:t>
      </w:r>
      <w:r w:rsidR="00816BB6" w:rsidRPr="001F7CAB">
        <w:t>ata completeness</w:t>
      </w:r>
      <w:r w:rsidR="00816BB6">
        <w:t xml:space="preserve"> of </w:t>
      </w:r>
      <w:r w:rsidR="0028662B">
        <w:t>a</w:t>
      </w:r>
      <w:r w:rsidR="00816BB6">
        <w:t xml:space="preserve"> </w:t>
      </w:r>
      <w:r w:rsidR="00E40459">
        <w:t>dataset</w:t>
      </w:r>
      <w:r w:rsidR="00816BB6">
        <w:t xml:space="preserve"> may not be directly related to the </w:t>
      </w:r>
      <w:r w:rsidR="00746855">
        <w:t xml:space="preserve">response rate of the </w:t>
      </w:r>
      <w:r w:rsidR="007317DF">
        <w:t>related questionnaire (if any)</w:t>
      </w:r>
      <w:r w:rsidR="00746855">
        <w:t xml:space="preserve">. This may be because: </w:t>
      </w:r>
    </w:p>
    <w:p w:rsidR="007D6530" w:rsidRDefault="007D6530" w:rsidP="008F27CB">
      <w:pPr>
        <w:pStyle w:val="ListParagraph"/>
        <w:numPr>
          <w:ilvl w:val="0"/>
          <w:numId w:val="4"/>
        </w:numPr>
        <w:jc w:val="both"/>
      </w:pPr>
      <w:r>
        <w:t>Q</w:t>
      </w:r>
      <w:r w:rsidR="00746855">
        <w:t xml:space="preserve">uestionnaires received may not be fully filled-in </w:t>
      </w:r>
    </w:p>
    <w:p w:rsidR="007D6530" w:rsidRDefault="007D6530" w:rsidP="008F27CB">
      <w:pPr>
        <w:pStyle w:val="ListParagraph"/>
        <w:numPr>
          <w:ilvl w:val="0"/>
          <w:numId w:val="4"/>
        </w:numPr>
        <w:jc w:val="both"/>
      </w:pPr>
      <w:r>
        <w:t>N</w:t>
      </w:r>
      <w:r w:rsidR="00746855">
        <w:t>ot all data points may be collected in the questionnaire</w:t>
      </w:r>
    </w:p>
    <w:p w:rsidR="00746855" w:rsidRDefault="007D6530" w:rsidP="008F27CB">
      <w:pPr>
        <w:pStyle w:val="ListParagraph"/>
        <w:numPr>
          <w:ilvl w:val="0"/>
          <w:numId w:val="4"/>
        </w:numPr>
        <w:jc w:val="both"/>
      </w:pPr>
      <w:r>
        <w:t>T</w:t>
      </w:r>
      <w:r w:rsidR="00746855">
        <w:t>here may be addi</w:t>
      </w:r>
      <w:r w:rsidR="00867379">
        <w:t>tional sources of official data</w:t>
      </w:r>
      <w:r w:rsidR="0028662B">
        <w:t>,</w:t>
      </w:r>
      <w:r w:rsidR="00746855">
        <w:t xml:space="preserve"> other than the questionnaire. </w:t>
      </w:r>
    </w:p>
    <w:p w:rsidR="00447599" w:rsidRDefault="00447599" w:rsidP="00447599">
      <w:pPr>
        <w:jc w:val="both"/>
      </w:pPr>
      <w:r>
        <w:t>To facilitate the analysis of data completeness and the comparison with the questionnaire response rate, two data completeness indicators are proposed: i) d</w:t>
      </w:r>
      <w:r w:rsidRPr="00447599">
        <w:t>ataset completeness from all official data</w:t>
      </w:r>
      <w:r>
        <w:t>, and ii) d</w:t>
      </w:r>
      <w:r w:rsidRPr="00447599">
        <w:t>ataset completeness from questionnaire</w:t>
      </w:r>
      <w:r>
        <w:t>.</w:t>
      </w:r>
    </w:p>
    <w:p w:rsidR="00E106AF" w:rsidRDefault="00E106AF" w:rsidP="00E106AF">
      <w:pPr>
        <w:pStyle w:val="Heading3"/>
        <w:spacing w:before="240" w:after="240"/>
      </w:pPr>
      <w:r>
        <w:t>Dataset completeness from all official data</w:t>
      </w:r>
    </w:p>
    <w:p w:rsidR="00302F62" w:rsidRDefault="00302F62" w:rsidP="00302F62">
      <w:r w:rsidRPr="00302F62">
        <w:rPr>
          <w:b/>
        </w:rPr>
        <w:t>Meaning</w:t>
      </w:r>
      <w:r>
        <w:t xml:space="preserve">: </w:t>
      </w:r>
      <w:r w:rsidR="00CE07AE">
        <w:t>S</w:t>
      </w:r>
      <w:r>
        <w:t xml:space="preserve">hare of </w:t>
      </w:r>
      <w:r w:rsidR="00FD69EE">
        <w:t xml:space="preserve">expected data points (scope) that </w:t>
      </w:r>
      <w:r w:rsidR="009C4718">
        <w:t>are</w:t>
      </w:r>
      <w:r w:rsidR="00FD69EE">
        <w:t xml:space="preserve"> filled with official data.</w:t>
      </w:r>
    </w:p>
    <w:p w:rsidR="00FD69EE" w:rsidRPr="00FD69EE" w:rsidRDefault="00FD69EE" w:rsidP="009A02B7">
      <w:pPr>
        <w:jc w:val="both"/>
      </w:pPr>
      <w:r w:rsidRPr="00FD69EE">
        <w:rPr>
          <w:b/>
        </w:rPr>
        <w:t>Objective</w:t>
      </w:r>
      <w:r>
        <w:t xml:space="preserve">: </w:t>
      </w:r>
      <w:r w:rsidR="00CE07AE">
        <w:t xml:space="preserve">Assist </w:t>
      </w:r>
      <w:r>
        <w:t xml:space="preserve">in </w:t>
      </w:r>
      <w:r w:rsidRPr="00FD69EE">
        <w:t>ESS internal assessment</w:t>
      </w:r>
      <w:r>
        <w:t xml:space="preserve"> of the quality</w:t>
      </w:r>
      <w:r w:rsidR="00CE07AE">
        <w:t>,</w:t>
      </w:r>
      <w:r>
        <w:t xml:space="preserve"> in terms of </w:t>
      </w:r>
      <w:r w:rsidR="008E362E">
        <w:t>accuracy</w:t>
      </w:r>
      <w:r w:rsidR="00697E8B">
        <w:rPr>
          <w:rStyle w:val="FootnoteReference"/>
        </w:rPr>
        <w:footnoteReference w:id="5"/>
      </w:r>
      <w:r>
        <w:t xml:space="preserve"> </w:t>
      </w:r>
      <w:r w:rsidR="00697E8B">
        <w:t xml:space="preserve">and reliability, </w:t>
      </w:r>
      <w:r>
        <w:t xml:space="preserve">of the </w:t>
      </w:r>
      <w:r w:rsidRPr="00FD69EE">
        <w:t>data</w:t>
      </w:r>
      <w:r>
        <w:t xml:space="preserve"> </w:t>
      </w:r>
      <w:r w:rsidR="00697E8B">
        <w:t>in</w:t>
      </w:r>
      <w:r>
        <w:t xml:space="preserve"> a certain dataset.</w:t>
      </w:r>
      <w:r w:rsidR="00CE07AE">
        <w:t xml:space="preserve"> </w:t>
      </w:r>
      <w:r w:rsidR="00571D6D">
        <w:t>F</w:t>
      </w:r>
      <w:r w:rsidR="00CE07AE">
        <w:t>or a complete analysis of the “</w:t>
      </w:r>
      <w:r w:rsidR="00CE07AE" w:rsidRPr="00CE07AE">
        <w:t>Accuracy and Reliability</w:t>
      </w:r>
      <w:r w:rsidR="00CE07AE">
        <w:t>” dimension</w:t>
      </w:r>
      <w:r w:rsidR="00571D6D">
        <w:t xml:space="preserve">, </w:t>
      </w:r>
      <w:r w:rsidR="00571D6D" w:rsidRPr="00571D6D">
        <w:t xml:space="preserve">additional elements </w:t>
      </w:r>
      <w:r w:rsidR="00571D6D">
        <w:t>would need to</w:t>
      </w:r>
      <w:r w:rsidR="00571D6D" w:rsidRPr="00571D6D">
        <w:t xml:space="preserve"> be considered </w:t>
      </w:r>
      <w:r w:rsidR="00CE07AE">
        <w:t>(as indicated in section 1 “Scope”).</w:t>
      </w:r>
    </w:p>
    <w:p w:rsidR="009A02B7" w:rsidRDefault="00F50698" w:rsidP="00C440B8">
      <w:pPr>
        <w:spacing w:after="240"/>
        <w:jc w:val="both"/>
      </w:pPr>
      <w:r w:rsidRPr="00F50698">
        <w:rPr>
          <w:b/>
        </w:rPr>
        <w:t>Calculation</w:t>
      </w:r>
      <w:r>
        <w:t xml:space="preserve">: </w:t>
      </w:r>
      <w:r w:rsidR="00E106AF" w:rsidRPr="00BA4305">
        <w:t xml:space="preserve">This indicator is calculated for </w:t>
      </w:r>
      <w:r w:rsidR="00DE474A">
        <w:t>a</w:t>
      </w:r>
      <w:r w:rsidR="00E106AF" w:rsidRPr="00BA4305">
        <w:t xml:space="preserve"> dataset. It may be calculated for </w:t>
      </w:r>
      <w:r w:rsidR="00C440B8">
        <w:t>its</w:t>
      </w:r>
      <w:r w:rsidR="00E106AF" w:rsidRPr="00BA4305">
        <w:t xml:space="preserve"> entire geographical scope, by region or by </w:t>
      </w:r>
      <w:r w:rsidR="00E106AF">
        <w:t>territory</w:t>
      </w:r>
      <w:r w:rsidR="00E106AF" w:rsidRPr="00BA4305">
        <w:t>.</w:t>
      </w:r>
      <w:r w:rsidR="00CE07AE">
        <w:t xml:space="preserve"> </w:t>
      </w:r>
      <w:r w:rsidR="00DE474A">
        <w:t xml:space="preserve">Those data points (item-element-year combinations) </w:t>
      </w:r>
      <w:r w:rsidR="00DE474A" w:rsidRPr="009A02B7">
        <w:t>that by definition are derived from other data points</w:t>
      </w:r>
      <w:r w:rsidR="00DE474A">
        <w:t xml:space="preserve"> are </w:t>
      </w:r>
      <w:r w:rsidR="009A02B7">
        <w:t>exclud</w:t>
      </w:r>
      <w:r w:rsidR="00DE474A">
        <w:t xml:space="preserve">ed, </w:t>
      </w:r>
      <w:r w:rsidR="009A02B7">
        <w:t>as mentioned in section 3.5</w:t>
      </w:r>
      <w:r w:rsidR="00CE07AE">
        <w:t>.</w:t>
      </w:r>
    </w:p>
    <w:tbl>
      <w:tblPr>
        <w:tblStyle w:val="TableGrid"/>
        <w:tblpPr w:leftFromText="180" w:rightFromText="180" w:vertAnchor="text" w:horzAnchor="margin" w:tblpY="-15"/>
        <w:tblW w:w="4836" w:type="pct"/>
        <w:tblLook w:val="04A0" w:firstRow="1" w:lastRow="0" w:firstColumn="1" w:lastColumn="0" w:noHBand="0" w:noVBand="1"/>
      </w:tblPr>
      <w:tblGrid>
        <w:gridCol w:w="1560"/>
        <w:gridCol w:w="1365"/>
        <w:gridCol w:w="1361"/>
        <w:gridCol w:w="1359"/>
        <w:gridCol w:w="1358"/>
        <w:gridCol w:w="2040"/>
      </w:tblGrid>
      <w:tr w:rsidR="00F50698" w:rsidTr="00F50698">
        <w:tc>
          <w:tcPr>
            <w:tcW w:w="862" w:type="pct"/>
            <w:shd w:val="clear" w:color="auto" w:fill="DEEAF6" w:themeFill="accent1" w:themeFillTint="33"/>
            <w:vAlign w:val="center"/>
          </w:tcPr>
          <w:p w:rsidR="00E106AF" w:rsidRPr="00E22ECD" w:rsidRDefault="00EC10B8" w:rsidP="00E106AF">
            <w:pPr>
              <w:rPr>
                <w:sz w:val="20"/>
                <w:szCs w:val="20"/>
              </w:rPr>
            </w:pPr>
            <w:r>
              <w:rPr>
                <w:sz w:val="20"/>
                <w:szCs w:val="20"/>
              </w:rPr>
              <w:t>Dataset</w:t>
            </w:r>
          </w:p>
        </w:tc>
        <w:tc>
          <w:tcPr>
            <w:tcW w:w="754" w:type="pct"/>
            <w:shd w:val="clear" w:color="auto" w:fill="DEEAF6" w:themeFill="accent1" w:themeFillTint="33"/>
            <w:vAlign w:val="center"/>
          </w:tcPr>
          <w:p w:rsidR="00E106AF" w:rsidRPr="00E22ECD" w:rsidRDefault="00E106AF" w:rsidP="00E106AF">
            <w:pPr>
              <w:rPr>
                <w:sz w:val="20"/>
                <w:szCs w:val="20"/>
              </w:rPr>
            </w:pPr>
            <w:r w:rsidRPr="00E22ECD">
              <w:rPr>
                <w:sz w:val="20"/>
                <w:szCs w:val="20"/>
              </w:rPr>
              <w:t xml:space="preserve"># </w:t>
            </w:r>
            <w:r>
              <w:rPr>
                <w:sz w:val="20"/>
                <w:szCs w:val="20"/>
              </w:rPr>
              <w:t>expected</w:t>
            </w:r>
            <w:r>
              <w:rPr>
                <w:sz w:val="20"/>
                <w:szCs w:val="20"/>
              </w:rPr>
              <w:br/>
              <w:t>data points</w:t>
            </w:r>
          </w:p>
        </w:tc>
        <w:tc>
          <w:tcPr>
            <w:tcW w:w="752" w:type="pct"/>
            <w:shd w:val="clear" w:color="auto" w:fill="DEEAF6" w:themeFill="accent1" w:themeFillTint="33"/>
            <w:vAlign w:val="center"/>
          </w:tcPr>
          <w:p w:rsidR="00E106AF" w:rsidRPr="00E22ECD" w:rsidRDefault="00E106AF" w:rsidP="00E106AF">
            <w:pPr>
              <w:rPr>
                <w:sz w:val="20"/>
                <w:szCs w:val="20"/>
              </w:rPr>
            </w:pPr>
            <w:r w:rsidRPr="00E22ECD">
              <w:rPr>
                <w:sz w:val="20"/>
                <w:szCs w:val="20"/>
              </w:rPr>
              <w:t xml:space="preserve"># </w:t>
            </w:r>
            <w:r>
              <w:rPr>
                <w:sz w:val="20"/>
                <w:szCs w:val="20"/>
              </w:rPr>
              <w:t>data points</w:t>
            </w:r>
          </w:p>
        </w:tc>
        <w:tc>
          <w:tcPr>
            <w:tcW w:w="751" w:type="pct"/>
            <w:shd w:val="clear" w:color="auto" w:fill="DEEAF6" w:themeFill="accent1" w:themeFillTint="33"/>
            <w:vAlign w:val="center"/>
          </w:tcPr>
          <w:p w:rsidR="00E106AF" w:rsidRPr="00E22ECD" w:rsidRDefault="00E106AF" w:rsidP="00E106AF">
            <w:pPr>
              <w:rPr>
                <w:sz w:val="20"/>
                <w:szCs w:val="20"/>
              </w:rPr>
            </w:pPr>
            <w:r w:rsidRPr="00E22ECD">
              <w:rPr>
                <w:sz w:val="20"/>
                <w:szCs w:val="20"/>
              </w:rPr>
              <w:t xml:space="preserve"># </w:t>
            </w:r>
            <w:r>
              <w:rPr>
                <w:sz w:val="20"/>
                <w:szCs w:val="20"/>
              </w:rPr>
              <w:t>official</w:t>
            </w:r>
            <w:r w:rsidRPr="00E22ECD">
              <w:rPr>
                <w:sz w:val="20"/>
                <w:szCs w:val="20"/>
              </w:rPr>
              <w:t xml:space="preserve"> </w:t>
            </w:r>
            <w:r>
              <w:rPr>
                <w:sz w:val="20"/>
                <w:szCs w:val="20"/>
              </w:rPr>
              <w:br/>
              <w:t>data points</w:t>
            </w:r>
          </w:p>
        </w:tc>
        <w:tc>
          <w:tcPr>
            <w:tcW w:w="751" w:type="pct"/>
            <w:shd w:val="clear" w:color="auto" w:fill="DEEAF6" w:themeFill="accent1" w:themeFillTint="33"/>
            <w:vAlign w:val="center"/>
          </w:tcPr>
          <w:p w:rsidR="00E106AF" w:rsidRPr="00E22ECD" w:rsidRDefault="00E106AF" w:rsidP="00E106AF">
            <w:pPr>
              <w:rPr>
                <w:sz w:val="20"/>
                <w:szCs w:val="20"/>
              </w:rPr>
            </w:pPr>
            <w:r w:rsidRPr="00E22ECD">
              <w:rPr>
                <w:sz w:val="20"/>
                <w:szCs w:val="20"/>
              </w:rPr>
              <w:t># quest</w:t>
            </w:r>
            <w:r>
              <w:rPr>
                <w:sz w:val="20"/>
                <w:szCs w:val="20"/>
              </w:rPr>
              <w:t>.</w:t>
            </w:r>
            <w:r w:rsidRPr="00E22ECD">
              <w:rPr>
                <w:sz w:val="20"/>
                <w:szCs w:val="20"/>
              </w:rPr>
              <w:t xml:space="preserve"> </w:t>
            </w:r>
            <w:r>
              <w:rPr>
                <w:sz w:val="20"/>
                <w:szCs w:val="20"/>
              </w:rPr>
              <w:br/>
              <w:t>data points</w:t>
            </w:r>
          </w:p>
        </w:tc>
        <w:tc>
          <w:tcPr>
            <w:tcW w:w="1128" w:type="pct"/>
            <w:shd w:val="clear" w:color="auto" w:fill="9CC2E5" w:themeFill="accent1" w:themeFillTint="99"/>
            <w:vAlign w:val="center"/>
          </w:tcPr>
          <w:p w:rsidR="00F50698" w:rsidRPr="00E22ECD" w:rsidRDefault="00E106AF" w:rsidP="00F50698">
            <w:pPr>
              <w:rPr>
                <w:sz w:val="20"/>
                <w:szCs w:val="20"/>
              </w:rPr>
            </w:pPr>
            <w:r>
              <w:rPr>
                <w:sz w:val="20"/>
                <w:szCs w:val="20"/>
              </w:rPr>
              <w:t>Data</w:t>
            </w:r>
            <w:r w:rsidRPr="00E22ECD">
              <w:rPr>
                <w:sz w:val="20"/>
                <w:szCs w:val="20"/>
              </w:rPr>
              <w:t xml:space="preserve"> </w:t>
            </w:r>
            <w:r>
              <w:rPr>
                <w:sz w:val="20"/>
                <w:szCs w:val="20"/>
              </w:rPr>
              <w:t>completeness</w:t>
            </w:r>
            <w:r w:rsidR="00F50698">
              <w:rPr>
                <w:sz w:val="20"/>
                <w:szCs w:val="20"/>
              </w:rPr>
              <w:t xml:space="preserve"> from official data</w:t>
            </w:r>
          </w:p>
        </w:tc>
      </w:tr>
      <w:tr w:rsidR="00F50698" w:rsidTr="00F50698">
        <w:tc>
          <w:tcPr>
            <w:tcW w:w="862" w:type="pct"/>
            <w:vAlign w:val="center"/>
          </w:tcPr>
          <w:p w:rsidR="00E106AF" w:rsidRPr="00E22ECD" w:rsidRDefault="00E106AF" w:rsidP="00E106AF">
            <w:pPr>
              <w:rPr>
                <w:sz w:val="20"/>
                <w:szCs w:val="20"/>
              </w:rPr>
            </w:pPr>
            <w:r>
              <w:rPr>
                <w:sz w:val="20"/>
                <w:szCs w:val="20"/>
              </w:rPr>
              <w:t>Name</w:t>
            </w:r>
          </w:p>
        </w:tc>
        <w:tc>
          <w:tcPr>
            <w:tcW w:w="754" w:type="pct"/>
            <w:vAlign w:val="center"/>
          </w:tcPr>
          <w:p w:rsidR="00E106AF" w:rsidRPr="00E22ECD" w:rsidRDefault="00E106AF" w:rsidP="00E106AF">
            <w:pPr>
              <w:jc w:val="center"/>
              <w:rPr>
                <w:sz w:val="20"/>
                <w:szCs w:val="20"/>
              </w:rPr>
            </w:pPr>
            <w:r>
              <w:rPr>
                <w:sz w:val="20"/>
                <w:szCs w:val="20"/>
              </w:rPr>
              <w:t>E</w:t>
            </w:r>
          </w:p>
        </w:tc>
        <w:tc>
          <w:tcPr>
            <w:tcW w:w="752" w:type="pct"/>
            <w:vAlign w:val="center"/>
          </w:tcPr>
          <w:p w:rsidR="00E106AF" w:rsidRPr="00E22ECD" w:rsidRDefault="00E106AF" w:rsidP="00E106AF">
            <w:pPr>
              <w:jc w:val="center"/>
              <w:rPr>
                <w:sz w:val="20"/>
                <w:szCs w:val="20"/>
              </w:rPr>
            </w:pPr>
            <w:r>
              <w:rPr>
                <w:sz w:val="20"/>
                <w:szCs w:val="20"/>
              </w:rPr>
              <w:t>F</w:t>
            </w:r>
          </w:p>
        </w:tc>
        <w:tc>
          <w:tcPr>
            <w:tcW w:w="751" w:type="pct"/>
            <w:vAlign w:val="center"/>
          </w:tcPr>
          <w:p w:rsidR="00E106AF" w:rsidRPr="00E22ECD" w:rsidRDefault="00E106AF" w:rsidP="00E106AF">
            <w:pPr>
              <w:jc w:val="center"/>
              <w:rPr>
                <w:sz w:val="20"/>
                <w:szCs w:val="20"/>
              </w:rPr>
            </w:pPr>
            <w:r>
              <w:rPr>
                <w:sz w:val="20"/>
                <w:szCs w:val="20"/>
              </w:rPr>
              <w:t>G</w:t>
            </w:r>
          </w:p>
        </w:tc>
        <w:tc>
          <w:tcPr>
            <w:tcW w:w="751" w:type="pct"/>
            <w:vAlign w:val="center"/>
          </w:tcPr>
          <w:p w:rsidR="00E106AF" w:rsidRPr="00E22ECD" w:rsidRDefault="00E106AF" w:rsidP="00E106AF">
            <w:pPr>
              <w:jc w:val="center"/>
              <w:rPr>
                <w:sz w:val="20"/>
                <w:szCs w:val="20"/>
              </w:rPr>
            </w:pPr>
            <w:r>
              <w:rPr>
                <w:sz w:val="20"/>
                <w:szCs w:val="20"/>
              </w:rPr>
              <w:t>H</w:t>
            </w:r>
          </w:p>
        </w:tc>
        <w:tc>
          <w:tcPr>
            <w:tcW w:w="1128" w:type="pct"/>
            <w:vAlign w:val="center"/>
          </w:tcPr>
          <w:p w:rsidR="00E106AF" w:rsidRPr="00E22ECD" w:rsidRDefault="00E106AF" w:rsidP="00E106AF">
            <w:pPr>
              <w:jc w:val="center"/>
              <w:rPr>
                <w:sz w:val="20"/>
                <w:szCs w:val="20"/>
              </w:rPr>
            </w:pPr>
            <w:r>
              <w:rPr>
                <w:sz w:val="20"/>
                <w:szCs w:val="20"/>
              </w:rPr>
              <w:t>G/E</w:t>
            </w:r>
          </w:p>
        </w:tc>
      </w:tr>
    </w:tbl>
    <w:p w:rsidR="00E106AF" w:rsidRDefault="00E106AF" w:rsidP="00E106AF">
      <w:pPr>
        <w:pStyle w:val="Default"/>
        <w:jc w:val="both"/>
        <w:rPr>
          <w:sz w:val="22"/>
          <w:szCs w:val="22"/>
        </w:rPr>
      </w:pPr>
    </w:p>
    <w:p w:rsidR="00E106AF" w:rsidRDefault="00476FF0" w:rsidP="00E106AF">
      <w:pPr>
        <w:spacing w:before="120" w:after="120"/>
        <w:jc w:val="both"/>
      </w:pPr>
      <m:oMathPara>
        <m:oMath>
          <m:f>
            <m:fPr>
              <m:ctrlPr>
                <w:rPr>
                  <w:rFonts w:ascii="Cambria Math" w:hAnsi="Cambria Math"/>
                  <w:i/>
                </w:rPr>
              </m:ctrlPr>
            </m:fPr>
            <m:num>
              <m:r>
                <w:rPr>
                  <w:rFonts w:ascii="Cambria Math" w:hAnsi="Cambria Math"/>
                </w:rPr>
                <m:t>Number of official data points (by year)</m:t>
              </m:r>
            </m:num>
            <m:den>
              <m:r>
                <w:rPr>
                  <w:rFonts w:ascii="Cambria Math" w:hAnsi="Cambria Math"/>
                </w:rPr>
                <m:t>Number of expected data points (by year)</m:t>
              </m:r>
            </m:den>
          </m:f>
        </m:oMath>
      </m:oMathPara>
    </w:p>
    <w:p w:rsidR="00607240" w:rsidRDefault="00607240">
      <w:pPr>
        <w:rPr>
          <w:rFonts w:asciiTheme="majorHAnsi" w:eastAsiaTheme="majorEastAsia" w:hAnsiTheme="majorHAnsi" w:cstheme="majorBidi"/>
          <w:b/>
          <w:bCs/>
          <w:color w:val="000000" w:themeColor="text1"/>
        </w:rPr>
      </w:pPr>
      <w:r>
        <w:br w:type="page"/>
      </w:r>
    </w:p>
    <w:p w:rsidR="007B16D1" w:rsidRDefault="007B16D1" w:rsidP="006E3CCE">
      <w:pPr>
        <w:pStyle w:val="Heading3"/>
        <w:spacing w:before="360" w:after="240"/>
      </w:pPr>
      <w:r>
        <w:lastRenderedPageBreak/>
        <w:t>Dataset completeness from questionnaire</w:t>
      </w:r>
    </w:p>
    <w:p w:rsidR="00607240" w:rsidRDefault="00607240" w:rsidP="00607240">
      <w:r w:rsidRPr="00302F62">
        <w:rPr>
          <w:b/>
        </w:rPr>
        <w:t>Meaning</w:t>
      </w:r>
      <w:r>
        <w:t>: Share of exp</w:t>
      </w:r>
      <w:r w:rsidR="00C440B8">
        <w:t>ected data points (scope) that are</w:t>
      </w:r>
      <w:r>
        <w:t xml:space="preserve"> filled with data received via questionnaire.</w:t>
      </w:r>
    </w:p>
    <w:p w:rsidR="00F50698" w:rsidRPr="00302F62" w:rsidRDefault="00607240" w:rsidP="00841FBC">
      <w:pPr>
        <w:jc w:val="both"/>
      </w:pPr>
      <w:r w:rsidRPr="00FD69EE">
        <w:rPr>
          <w:b/>
        </w:rPr>
        <w:t>Objective</w:t>
      </w:r>
      <w:r>
        <w:t xml:space="preserve">: </w:t>
      </w:r>
      <w:r w:rsidR="00F50698">
        <w:t>Assist in ESS internal assessment of the relevance of the questionnaire dispatch exercise for gathering data for a certain dataset. Combined with the indicator “o</w:t>
      </w:r>
      <w:r w:rsidR="00F50698" w:rsidRPr="00F50698">
        <w:t>verall response rate by questionnaire</w:t>
      </w:r>
      <w:r w:rsidR="00F50698">
        <w:t>”, information about completeness of the questionnaires received may be inferred.</w:t>
      </w:r>
    </w:p>
    <w:p w:rsidR="009A02B7" w:rsidRDefault="00F50698" w:rsidP="00841FBC">
      <w:pPr>
        <w:spacing w:after="240"/>
        <w:jc w:val="both"/>
      </w:pPr>
      <w:r>
        <w:rPr>
          <w:b/>
        </w:rPr>
        <w:t>Calculation</w:t>
      </w:r>
      <w:r>
        <w:t xml:space="preserve">: </w:t>
      </w:r>
      <w:r w:rsidR="00841FBC">
        <w:t>T</w:t>
      </w:r>
      <w:r w:rsidR="006E3CCE">
        <w:t xml:space="preserve">he numerator </w:t>
      </w:r>
      <w:r w:rsidR="00841FBC">
        <w:t>is to</w:t>
      </w:r>
      <w:r w:rsidR="006E3CCE">
        <w:t xml:space="preserve"> be restricted to </w:t>
      </w:r>
      <w:r w:rsidR="00841FBC">
        <w:t xml:space="preserve">the </w:t>
      </w:r>
      <w:r w:rsidR="006E3CCE">
        <w:t>data points received through questionnaires</w:t>
      </w:r>
      <w:r w:rsidR="00C440B8">
        <w:t>,</w:t>
      </w:r>
      <w:r w:rsidR="006E3CCE">
        <w:t xml:space="preserve"> instead of counting all official data points</w:t>
      </w:r>
      <w:r w:rsidR="00C440B8">
        <w:t>. Therefore, i</w:t>
      </w:r>
      <w:r w:rsidR="00841FBC">
        <w:t xml:space="preserve">nformation to identify the data points </w:t>
      </w:r>
      <w:r w:rsidR="00C440B8">
        <w:t xml:space="preserve">that were </w:t>
      </w:r>
      <w:r w:rsidR="00841FBC">
        <w:t>obtained through questionnaires is required</w:t>
      </w:r>
      <w:r w:rsidR="00C440B8">
        <w:t xml:space="preserve"> (</w:t>
      </w:r>
      <w:r w:rsidR="00841FBC">
        <w:t>e.g. SWS method flag “q”)</w:t>
      </w:r>
      <w:r w:rsidR="006E3CCE">
        <w:t>. Data from questionnaires are assumed to</w:t>
      </w:r>
      <w:r w:rsidR="00C440B8">
        <w:t xml:space="preserve"> </w:t>
      </w:r>
      <w:r w:rsidR="006E3CCE">
        <w:t>be official and therefore a subset of all official data</w:t>
      </w:r>
      <w:r w:rsidR="00C440B8">
        <w:t>; if</w:t>
      </w:r>
      <w:r w:rsidR="006E3CCE">
        <w:t xml:space="preserve"> </w:t>
      </w:r>
      <w:r w:rsidR="00C440B8">
        <w:t>it</w:t>
      </w:r>
      <w:r w:rsidR="006E3CCE">
        <w:t xml:space="preserve"> </w:t>
      </w:r>
      <w:r w:rsidR="00D073BB">
        <w:t>i</w:t>
      </w:r>
      <w:r w:rsidR="006E3CCE">
        <w:t>s not the case</w:t>
      </w:r>
      <w:r w:rsidR="00C440B8">
        <w:t>,</w:t>
      </w:r>
      <w:r w:rsidR="006E3CCE">
        <w:t xml:space="preserve"> </w:t>
      </w:r>
      <w:r w:rsidR="00C440B8">
        <w:t>this</w:t>
      </w:r>
      <w:r w:rsidR="006E3CCE">
        <w:t xml:space="preserve"> needs to be </w:t>
      </w:r>
      <w:r w:rsidR="00C440B8">
        <w:t>highlighted</w:t>
      </w:r>
      <w:r w:rsidR="006E3CCE">
        <w:t>.</w:t>
      </w:r>
    </w:p>
    <w:tbl>
      <w:tblPr>
        <w:tblStyle w:val="TableGrid"/>
        <w:tblpPr w:leftFromText="180" w:rightFromText="180" w:vertAnchor="text" w:horzAnchor="margin" w:tblpY="-15"/>
        <w:tblW w:w="4836" w:type="pct"/>
        <w:tblLook w:val="04A0" w:firstRow="1" w:lastRow="0" w:firstColumn="1" w:lastColumn="0" w:noHBand="0" w:noVBand="1"/>
      </w:tblPr>
      <w:tblGrid>
        <w:gridCol w:w="1560"/>
        <w:gridCol w:w="1365"/>
        <w:gridCol w:w="1361"/>
        <w:gridCol w:w="1359"/>
        <w:gridCol w:w="1358"/>
        <w:gridCol w:w="2040"/>
      </w:tblGrid>
      <w:tr w:rsidR="00F50698" w:rsidTr="00524879">
        <w:tc>
          <w:tcPr>
            <w:tcW w:w="862" w:type="pct"/>
            <w:shd w:val="clear" w:color="auto" w:fill="DEEAF6" w:themeFill="accent1" w:themeFillTint="33"/>
            <w:vAlign w:val="center"/>
          </w:tcPr>
          <w:p w:rsidR="00F50698" w:rsidRPr="00E22ECD" w:rsidRDefault="00F50698" w:rsidP="00524879">
            <w:pPr>
              <w:rPr>
                <w:sz w:val="20"/>
                <w:szCs w:val="20"/>
              </w:rPr>
            </w:pPr>
            <w:r>
              <w:rPr>
                <w:sz w:val="20"/>
                <w:szCs w:val="20"/>
              </w:rPr>
              <w:t>Dataset</w:t>
            </w:r>
          </w:p>
        </w:tc>
        <w:tc>
          <w:tcPr>
            <w:tcW w:w="754" w:type="pct"/>
            <w:shd w:val="clear" w:color="auto" w:fill="DEEAF6" w:themeFill="accent1" w:themeFillTint="33"/>
            <w:vAlign w:val="center"/>
          </w:tcPr>
          <w:p w:rsidR="00F50698" w:rsidRPr="00E22ECD" w:rsidRDefault="00F50698" w:rsidP="00524879">
            <w:pPr>
              <w:rPr>
                <w:sz w:val="20"/>
                <w:szCs w:val="20"/>
              </w:rPr>
            </w:pPr>
            <w:r w:rsidRPr="00E22ECD">
              <w:rPr>
                <w:sz w:val="20"/>
                <w:szCs w:val="20"/>
              </w:rPr>
              <w:t xml:space="preserve"># </w:t>
            </w:r>
            <w:r>
              <w:rPr>
                <w:sz w:val="20"/>
                <w:szCs w:val="20"/>
              </w:rPr>
              <w:t>expected</w:t>
            </w:r>
            <w:r>
              <w:rPr>
                <w:sz w:val="20"/>
                <w:szCs w:val="20"/>
              </w:rPr>
              <w:br/>
              <w:t>data points</w:t>
            </w:r>
          </w:p>
        </w:tc>
        <w:tc>
          <w:tcPr>
            <w:tcW w:w="752" w:type="pct"/>
            <w:shd w:val="clear" w:color="auto" w:fill="DEEAF6" w:themeFill="accent1" w:themeFillTint="33"/>
            <w:vAlign w:val="center"/>
          </w:tcPr>
          <w:p w:rsidR="00F50698" w:rsidRPr="00E22ECD" w:rsidRDefault="00F50698" w:rsidP="00524879">
            <w:pPr>
              <w:rPr>
                <w:sz w:val="20"/>
                <w:szCs w:val="20"/>
              </w:rPr>
            </w:pPr>
            <w:r w:rsidRPr="00E22ECD">
              <w:rPr>
                <w:sz w:val="20"/>
                <w:szCs w:val="20"/>
              </w:rPr>
              <w:t xml:space="preserve"># </w:t>
            </w:r>
            <w:r>
              <w:rPr>
                <w:sz w:val="20"/>
                <w:szCs w:val="20"/>
              </w:rPr>
              <w:t>data points</w:t>
            </w:r>
          </w:p>
        </w:tc>
        <w:tc>
          <w:tcPr>
            <w:tcW w:w="751" w:type="pct"/>
            <w:shd w:val="clear" w:color="auto" w:fill="DEEAF6" w:themeFill="accent1" w:themeFillTint="33"/>
            <w:vAlign w:val="center"/>
          </w:tcPr>
          <w:p w:rsidR="00F50698" w:rsidRPr="00E22ECD" w:rsidRDefault="00F50698" w:rsidP="00524879">
            <w:pPr>
              <w:rPr>
                <w:sz w:val="20"/>
                <w:szCs w:val="20"/>
              </w:rPr>
            </w:pPr>
            <w:r w:rsidRPr="00E22ECD">
              <w:rPr>
                <w:sz w:val="20"/>
                <w:szCs w:val="20"/>
              </w:rPr>
              <w:t xml:space="preserve"># </w:t>
            </w:r>
            <w:r>
              <w:rPr>
                <w:sz w:val="20"/>
                <w:szCs w:val="20"/>
              </w:rPr>
              <w:t>official</w:t>
            </w:r>
            <w:r w:rsidRPr="00E22ECD">
              <w:rPr>
                <w:sz w:val="20"/>
                <w:szCs w:val="20"/>
              </w:rPr>
              <w:t xml:space="preserve"> </w:t>
            </w:r>
            <w:r>
              <w:rPr>
                <w:sz w:val="20"/>
                <w:szCs w:val="20"/>
              </w:rPr>
              <w:br/>
              <w:t>data points</w:t>
            </w:r>
          </w:p>
        </w:tc>
        <w:tc>
          <w:tcPr>
            <w:tcW w:w="751" w:type="pct"/>
            <w:shd w:val="clear" w:color="auto" w:fill="DEEAF6" w:themeFill="accent1" w:themeFillTint="33"/>
            <w:vAlign w:val="center"/>
          </w:tcPr>
          <w:p w:rsidR="00F50698" w:rsidRPr="00E22ECD" w:rsidRDefault="00F50698" w:rsidP="00524879">
            <w:pPr>
              <w:rPr>
                <w:sz w:val="20"/>
                <w:szCs w:val="20"/>
              </w:rPr>
            </w:pPr>
            <w:r w:rsidRPr="00E22ECD">
              <w:rPr>
                <w:sz w:val="20"/>
                <w:szCs w:val="20"/>
              </w:rPr>
              <w:t># quest</w:t>
            </w:r>
            <w:r>
              <w:rPr>
                <w:sz w:val="20"/>
                <w:szCs w:val="20"/>
              </w:rPr>
              <w:t>.</w:t>
            </w:r>
            <w:r w:rsidRPr="00E22ECD">
              <w:rPr>
                <w:sz w:val="20"/>
                <w:szCs w:val="20"/>
              </w:rPr>
              <w:t xml:space="preserve"> </w:t>
            </w:r>
            <w:r>
              <w:rPr>
                <w:sz w:val="20"/>
                <w:szCs w:val="20"/>
              </w:rPr>
              <w:br/>
              <w:t>data points</w:t>
            </w:r>
          </w:p>
        </w:tc>
        <w:tc>
          <w:tcPr>
            <w:tcW w:w="1128" w:type="pct"/>
            <w:shd w:val="clear" w:color="auto" w:fill="9CC2E5" w:themeFill="accent1" w:themeFillTint="99"/>
            <w:vAlign w:val="center"/>
          </w:tcPr>
          <w:p w:rsidR="00F50698" w:rsidRPr="00E22ECD" w:rsidRDefault="00F50698" w:rsidP="00F50698">
            <w:pPr>
              <w:rPr>
                <w:sz w:val="20"/>
                <w:szCs w:val="20"/>
              </w:rPr>
            </w:pPr>
            <w:r>
              <w:rPr>
                <w:sz w:val="20"/>
                <w:szCs w:val="20"/>
              </w:rPr>
              <w:t>Data</w:t>
            </w:r>
            <w:r w:rsidRPr="00E22ECD">
              <w:rPr>
                <w:sz w:val="20"/>
                <w:szCs w:val="20"/>
              </w:rPr>
              <w:t xml:space="preserve"> </w:t>
            </w:r>
            <w:r>
              <w:rPr>
                <w:sz w:val="20"/>
                <w:szCs w:val="20"/>
              </w:rPr>
              <w:t>completeness from questionnaire</w:t>
            </w:r>
          </w:p>
        </w:tc>
      </w:tr>
      <w:tr w:rsidR="00F50698" w:rsidTr="00524879">
        <w:tc>
          <w:tcPr>
            <w:tcW w:w="862" w:type="pct"/>
            <w:vAlign w:val="center"/>
          </w:tcPr>
          <w:p w:rsidR="00F50698" w:rsidRPr="00E22ECD" w:rsidRDefault="00F50698" w:rsidP="00524879">
            <w:pPr>
              <w:rPr>
                <w:sz w:val="20"/>
                <w:szCs w:val="20"/>
              </w:rPr>
            </w:pPr>
            <w:r>
              <w:rPr>
                <w:sz w:val="20"/>
                <w:szCs w:val="20"/>
              </w:rPr>
              <w:t>Name</w:t>
            </w:r>
          </w:p>
        </w:tc>
        <w:tc>
          <w:tcPr>
            <w:tcW w:w="754" w:type="pct"/>
            <w:vAlign w:val="center"/>
          </w:tcPr>
          <w:p w:rsidR="00F50698" w:rsidRPr="00E22ECD" w:rsidRDefault="00F50698" w:rsidP="00524879">
            <w:pPr>
              <w:jc w:val="center"/>
              <w:rPr>
                <w:sz w:val="20"/>
                <w:szCs w:val="20"/>
              </w:rPr>
            </w:pPr>
            <w:r>
              <w:rPr>
                <w:sz w:val="20"/>
                <w:szCs w:val="20"/>
              </w:rPr>
              <w:t>E</w:t>
            </w:r>
          </w:p>
        </w:tc>
        <w:tc>
          <w:tcPr>
            <w:tcW w:w="752" w:type="pct"/>
            <w:vAlign w:val="center"/>
          </w:tcPr>
          <w:p w:rsidR="00F50698" w:rsidRPr="00E22ECD" w:rsidRDefault="00F50698" w:rsidP="00524879">
            <w:pPr>
              <w:jc w:val="center"/>
              <w:rPr>
                <w:sz w:val="20"/>
                <w:szCs w:val="20"/>
              </w:rPr>
            </w:pPr>
            <w:r>
              <w:rPr>
                <w:sz w:val="20"/>
                <w:szCs w:val="20"/>
              </w:rPr>
              <w:t>F</w:t>
            </w:r>
          </w:p>
        </w:tc>
        <w:tc>
          <w:tcPr>
            <w:tcW w:w="751" w:type="pct"/>
            <w:vAlign w:val="center"/>
          </w:tcPr>
          <w:p w:rsidR="00F50698" w:rsidRPr="00E22ECD" w:rsidRDefault="00F50698" w:rsidP="00524879">
            <w:pPr>
              <w:jc w:val="center"/>
              <w:rPr>
                <w:sz w:val="20"/>
                <w:szCs w:val="20"/>
              </w:rPr>
            </w:pPr>
            <w:r>
              <w:rPr>
                <w:sz w:val="20"/>
                <w:szCs w:val="20"/>
              </w:rPr>
              <w:t>G</w:t>
            </w:r>
          </w:p>
        </w:tc>
        <w:tc>
          <w:tcPr>
            <w:tcW w:w="751" w:type="pct"/>
            <w:vAlign w:val="center"/>
          </w:tcPr>
          <w:p w:rsidR="00F50698" w:rsidRPr="00E22ECD" w:rsidRDefault="00F50698" w:rsidP="00524879">
            <w:pPr>
              <w:jc w:val="center"/>
              <w:rPr>
                <w:sz w:val="20"/>
                <w:szCs w:val="20"/>
              </w:rPr>
            </w:pPr>
            <w:r>
              <w:rPr>
                <w:sz w:val="20"/>
                <w:szCs w:val="20"/>
              </w:rPr>
              <w:t>H</w:t>
            </w:r>
          </w:p>
        </w:tc>
        <w:tc>
          <w:tcPr>
            <w:tcW w:w="1128" w:type="pct"/>
            <w:vAlign w:val="center"/>
          </w:tcPr>
          <w:p w:rsidR="00F50698" w:rsidRPr="00E22ECD" w:rsidRDefault="00F50698" w:rsidP="00524879">
            <w:pPr>
              <w:jc w:val="center"/>
              <w:rPr>
                <w:sz w:val="20"/>
                <w:szCs w:val="20"/>
              </w:rPr>
            </w:pPr>
            <w:r>
              <w:rPr>
                <w:sz w:val="20"/>
                <w:szCs w:val="20"/>
              </w:rPr>
              <w:t>H/E</w:t>
            </w:r>
          </w:p>
        </w:tc>
      </w:tr>
    </w:tbl>
    <w:p w:rsidR="00F50698" w:rsidRPr="006E3CCE" w:rsidRDefault="00F50698" w:rsidP="006E3CCE">
      <w:pPr>
        <w:spacing w:after="240"/>
      </w:pPr>
    </w:p>
    <w:p w:rsidR="007B16D1" w:rsidRDefault="00476FF0" w:rsidP="003C69C8">
      <w:pPr>
        <w:spacing w:before="120" w:after="120"/>
        <w:jc w:val="both"/>
      </w:pPr>
      <m:oMathPara>
        <m:oMath>
          <m:f>
            <m:fPr>
              <m:ctrlPr>
                <w:rPr>
                  <w:rFonts w:ascii="Cambria Math" w:hAnsi="Cambria Math"/>
                  <w:i/>
                </w:rPr>
              </m:ctrlPr>
            </m:fPr>
            <m:num>
              <m:r>
                <w:rPr>
                  <w:rFonts w:ascii="Cambria Math" w:hAnsi="Cambria Math"/>
                </w:rPr>
                <m:t>Number of data points received through questionnaires (by year)</m:t>
              </m:r>
            </m:num>
            <m:den>
              <m:r>
                <w:rPr>
                  <w:rFonts w:ascii="Cambria Math" w:hAnsi="Cambria Math"/>
                </w:rPr>
                <m:t>Number of expected data points (by year)</m:t>
              </m:r>
            </m:den>
          </m:f>
        </m:oMath>
      </m:oMathPara>
    </w:p>
    <w:p w:rsidR="007B16D1" w:rsidRPr="00BA4305" w:rsidRDefault="006E3CCE" w:rsidP="006E3CCE">
      <w:pPr>
        <w:pStyle w:val="Default"/>
        <w:spacing w:before="240" w:after="240"/>
        <w:jc w:val="both"/>
        <w:rPr>
          <w:rFonts w:asciiTheme="minorHAnsi" w:hAnsiTheme="minorHAnsi" w:cstheme="minorHAnsi"/>
          <w:sz w:val="22"/>
          <w:szCs w:val="22"/>
        </w:rPr>
      </w:pPr>
      <w:r>
        <w:rPr>
          <w:rFonts w:asciiTheme="minorHAnsi" w:hAnsiTheme="minorHAnsi" w:cstheme="minorHAnsi"/>
          <w:sz w:val="22"/>
          <w:szCs w:val="22"/>
        </w:rPr>
        <w:t>As before, t</w:t>
      </w:r>
      <w:r w:rsidR="007B16D1" w:rsidRPr="00BA4305">
        <w:rPr>
          <w:rFonts w:asciiTheme="minorHAnsi" w:hAnsiTheme="minorHAnsi" w:cstheme="minorHAnsi"/>
          <w:sz w:val="22"/>
          <w:szCs w:val="22"/>
        </w:rPr>
        <w:t xml:space="preserve">his </w:t>
      </w:r>
      <w:r>
        <w:rPr>
          <w:rFonts w:asciiTheme="minorHAnsi" w:hAnsiTheme="minorHAnsi" w:cstheme="minorHAnsi"/>
          <w:sz w:val="22"/>
          <w:szCs w:val="22"/>
        </w:rPr>
        <w:t xml:space="preserve">indicator </w:t>
      </w:r>
      <w:r w:rsidRPr="00BA4305">
        <w:rPr>
          <w:sz w:val="22"/>
          <w:szCs w:val="22"/>
        </w:rPr>
        <w:t xml:space="preserve">is calculated for </w:t>
      </w:r>
      <w:r w:rsidR="00B03E85">
        <w:rPr>
          <w:sz w:val="22"/>
          <w:szCs w:val="22"/>
        </w:rPr>
        <w:t>a</w:t>
      </w:r>
      <w:r w:rsidRPr="00BA4305">
        <w:rPr>
          <w:sz w:val="22"/>
          <w:szCs w:val="22"/>
        </w:rPr>
        <w:t xml:space="preserve"> dataset</w:t>
      </w:r>
      <w:r w:rsidR="00C440B8">
        <w:rPr>
          <w:sz w:val="22"/>
          <w:szCs w:val="22"/>
        </w:rPr>
        <w:t>,</w:t>
      </w:r>
      <w:r>
        <w:rPr>
          <w:sz w:val="22"/>
          <w:szCs w:val="22"/>
        </w:rPr>
        <w:t xml:space="preserve"> and i</w:t>
      </w:r>
      <w:r w:rsidRPr="00BA4305">
        <w:rPr>
          <w:sz w:val="22"/>
          <w:szCs w:val="22"/>
        </w:rPr>
        <w:t xml:space="preserve">t </w:t>
      </w:r>
      <w:r w:rsidR="007B16D1" w:rsidRPr="00BA4305">
        <w:rPr>
          <w:rFonts w:asciiTheme="minorHAnsi" w:hAnsiTheme="minorHAnsi" w:cstheme="minorHAnsi"/>
          <w:sz w:val="22"/>
          <w:szCs w:val="22"/>
        </w:rPr>
        <w:t xml:space="preserve">may be calculated for </w:t>
      </w:r>
      <w:r w:rsidR="00C440B8">
        <w:rPr>
          <w:rFonts w:asciiTheme="minorHAnsi" w:hAnsiTheme="minorHAnsi" w:cstheme="minorHAnsi"/>
          <w:sz w:val="22"/>
          <w:szCs w:val="22"/>
        </w:rPr>
        <w:t>its</w:t>
      </w:r>
      <w:r w:rsidR="007B16D1" w:rsidRPr="00BA4305">
        <w:rPr>
          <w:rFonts w:asciiTheme="minorHAnsi" w:hAnsiTheme="minorHAnsi" w:cstheme="minorHAnsi"/>
          <w:sz w:val="22"/>
          <w:szCs w:val="22"/>
        </w:rPr>
        <w:t xml:space="preserve"> entire geographical scope, by region or by </w:t>
      </w:r>
      <w:r w:rsidR="009C01F6">
        <w:rPr>
          <w:rFonts w:asciiTheme="minorHAnsi" w:hAnsiTheme="minorHAnsi" w:cstheme="minorHAnsi"/>
          <w:sz w:val="22"/>
          <w:szCs w:val="22"/>
        </w:rPr>
        <w:t>territory</w:t>
      </w:r>
      <w:r w:rsidR="007B16D1" w:rsidRPr="00BA4305">
        <w:rPr>
          <w:rFonts w:asciiTheme="minorHAnsi" w:hAnsiTheme="minorHAnsi" w:cstheme="minorHAnsi"/>
          <w:sz w:val="22"/>
          <w:szCs w:val="22"/>
        </w:rPr>
        <w:t>.</w:t>
      </w:r>
    </w:p>
    <w:p w:rsidR="00AE4FC3" w:rsidRDefault="00AE4FC3">
      <w:pPr>
        <w:rPr>
          <w:rFonts w:asciiTheme="majorHAnsi" w:eastAsiaTheme="majorEastAsia" w:hAnsiTheme="majorHAnsi" w:cstheme="majorBidi"/>
          <w:b/>
          <w:bCs/>
          <w:smallCaps/>
          <w:color w:val="000000" w:themeColor="text1"/>
          <w:sz w:val="28"/>
          <w:szCs w:val="28"/>
        </w:rPr>
      </w:pPr>
      <w:r>
        <w:br w:type="page"/>
      </w:r>
    </w:p>
    <w:p w:rsidR="003F6276" w:rsidRPr="003C69C8" w:rsidRDefault="00BE6E94" w:rsidP="00D073BB">
      <w:pPr>
        <w:pStyle w:val="Heading3"/>
        <w:spacing w:after="240"/>
      </w:pPr>
      <w:r w:rsidRPr="003C69C8">
        <w:lastRenderedPageBreak/>
        <w:t>R</w:t>
      </w:r>
      <w:r w:rsidR="007B16D1" w:rsidRPr="003C69C8">
        <w:t xml:space="preserve">elevance and completeness </w:t>
      </w:r>
      <w:r w:rsidRPr="003C69C8">
        <w:t xml:space="preserve">of a category </w:t>
      </w:r>
      <w:r w:rsidR="007B16D1" w:rsidRPr="003C69C8">
        <w:t>in a dataset</w:t>
      </w:r>
    </w:p>
    <w:p w:rsidR="005804B3" w:rsidRDefault="005804B3" w:rsidP="003C69C8">
      <w:pPr>
        <w:pStyle w:val="Default"/>
        <w:spacing w:after="120"/>
        <w:jc w:val="both"/>
        <w:rPr>
          <w:rFonts w:asciiTheme="minorHAnsi" w:hAnsiTheme="minorHAnsi" w:cstheme="minorHAnsi"/>
          <w:sz w:val="22"/>
          <w:szCs w:val="22"/>
        </w:rPr>
      </w:pPr>
      <w:r w:rsidRPr="005804B3">
        <w:rPr>
          <w:rFonts w:asciiTheme="minorHAnsi" w:hAnsiTheme="minorHAnsi" w:cstheme="minorHAnsi"/>
          <w:b/>
          <w:sz w:val="22"/>
          <w:szCs w:val="22"/>
        </w:rPr>
        <w:t>Meaning</w:t>
      </w:r>
      <w:r>
        <w:rPr>
          <w:rFonts w:asciiTheme="minorHAnsi" w:hAnsiTheme="minorHAnsi" w:cstheme="minorHAnsi"/>
          <w:sz w:val="22"/>
          <w:szCs w:val="22"/>
        </w:rPr>
        <w:t xml:space="preserve">: </w:t>
      </w:r>
      <w:r w:rsidR="000C07B6">
        <w:rPr>
          <w:rFonts w:asciiTheme="minorHAnsi" w:hAnsiTheme="minorHAnsi" w:cstheme="minorHAnsi"/>
          <w:sz w:val="22"/>
          <w:szCs w:val="22"/>
        </w:rPr>
        <w:t>No specific</w:t>
      </w:r>
      <w:r w:rsidR="000C07B6" w:rsidRPr="00E07B14">
        <w:rPr>
          <w:rFonts w:asciiTheme="minorHAnsi" w:hAnsiTheme="minorHAnsi" w:cstheme="minorHAnsi"/>
          <w:sz w:val="22"/>
          <w:szCs w:val="22"/>
        </w:rPr>
        <w:t xml:space="preserve"> indicator is </w:t>
      </w:r>
      <w:r w:rsidR="000C07B6">
        <w:rPr>
          <w:rFonts w:asciiTheme="minorHAnsi" w:hAnsiTheme="minorHAnsi" w:cstheme="minorHAnsi"/>
          <w:sz w:val="22"/>
          <w:szCs w:val="22"/>
        </w:rPr>
        <w:t>proposed, and therefore n</w:t>
      </w:r>
      <w:r w:rsidR="00E07B14">
        <w:rPr>
          <w:rFonts w:asciiTheme="minorHAnsi" w:hAnsiTheme="minorHAnsi" w:cstheme="minorHAnsi"/>
          <w:sz w:val="22"/>
          <w:szCs w:val="22"/>
        </w:rPr>
        <w:t xml:space="preserve">o </w:t>
      </w:r>
      <w:r w:rsidR="000C07B6" w:rsidRPr="00E07B14">
        <w:rPr>
          <w:rFonts w:asciiTheme="minorHAnsi" w:hAnsiTheme="minorHAnsi" w:cstheme="minorHAnsi"/>
          <w:i/>
          <w:sz w:val="22"/>
          <w:szCs w:val="22"/>
        </w:rPr>
        <w:t>a priori</w:t>
      </w:r>
      <w:r w:rsidR="000C07B6">
        <w:rPr>
          <w:rFonts w:asciiTheme="minorHAnsi" w:hAnsiTheme="minorHAnsi" w:cstheme="minorHAnsi"/>
          <w:sz w:val="22"/>
          <w:szCs w:val="22"/>
        </w:rPr>
        <w:t xml:space="preserve"> </w:t>
      </w:r>
      <w:r w:rsidR="00E07B14">
        <w:rPr>
          <w:rFonts w:asciiTheme="minorHAnsi" w:hAnsiTheme="minorHAnsi" w:cstheme="minorHAnsi"/>
          <w:sz w:val="22"/>
          <w:szCs w:val="22"/>
        </w:rPr>
        <w:t xml:space="preserve">interpretation is provided in this case. The table below contains variables </w:t>
      </w:r>
      <w:r w:rsidR="000C07B6">
        <w:rPr>
          <w:rFonts w:asciiTheme="minorHAnsi" w:hAnsiTheme="minorHAnsi" w:cstheme="minorHAnsi"/>
          <w:sz w:val="22"/>
          <w:szCs w:val="22"/>
        </w:rPr>
        <w:t xml:space="preserve">considered useful to </w:t>
      </w:r>
      <w:r>
        <w:rPr>
          <w:rFonts w:asciiTheme="minorHAnsi" w:hAnsiTheme="minorHAnsi" w:cstheme="minorHAnsi"/>
          <w:sz w:val="22"/>
          <w:szCs w:val="22"/>
        </w:rPr>
        <w:t xml:space="preserve">analyze the data content of a category (item-element combination) in a dataset. </w:t>
      </w:r>
      <w:r w:rsidR="00E07B14">
        <w:rPr>
          <w:rFonts w:asciiTheme="minorHAnsi" w:hAnsiTheme="minorHAnsi" w:cstheme="minorHAnsi"/>
          <w:sz w:val="22"/>
          <w:szCs w:val="22"/>
        </w:rPr>
        <w:t>This i</w:t>
      </w:r>
      <w:r>
        <w:rPr>
          <w:rFonts w:asciiTheme="minorHAnsi" w:hAnsiTheme="minorHAnsi" w:cstheme="minorHAnsi"/>
          <w:sz w:val="22"/>
          <w:szCs w:val="22"/>
        </w:rPr>
        <w:t>nformation can be analyzed in terms of frequencies (A-G)</w:t>
      </w:r>
      <w:r w:rsidR="00E07B14">
        <w:rPr>
          <w:rFonts w:asciiTheme="minorHAnsi" w:hAnsiTheme="minorHAnsi" w:cstheme="minorHAnsi"/>
          <w:sz w:val="22"/>
          <w:szCs w:val="22"/>
        </w:rPr>
        <w:t xml:space="preserve"> or </w:t>
      </w:r>
      <w:r>
        <w:rPr>
          <w:rFonts w:asciiTheme="minorHAnsi" w:hAnsiTheme="minorHAnsi" w:cstheme="minorHAnsi"/>
          <w:sz w:val="22"/>
          <w:szCs w:val="22"/>
        </w:rPr>
        <w:t>values (I-J)</w:t>
      </w:r>
      <w:r w:rsidR="000C07B6">
        <w:rPr>
          <w:rFonts w:asciiTheme="minorHAnsi" w:hAnsiTheme="minorHAnsi" w:cstheme="minorHAnsi"/>
          <w:sz w:val="22"/>
          <w:szCs w:val="22"/>
        </w:rPr>
        <w:t xml:space="preserve">, </w:t>
      </w:r>
      <w:r>
        <w:rPr>
          <w:rFonts w:asciiTheme="minorHAnsi" w:hAnsiTheme="minorHAnsi" w:cstheme="minorHAnsi"/>
          <w:sz w:val="22"/>
          <w:szCs w:val="22"/>
        </w:rPr>
        <w:t>depend</w:t>
      </w:r>
      <w:r w:rsidR="000C07B6">
        <w:rPr>
          <w:rFonts w:asciiTheme="minorHAnsi" w:hAnsiTheme="minorHAnsi" w:cstheme="minorHAnsi"/>
          <w:sz w:val="22"/>
          <w:szCs w:val="22"/>
        </w:rPr>
        <w:t>ing</w:t>
      </w:r>
      <w:r>
        <w:rPr>
          <w:rFonts w:asciiTheme="minorHAnsi" w:hAnsiTheme="minorHAnsi" w:cstheme="minorHAnsi"/>
          <w:sz w:val="22"/>
          <w:szCs w:val="22"/>
        </w:rPr>
        <w:t xml:space="preserve"> on </w:t>
      </w:r>
      <w:r w:rsidR="00E07B14">
        <w:rPr>
          <w:rFonts w:asciiTheme="minorHAnsi" w:hAnsiTheme="minorHAnsi" w:cstheme="minorHAnsi"/>
          <w:sz w:val="22"/>
          <w:szCs w:val="22"/>
        </w:rPr>
        <w:t xml:space="preserve">the specific </w:t>
      </w:r>
      <w:r>
        <w:rPr>
          <w:rFonts w:asciiTheme="minorHAnsi" w:hAnsiTheme="minorHAnsi" w:cstheme="minorHAnsi"/>
          <w:sz w:val="22"/>
          <w:szCs w:val="22"/>
        </w:rPr>
        <w:t>needs.</w:t>
      </w:r>
    </w:p>
    <w:p w:rsidR="005804B3" w:rsidRDefault="005804B3" w:rsidP="003C69C8">
      <w:pPr>
        <w:pStyle w:val="Default"/>
        <w:spacing w:after="120"/>
        <w:jc w:val="both"/>
        <w:rPr>
          <w:rFonts w:asciiTheme="minorHAnsi" w:hAnsiTheme="minorHAnsi" w:cstheme="minorHAnsi"/>
          <w:sz w:val="22"/>
          <w:szCs w:val="22"/>
        </w:rPr>
      </w:pPr>
      <w:r w:rsidRPr="005804B3">
        <w:rPr>
          <w:rFonts w:asciiTheme="minorHAnsi" w:hAnsiTheme="minorHAnsi" w:cstheme="minorHAnsi"/>
          <w:b/>
          <w:sz w:val="22"/>
          <w:szCs w:val="22"/>
        </w:rPr>
        <w:t>Objective</w:t>
      </w:r>
      <w:r>
        <w:rPr>
          <w:rFonts w:asciiTheme="minorHAnsi" w:hAnsiTheme="minorHAnsi" w:cstheme="minorHAnsi"/>
          <w:sz w:val="22"/>
          <w:szCs w:val="22"/>
        </w:rPr>
        <w:t xml:space="preserve">: Assist </w:t>
      </w:r>
      <w:r w:rsidR="000C07B6">
        <w:rPr>
          <w:rFonts w:asciiTheme="minorHAnsi" w:hAnsiTheme="minorHAnsi" w:cstheme="minorHAnsi"/>
          <w:sz w:val="22"/>
          <w:szCs w:val="22"/>
        </w:rPr>
        <w:t xml:space="preserve">in </w:t>
      </w:r>
      <w:r>
        <w:rPr>
          <w:rFonts w:asciiTheme="minorHAnsi" w:hAnsiTheme="minorHAnsi" w:cstheme="minorHAnsi"/>
          <w:sz w:val="22"/>
          <w:szCs w:val="22"/>
        </w:rPr>
        <w:t>ESS internal assessment of the r</w:t>
      </w:r>
      <w:r w:rsidRPr="005804B3">
        <w:rPr>
          <w:rFonts w:asciiTheme="minorHAnsi" w:hAnsiTheme="minorHAnsi" w:cstheme="minorHAnsi"/>
          <w:sz w:val="22"/>
          <w:szCs w:val="22"/>
        </w:rPr>
        <w:t>elevance and completeness of a category in a dataset</w:t>
      </w:r>
      <w:r>
        <w:rPr>
          <w:rFonts w:asciiTheme="minorHAnsi" w:hAnsiTheme="minorHAnsi" w:cstheme="minorHAnsi"/>
          <w:sz w:val="22"/>
          <w:szCs w:val="22"/>
        </w:rPr>
        <w:t>.</w:t>
      </w:r>
    </w:p>
    <w:p w:rsidR="007B16D1" w:rsidRPr="00BA4305" w:rsidRDefault="005804B3" w:rsidP="003C69C8">
      <w:pPr>
        <w:pStyle w:val="Default"/>
        <w:spacing w:after="120"/>
        <w:jc w:val="both"/>
        <w:rPr>
          <w:rFonts w:asciiTheme="minorHAnsi" w:hAnsiTheme="minorHAnsi" w:cstheme="minorHAnsi"/>
          <w:sz w:val="22"/>
          <w:szCs w:val="22"/>
        </w:rPr>
      </w:pPr>
      <w:r w:rsidRPr="005804B3">
        <w:rPr>
          <w:rFonts w:asciiTheme="minorHAnsi" w:hAnsiTheme="minorHAnsi" w:cstheme="minorHAnsi"/>
          <w:b/>
          <w:sz w:val="22"/>
          <w:szCs w:val="22"/>
        </w:rPr>
        <w:t>Calculation</w:t>
      </w:r>
      <w:r>
        <w:rPr>
          <w:rFonts w:asciiTheme="minorHAnsi" w:hAnsiTheme="minorHAnsi" w:cstheme="minorHAnsi"/>
          <w:sz w:val="22"/>
          <w:szCs w:val="22"/>
        </w:rPr>
        <w:t>: F</w:t>
      </w:r>
      <w:r w:rsidR="007B16D1" w:rsidRPr="00BA4305">
        <w:rPr>
          <w:rFonts w:asciiTheme="minorHAnsi" w:hAnsiTheme="minorHAnsi" w:cstheme="minorHAnsi"/>
          <w:sz w:val="22"/>
          <w:szCs w:val="22"/>
        </w:rPr>
        <w:t xml:space="preserve">or </w:t>
      </w:r>
      <w:r w:rsidR="00123EAA" w:rsidRPr="00BA4305">
        <w:rPr>
          <w:rFonts w:asciiTheme="minorHAnsi" w:hAnsiTheme="minorHAnsi" w:cstheme="minorHAnsi"/>
          <w:sz w:val="22"/>
          <w:szCs w:val="22"/>
        </w:rPr>
        <w:t>analyzi</w:t>
      </w:r>
      <w:r w:rsidR="00123EAA">
        <w:rPr>
          <w:rFonts w:asciiTheme="minorHAnsi" w:hAnsiTheme="minorHAnsi" w:cstheme="minorHAnsi"/>
          <w:sz w:val="22"/>
          <w:szCs w:val="22"/>
        </w:rPr>
        <w:t>ng</w:t>
      </w:r>
      <w:r w:rsidR="007B16D1" w:rsidRPr="00BA4305">
        <w:rPr>
          <w:rFonts w:asciiTheme="minorHAnsi" w:hAnsiTheme="minorHAnsi" w:cstheme="minorHAnsi"/>
          <w:sz w:val="22"/>
          <w:szCs w:val="22"/>
        </w:rPr>
        <w:t xml:space="preserve"> the relevance and completeness of a certain category (combination item-element) in a dataset, the following values may be provided: </w:t>
      </w:r>
    </w:p>
    <w:p w:rsidR="00EC10B8" w:rsidRDefault="00EC10B8" w:rsidP="008F27CB">
      <w:pPr>
        <w:pStyle w:val="Default"/>
        <w:numPr>
          <w:ilvl w:val="0"/>
          <w:numId w:val="17"/>
        </w:numPr>
        <w:jc w:val="both"/>
        <w:rPr>
          <w:rFonts w:asciiTheme="minorHAnsi" w:hAnsiTheme="minorHAnsi" w:cstheme="minorHAnsi"/>
          <w:sz w:val="22"/>
          <w:szCs w:val="22"/>
        </w:rPr>
      </w:pPr>
      <w:r w:rsidRPr="00BA4305">
        <w:rPr>
          <w:rFonts w:asciiTheme="minorHAnsi" w:hAnsiTheme="minorHAnsi" w:cstheme="minorHAnsi"/>
          <w:sz w:val="22"/>
          <w:szCs w:val="22"/>
        </w:rPr>
        <w:t xml:space="preserve">Number of </w:t>
      </w:r>
      <w:r>
        <w:rPr>
          <w:rFonts w:asciiTheme="minorHAnsi" w:hAnsiTheme="minorHAnsi" w:cstheme="minorHAnsi"/>
          <w:sz w:val="22"/>
          <w:szCs w:val="22"/>
        </w:rPr>
        <w:t>territories</w:t>
      </w:r>
      <w:r w:rsidRPr="00BA4305">
        <w:rPr>
          <w:rFonts w:asciiTheme="minorHAnsi" w:hAnsiTheme="minorHAnsi" w:cstheme="minorHAnsi"/>
          <w:sz w:val="22"/>
          <w:szCs w:val="22"/>
        </w:rPr>
        <w:t xml:space="preserve"> in the geographical scope</w:t>
      </w:r>
    </w:p>
    <w:p w:rsidR="00EC10B8" w:rsidRDefault="00EC10B8" w:rsidP="008F27CB">
      <w:pPr>
        <w:pStyle w:val="Default"/>
        <w:numPr>
          <w:ilvl w:val="0"/>
          <w:numId w:val="17"/>
        </w:numPr>
        <w:jc w:val="both"/>
        <w:rPr>
          <w:rFonts w:asciiTheme="minorHAnsi" w:hAnsiTheme="minorHAnsi" w:cstheme="minorHAnsi"/>
          <w:sz w:val="22"/>
          <w:szCs w:val="22"/>
        </w:rPr>
      </w:pPr>
      <w:r w:rsidRPr="00BA4305">
        <w:rPr>
          <w:rFonts w:asciiTheme="minorHAnsi" w:hAnsiTheme="minorHAnsi" w:cstheme="minorHAnsi"/>
          <w:sz w:val="22"/>
          <w:szCs w:val="22"/>
        </w:rPr>
        <w:t>Number of expected data points</w:t>
      </w:r>
    </w:p>
    <w:p w:rsidR="007B16D1" w:rsidRPr="00BA4305" w:rsidRDefault="007B16D1" w:rsidP="008F27CB">
      <w:pPr>
        <w:pStyle w:val="Default"/>
        <w:numPr>
          <w:ilvl w:val="0"/>
          <w:numId w:val="17"/>
        </w:numPr>
        <w:jc w:val="both"/>
        <w:rPr>
          <w:rFonts w:asciiTheme="minorHAnsi" w:hAnsiTheme="minorHAnsi" w:cstheme="minorHAnsi"/>
          <w:sz w:val="22"/>
          <w:szCs w:val="22"/>
        </w:rPr>
      </w:pPr>
      <w:r w:rsidRPr="00BA4305">
        <w:rPr>
          <w:rFonts w:asciiTheme="minorHAnsi" w:hAnsiTheme="minorHAnsi" w:cstheme="minorHAnsi"/>
          <w:sz w:val="22"/>
          <w:szCs w:val="22"/>
        </w:rPr>
        <w:t>Number of data points</w:t>
      </w:r>
    </w:p>
    <w:p w:rsidR="00EC10B8" w:rsidRPr="00BA4305" w:rsidRDefault="00EC10B8" w:rsidP="00EC10B8">
      <w:pPr>
        <w:pStyle w:val="Default"/>
        <w:numPr>
          <w:ilvl w:val="0"/>
          <w:numId w:val="17"/>
        </w:numPr>
        <w:jc w:val="both"/>
        <w:rPr>
          <w:rFonts w:asciiTheme="minorHAnsi" w:hAnsiTheme="minorHAnsi" w:cstheme="minorHAnsi"/>
          <w:sz w:val="22"/>
          <w:szCs w:val="22"/>
        </w:rPr>
      </w:pPr>
      <w:r w:rsidRPr="00BA4305">
        <w:rPr>
          <w:rFonts w:asciiTheme="minorHAnsi" w:hAnsiTheme="minorHAnsi" w:cstheme="minorHAnsi"/>
          <w:sz w:val="22"/>
          <w:szCs w:val="22"/>
        </w:rPr>
        <w:t>Number of official data points</w:t>
      </w:r>
    </w:p>
    <w:p w:rsidR="00B155E1" w:rsidRDefault="00B155E1" w:rsidP="008F27CB">
      <w:pPr>
        <w:pStyle w:val="Default"/>
        <w:numPr>
          <w:ilvl w:val="0"/>
          <w:numId w:val="17"/>
        </w:numPr>
        <w:jc w:val="both"/>
        <w:rPr>
          <w:rFonts w:asciiTheme="minorHAnsi" w:hAnsiTheme="minorHAnsi" w:cstheme="minorHAnsi"/>
          <w:sz w:val="22"/>
          <w:szCs w:val="22"/>
        </w:rPr>
      </w:pPr>
      <w:r w:rsidRPr="00BA4305">
        <w:rPr>
          <w:rFonts w:asciiTheme="minorHAnsi" w:hAnsiTheme="minorHAnsi" w:cstheme="minorHAnsi"/>
          <w:sz w:val="22"/>
          <w:szCs w:val="22"/>
        </w:rPr>
        <w:t xml:space="preserve">Sum of values of </w:t>
      </w:r>
      <w:r>
        <w:rPr>
          <w:rFonts w:asciiTheme="minorHAnsi" w:hAnsiTheme="minorHAnsi" w:cstheme="minorHAnsi"/>
          <w:sz w:val="22"/>
          <w:szCs w:val="22"/>
        </w:rPr>
        <w:t xml:space="preserve">the </w:t>
      </w:r>
      <w:r w:rsidRPr="00BA4305">
        <w:rPr>
          <w:rFonts w:asciiTheme="minorHAnsi" w:hAnsiTheme="minorHAnsi" w:cstheme="minorHAnsi"/>
          <w:sz w:val="22"/>
          <w:szCs w:val="22"/>
        </w:rPr>
        <w:t>data points</w:t>
      </w:r>
    </w:p>
    <w:p w:rsidR="002000F2" w:rsidRPr="00B155E1" w:rsidRDefault="007B16D1" w:rsidP="00524879">
      <w:pPr>
        <w:pStyle w:val="Default"/>
        <w:numPr>
          <w:ilvl w:val="0"/>
          <w:numId w:val="17"/>
        </w:numPr>
        <w:spacing w:after="240"/>
        <w:jc w:val="both"/>
        <w:rPr>
          <w:rFonts w:asciiTheme="minorHAnsi" w:hAnsiTheme="minorHAnsi" w:cstheme="minorHAnsi"/>
          <w:sz w:val="22"/>
          <w:szCs w:val="22"/>
        </w:rPr>
      </w:pPr>
      <w:r w:rsidRPr="00B155E1">
        <w:rPr>
          <w:rFonts w:asciiTheme="minorHAnsi" w:hAnsiTheme="minorHAnsi" w:cstheme="minorHAnsi"/>
          <w:sz w:val="22"/>
          <w:szCs w:val="22"/>
        </w:rPr>
        <w:t>Sum of values of the official data points</w:t>
      </w:r>
    </w:p>
    <w:tbl>
      <w:tblPr>
        <w:tblStyle w:val="TableGrid"/>
        <w:tblpPr w:leftFromText="180" w:rightFromText="180" w:vertAnchor="text" w:horzAnchor="margin" w:tblpXSpec="center" w:tblpY="-15"/>
        <w:tblW w:w="4763" w:type="pct"/>
        <w:jc w:val="center"/>
        <w:tblLook w:val="04A0" w:firstRow="1" w:lastRow="0" w:firstColumn="1" w:lastColumn="0" w:noHBand="0" w:noVBand="1"/>
      </w:tblPr>
      <w:tblGrid>
        <w:gridCol w:w="1757"/>
        <w:gridCol w:w="1192"/>
        <w:gridCol w:w="1194"/>
        <w:gridCol w:w="1192"/>
        <w:gridCol w:w="1192"/>
        <w:gridCol w:w="1192"/>
        <w:gridCol w:w="1188"/>
      </w:tblGrid>
      <w:tr w:rsidR="006E1ECD" w:rsidTr="006E1ECD">
        <w:trPr>
          <w:jc w:val="center"/>
        </w:trPr>
        <w:tc>
          <w:tcPr>
            <w:tcW w:w="987" w:type="pct"/>
            <w:shd w:val="clear" w:color="auto" w:fill="DEEAF6" w:themeFill="accent1" w:themeFillTint="33"/>
            <w:vAlign w:val="center"/>
          </w:tcPr>
          <w:p w:rsidR="00EC10B8" w:rsidRPr="00E22ECD" w:rsidRDefault="00EC10B8" w:rsidP="006E1ECD">
            <w:pPr>
              <w:rPr>
                <w:sz w:val="20"/>
                <w:szCs w:val="20"/>
              </w:rPr>
            </w:pPr>
            <w:r>
              <w:rPr>
                <w:sz w:val="20"/>
                <w:szCs w:val="20"/>
              </w:rPr>
              <w:t>Dataset</w:t>
            </w:r>
          </w:p>
        </w:tc>
        <w:tc>
          <w:tcPr>
            <w:tcW w:w="669" w:type="pct"/>
            <w:shd w:val="clear" w:color="auto" w:fill="DEEAF6" w:themeFill="accent1" w:themeFillTint="33"/>
            <w:vAlign w:val="center"/>
          </w:tcPr>
          <w:p w:rsidR="00EC10B8" w:rsidRPr="00E22ECD" w:rsidRDefault="00EC10B8" w:rsidP="006E1ECD">
            <w:pPr>
              <w:rPr>
                <w:sz w:val="20"/>
                <w:szCs w:val="20"/>
              </w:rPr>
            </w:pPr>
            <w:r w:rsidRPr="00E22ECD">
              <w:rPr>
                <w:sz w:val="20"/>
                <w:szCs w:val="20"/>
              </w:rPr>
              <w:t xml:space="preserve"># territories </w:t>
            </w:r>
            <w:r>
              <w:rPr>
                <w:sz w:val="20"/>
                <w:szCs w:val="20"/>
              </w:rPr>
              <w:br/>
            </w:r>
            <w:r w:rsidRPr="00E22ECD">
              <w:rPr>
                <w:sz w:val="20"/>
                <w:szCs w:val="20"/>
              </w:rPr>
              <w:t>in scope</w:t>
            </w:r>
          </w:p>
        </w:tc>
        <w:tc>
          <w:tcPr>
            <w:tcW w:w="670" w:type="pct"/>
            <w:shd w:val="clear" w:color="auto" w:fill="DEEAF6" w:themeFill="accent1" w:themeFillTint="33"/>
            <w:vAlign w:val="center"/>
          </w:tcPr>
          <w:p w:rsidR="00EC10B8" w:rsidRPr="00E22ECD" w:rsidRDefault="00EC10B8" w:rsidP="006E1ECD">
            <w:pPr>
              <w:rPr>
                <w:sz w:val="20"/>
                <w:szCs w:val="20"/>
              </w:rPr>
            </w:pPr>
            <w:r w:rsidRPr="00E22ECD">
              <w:rPr>
                <w:sz w:val="20"/>
                <w:szCs w:val="20"/>
              </w:rPr>
              <w:t xml:space="preserve"># </w:t>
            </w:r>
            <w:r>
              <w:rPr>
                <w:sz w:val="20"/>
                <w:szCs w:val="20"/>
              </w:rPr>
              <w:t>expected</w:t>
            </w:r>
            <w:r>
              <w:rPr>
                <w:sz w:val="20"/>
                <w:szCs w:val="20"/>
              </w:rPr>
              <w:br/>
              <w:t>data points</w:t>
            </w:r>
          </w:p>
        </w:tc>
        <w:tc>
          <w:tcPr>
            <w:tcW w:w="669" w:type="pct"/>
            <w:shd w:val="clear" w:color="auto" w:fill="DEEAF6" w:themeFill="accent1" w:themeFillTint="33"/>
            <w:vAlign w:val="center"/>
          </w:tcPr>
          <w:p w:rsidR="00EC10B8" w:rsidRPr="00E22ECD" w:rsidRDefault="00EC10B8" w:rsidP="006E1ECD">
            <w:pPr>
              <w:rPr>
                <w:sz w:val="20"/>
                <w:szCs w:val="20"/>
              </w:rPr>
            </w:pPr>
            <w:r w:rsidRPr="00E22ECD">
              <w:rPr>
                <w:sz w:val="20"/>
                <w:szCs w:val="20"/>
              </w:rPr>
              <w:t xml:space="preserve"># </w:t>
            </w:r>
            <w:r>
              <w:rPr>
                <w:sz w:val="20"/>
                <w:szCs w:val="20"/>
              </w:rPr>
              <w:t>data points</w:t>
            </w:r>
          </w:p>
        </w:tc>
        <w:tc>
          <w:tcPr>
            <w:tcW w:w="669" w:type="pct"/>
            <w:shd w:val="clear" w:color="auto" w:fill="DEEAF6" w:themeFill="accent1" w:themeFillTint="33"/>
            <w:vAlign w:val="center"/>
          </w:tcPr>
          <w:p w:rsidR="00EC10B8" w:rsidRPr="00E22ECD" w:rsidRDefault="00EC10B8" w:rsidP="006E1ECD">
            <w:pPr>
              <w:rPr>
                <w:sz w:val="20"/>
                <w:szCs w:val="20"/>
              </w:rPr>
            </w:pPr>
            <w:r w:rsidRPr="00E22ECD">
              <w:rPr>
                <w:sz w:val="20"/>
                <w:szCs w:val="20"/>
              </w:rPr>
              <w:t xml:space="preserve"># </w:t>
            </w:r>
            <w:r>
              <w:rPr>
                <w:sz w:val="20"/>
                <w:szCs w:val="20"/>
              </w:rPr>
              <w:t>official</w:t>
            </w:r>
            <w:r w:rsidRPr="00E22ECD">
              <w:rPr>
                <w:sz w:val="20"/>
                <w:szCs w:val="20"/>
              </w:rPr>
              <w:t xml:space="preserve"> </w:t>
            </w:r>
            <w:r>
              <w:rPr>
                <w:sz w:val="20"/>
                <w:szCs w:val="20"/>
              </w:rPr>
              <w:br/>
              <w:t>data points</w:t>
            </w:r>
          </w:p>
        </w:tc>
        <w:tc>
          <w:tcPr>
            <w:tcW w:w="669" w:type="pct"/>
            <w:shd w:val="clear" w:color="auto" w:fill="DEEAF6" w:themeFill="accent1" w:themeFillTint="33"/>
            <w:vAlign w:val="center"/>
          </w:tcPr>
          <w:p w:rsidR="00EC10B8" w:rsidRPr="00E22ECD" w:rsidRDefault="00B155E1" w:rsidP="006E1ECD">
            <w:pPr>
              <w:rPr>
                <w:sz w:val="20"/>
                <w:szCs w:val="20"/>
              </w:rPr>
            </w:pPr>
            <w:r>
              <w:rPr>
                <w:sz w:val="20"/>
                <w:szCs w:val="20"/>
              </w:rPr>
              <w:sym w:font="Symbol" w:char="F053"/>
            </w:r>
            <w:r>
              <w:rPr>
                <w:sz w:val="20"/>
                <w:szCs w:val="20"/>
              </w:rPr>
              <w:t xml:space="preserve"> values</w:t>
            </w:r>
            <w:r w:rsidR="00EC10B8">
              <w:rPr>
                <w:sz w:val="20"/>
                <w:szCs w:val="20"/>
              </w:rPr>
              <w:br/>
            </w:r>
            <w:r>
              <w:rPr>
                <w:sz w:val="20"/>
                <w:szCs w:val="20"/>
              </w:rPr>
              <w:t>data points</w:t>
            </w:r>
          </w:p>
        </w:tc>
        <w:tc>
          <w:tcPr>
            <w:tcW w:w="669" w:type="pct"/>
            <w:shd w:val="clear" w:color="auto" w:fill="DEEAF6" w:themeFill="accent1" w:themeFillTint="33"/>
          </w:tcPr>
          <w:p w:rsidR="00EC10B8" w:rsidRPr="00E22ECD" w:rsidRDefault="00B155E1" w:rsidP="006E1ECD">
            <w:pPr>
              <w:rPr>
                <w:sz w:val="20"/>
                <w:szCs w:val="20"/>
              </w:rPr>
            </w:pPr>
            <w:r>
              <w:rPr>
                <w:sz w:val="20"/>
                <w:szCs w:val="20"/>
              </w:rPr>
              <w:sym w:font="Symbol" w:char="F053"/>
            </w:r>
            <w:r>
              <w:rPr>
                <w:sz w:val="20"/>
                <w:szCs w:val="20"/>
              </w:rPr>
              <w:t xml:space="preserve"> values</w:t>
            </w:r>
            <w:r>
              <w:rPr>
                <w:sz w:val="20"/>
                <w:szCs w:val="20"/>
              </w:rPr>
              <w:br/>
              <w:t>official</w:t>
            </w:r>
            <w:r w:rsidRPr="00E22ECD">
              <w:rPr>
                <w:sz w:val="20"/>
                <w:szCs w:val="20"/>
              </w:rPr>
              <w:t xml:space="preserve"> </w:t>
            </w:r>
            <w:r>
              <w:rPr>
                <w:sz w:val="20"/>
                <w:szCs w:val="20"/>
              </w:rPr>
              <w:t>data points</w:t>
            </w:r>
          </w:p>
        </w:tc>
      </w:tr>
      <w:tr w:rsidR="006E1ECD" w:rsidTr="006E1ECD">
        <w:trPr>
          <w:jc w:val="center"/>
        </w:trPr>
        <w:tc>
          <w:tcPr>
            <w:tcW w:w="987" w:type="pct"/>
            <w:vAlign w:val="center"/>
          </w:tcPr>
          <w:p w:rsidR="00EC10B8" w:rsidRPr="00E22ECD" w:rsidRDefault="006E1ECD" w:rsidP="006E1ECD">
            <w:pPr>
              <w:rPr>
                <w:sz w:val="20"/>
                <w:szCs w:val="20"/>
              </w:rPr>
            </w:pPr>
            <w:r w:rsidRPr="006E1ECD">
              <w:rPr>
                <w:sz w:val="20"/>
                <w:szCs w:val="20"/>
              </w:rPr>
              <w:t>item-element</w:t>
            </w:r>
            <w:r>
              <w:rPr>
                <w:sz w:val="20"/>
                <w:szCs w:val="20"/>
              </w:rPr>
              <w:t>-year</w:t>
            </w:r>
          </w:p>
        </w:tc>
        <w:tc>
          <w:tcPr>
            <w:tcW w:w="669" w:type="pct"/>
            <w:vAlign w:val="center"/>
          </w:tcPr>
          <w:p w:rsidR="00EC10B8" w:rsidRPr="00E22ECD" w:rsidRDefault="00B155E1" w:rsidP="006E1ECD">
            <w:pPr>
              <w:jc w:val="center"/>
              <w:rPr>
                <w:sz w:val="20"/>
                <w:szCs w:val="20"/>
              </w:rPr>
            </w:pPr>
            <w:r>
              <w:rPr>
                <w:sz w:val="20"/>
                <w:szCs w:val="20"/>
              </w:rPr>
              <w:t>A</w:t>
            </w:r>
          </w:p>
        </w:tc>
        <w:tc>
          <w:tcPr>
            <w:tcW w:w="670" w:type="pct"/>
            <w:vAlign w:val="center"/>
          </w:tcPr>
          <w:p w:rsidR="00EC10B8" w:rsidRPr="00E22ECD" w:rsidRDefault="00B155E1" w:rsidP="006E1ECD">
            <w:pPr>
              <w:jc w:val="center"/>
              <w:rPr>
                <w:sz w:val="20"/>
                <w:szCs w:val="20"/>
              </w:rPr>
            </w:pPr>
            <w:r>
              <w:rPr>
                <w:sz w:val="20"/>
                <w:szCs w:val="20"/>
              </w:rPr>
              <w:t>E</w:t>
            </w:r>
          </w:p>
        </w:tc>
        <w:tc>
          <w:tcPr>
            <w:tcW w:w="669" w:type="pct"/>
            <w:vAlign w:val="center"/>
          </w:tcPr>
          <w:p w:rsidR="00EC10B8" w:rsidRPr="00E22ECD" w:rsidRDefault="00B155E1" w:rsidP="006E1ECD">
            <w:pPr>
              <w:jc w:val="center"/>
              <w:rPr>
                <w:sz w:val="20"/>
                <w:szCs w:val="20"/>
              </w:rPr>
            </w:pPr>
            <w:r>
              <w:rPr>
                <w:sz w:val="20"/>
                <w:szCs w:val="20"/>
              </w:rPr>
              <w:t>F</w:t>
            </w:r>
          </w:p>
        </w:tc>
        <w:tc>
          <w:tcPr>
            <w:tcW w:w="669" w:type="pct"/>
            <w:vAlign w:val="center"/>
          </w:tcPr>
          <w:p w:rsidR="00EC10B8" w:rsidRPr="00E22ECD" w:rsidRDefault="00B155E1" w:rsidP="006E1ECD">
            <w:pPr>
              <w:jc w:val="center"/>
              <w:rPr>
                <w:sz w:val="20"/>
                <w:szCs w:val="20"/>
              </w:rPr>
            </w:pPr>
            <w:r>
              <w:rPr>
                <w:sz w:val="20"/>
                <w:szCs w:val="20"/>
              </w:rPr>
              <w:t>G</w:t>
            </w:r>
          </w:p>
        </w:tc>
        <w:tc>
          <w:tcPr>
            <w:tcW w:w="669" w:type="pct"/>
            <w:vAlign w:val="center"/>
          </w:tcPr>
          <w:p w:rsidR="00EC10B8" w:rsidRPr="00E22ECD" w:rsidRDefault="00B155E1" w:rsidP="006E1ECD">
            <w:pPr>
              <w:jc w:val="center"/>
              <w:rPr>
                <w:sz w:val="20"/>
                <w:szCs w:val="20"/>
              </w:rPr>
            </w:pPr>
            <w:r>
              <w:rPr>
                <w:sz w:val="20"/>
                <w:szCs w:val="20"/>
              </w:rPr>
              <w:t>I</w:t>
            </w:r>
          </w:p>
        </w:tc>
        <w:tc>
          <w:tcPr>
            <w:tcW w:w="669" w:type="pct"/>
          </w:tcPr>
          <w:p w:rsidR="00EC10B8" w:rsidRDefault="00B155E1" w:rsidP="006E1ECD">
            <w:pPr>
              <w:jc w:val="center"/>
              <w:rPr>
                <w:sz w:val="20"/>
                <w:szCs w:val="20"/>
              </w:rPr>
            </w:pPr>
            <w:r>
              <w:rPr>
                <w:sz w:val="20"/>
                <w:szCs w:val="20"/>
              </w:rPr>
              <w:t>J</w:t>
            </w:r>
          </w:p>
        </w:tc>
      </w:tr>
    </w:tbl>
    <w:p w:rsidR="002D0158" w:rsidRDefault="00BE6E94" w:rsidP="00DE365D">
      <w:pPr>
        <w:pStyle w:val="Default"/>
        <w:spacing w:before="240" w:after="120"/>
        <w:jc w:val="both"/>
        <w:rPr>
          <w:rFonts w:asciiTheme="minorHAnsi" w:hAnsiTheme="minorHAnsi" w:cstheme="minorHAnsi"/>
          <w:sz w:val="22"/>
          <w:szCs w:val="22"/>
        </w:rPr>
      </w:pPr>
      <w:r w:rsidRPr="00BA4305">
        <w:rPr>
          <w:rFonts w:asciiTheme="minorHAnsi" w:hAnsiTheme="minorHAnsi" w:cstheme="minorHAnsi"/>
          <w:sz w:val="22"/>
          <w:szCs w:val="22"/>
        </w:rPr>
        <w:t>The</w:t>
      </w:r>
      <w:r w:rsidR="002000F2" w:rsidRPr="00BA4305">
        <w:rPr>
          <w:rFonts w:asciiTheme="minorHAnsi" w:hAnsiTheme="minorHAnsi" w:cstheme="minorHAnsi"/>
          <w:sz w:val="22"/>
          <w:szCs w:val="22"/>
        </w:rPr>
        <w:t>s</w:t>
      </w:r>
      <w:r w:rsidRPr="00BA4305">
        <w:rPr>
          <w:rFonts w:asciiTheme="minorHAnsi" w:hAnsiTheme="minorHAnsi" w:cstheme="minorHAnsi"/>
          <w:sz w:val="22"/>
          <w:szCs w:val="22"/>
        </w:rPr>
        <w:t>e</w:t>
      </w:r>
      <w:r w:rsidR="002000F2" w:rsidRPr="00BA4305">
        <w:rPr>
          <w:rFonts w:asciiTheme="minorHAnsi" w:hAnsiTheme="minorHAnsi" w:cstheme="minorHAnsi"/>
          <w:sz w:val="22"/>
          <w:szCs w:val="22"/>
        </w:rPr>
        <w:t xml:space="preserve"> </w:t>
      </w:r>
      <w:r w:rsidRPr="00BA4305">
        <w:rPr>
          <w:rFonts w:asciiTheme="minorHAnsi" w:hAnsiTheme="minorHAnsi" w:cstheme="minorHAnsi"/>
          <w:sz w:val="22"/>
          <w:szCs w:val="22"/>
        </w:rPr>
        <w:t>figures are</w:t>
      </w:r>
      <w:r w:rsidR="002000F2" w:rsidRPr="00BA4305">
        <w:rPr>
          <w:rFonts w:asciiTheme="minorHAnsi" w:hAnsiTheme="minorHAnsi" w:cstheme="minorHAnsi"/>
          <w:sz w:val="22"/>
          <w:szCs w:val="22"/>
        </w:rPr>
        <w:t xml:space="preserve"> calculated for </w:t>
      </w:r>
      <w:r w:rsidR="00B03E85">
        <w:rPr>
          <w:rFonts w:asciiTheme="minorHAnsi" w:hAnsiTheme="minorHAnsi" w:cstheme="minorHAnsi"/>
          <w:sz w:val="22"/>
          <w:szCs w:val="22"/>
        </w:rPr>
        <w:t>a</w:t>
      </w:r>
      <w:r w:rsidR="002000F2" w:rsidRPr="00BA4305">
        <w:rPr>
          <w:rFonts w:asciiTheme="minorHAnsi" w:hAnsiTheme="minorHAnsi" w:cstheme="minorHAnsi"/>
          <w:sz w:val="22"/>
          <w:szCs w:val="22"/>
        </w:rPr>
        <w:t xml:space="preserve"> dataset, by item-element combination and by year.</w:t>
      </w:r>
      <w:r w:rsidR="00E42A6F" w:rsidRPr="00BA4305">
        <w:rPr>
          <w:rFonts w:asciiTheme="minorHAnsi" w:hAnsiTheme="minorHAnsi" w:cstheme="minorHAnsi"/>
          <w:sz w:val="22"/>
          <w:szCs w:val="22"/>
        </w:rPr>
        <w:t xml:space="preserve"> They allow subsequent calculations of proportion of imputed data points and ratio of the value of imputations (FAO 2011, annex 1; FAO 2016a, p.6)</w:t>
      </w:r>
      <w:r w:rsidR="005A6E66" w:rsidRPr="00BA4305">
        <w:rPr>
          <w:rFonts w:asciiTheme="minorHAnsi" w:hAnsiTheme="minorHAnsi" w:cstheme="minorHAnsi"/>
          <w:sz w:val="22"/>
          <w:szCs w:val="22"/>
        </w:rPr>
        <w:t>.</w:t>
      </w:r>
    </w:p>
    <w:p w:rsidR="00A8435F" w:rsidRDefault="002D0158" w:rsidP="00A8435F">
      <w:pPr>
        <w:pStyle w:val="Default"/>
        <w:spacing w:after="120"/>
        <w:jc w:val="both"/>
        <w:rPr>
          <w:rFonts w:asciiTheme="minorHAnsi" w:hAnsiTheme="minorHAnsi" w:cstheme="minorHAnsi"/>
          <w:sz w:val="22"/>
          <w:szCs w:val="22"/>
        </w:rPr>
      </w:pPr>
      <w:r>
        <w:rPr>
          <w:rFonts w:asciiTheme="minorHAnsi" w:hAnsiTheme="minorHAnsi" w:cstheme="minorHAnsi"/>
          <w:sz w:val="22"/>
          <w:szCs w:val="22"/>
        </w:rPr>
        <w:t>Some values may be non-additive and therefore the sums of values cannot be calculated. In th</w:t>
      </w:r>
      <w:r w:rsidR="003C69C8">
        <w:rPr>
          <w:rFonts w:asciiTheme="minorHAnsi" w:hAnsiTheme="minorHAnsi" w:cstheme="minorHAnsi"/>
          <w:sz w:val="22"/>
          <w:szCs w:val="22"/>
        </w:rPr>
        <w:t>e</w:t>
      </w:r>
      <w:r>
        <w:rPr>
          <w:rFonts w:asciiTheme="minorHAnsi" w:hAnsiTheme="minorHAnsi" w:cstheme="minorHAnsi"/>
          <w:sz w:val="22"/>
          <w:szCs w:val="22"/>
        </w:rPr>
        <w:t>s</w:t>
      </w:r>
      <w:r w:rsidR="003C69C8">
        <w:rPr>
          <w:rFonts w:asciiTheme="minorHAnsi" w:hAnsiTheme="minorHAnsi" w:cstheme="minorHAnsi"/>
          <w:sz w:val="22"/>
          <w:szCs w:val="22"/>
        </w:rPr>
        <w:t>e</w:t>
      </w:r>
      <w:r>
        <w:rPr>
          <w:rFonts w:asciiTheme="minorHAnsi" w:hAnsiTheme="minorHAnsi" w:cstheme="minorHAnsi"/>
          <w:sz w:val="22"/>
          <w:szCs w:val="22"/>
        </w:rPr>
        <w:t xml:space="preserve"> case</w:t>
      </w:r>
      <w:r w:rsidR="003C69C8">
        <w:rPr>
          <w:rFonts w:asciiTheme="minorHAnsi" w:hAnsiTheme="minorHAnsi" w:cstheme="minorHAnsi"/>
          <w:sz w:val="22"/>
          <w:szCs w:val="22"/>
        </w:rPr>
        <w:t>s,</w:t>
      </w:r>
      <w:r>
        <w:rPr>
          <w:rFonts w:asciiTheme="minorHAnsi" w:hAnsiTheme="minorHAnsi" w:cstheme="minorHAnsi"/>
          <w:sz w:val="22"/>
          <w:szCs w:val="22"/>
        </w:rPr>
        <w:t xml:space="preserve"> weights may be applied to the data points when counting them in order to obtain a weighed measure of completeness.</w:t>
      </w:r>
      <w:r w:rsidR="00A8435F">
        <w:rPr>
          <w:rFonts w:asciiTheme="minorHAnsi" w:hAnsiTheme="minorHAnsi" w:cstheme="minorHAnsi"/>
          <w:sz w:val="22"/>
          <w:szCs w:val="22"/>
        </w:rPr>
        <w:t xml:space="preserve"> </w:t>
      </w:r>
    </w:p>
    <w:p w:rsidR="00611C3D" w:rsidRPr="00A8435F" w:rsidRDefault="00A8435F" w:rsidP="00A8435F">
      <w:pPr>
        <w:pStyle w:val="Default"/>
        <w:jc w:val="both"/>
        <w:rPr>
          <w:rFonts w:asciiTheme="minorHAnsi" w:hAnsiTheme="minorHAnsi" w:cstheme="minorHAnsi"/>
          <w:sz w:val="22"/>
          <w:szCs w:val="22"/>
        </w:rPr>
      </w:pPr>
      <w:r>
        <w:rPr>
          <w:rFonts w:asciiTheme="minorHAnsi" w:hAnsiTheme="minorHAnsi" w:cstheme="minorHAnsi"/>
          <w:sz w:val="22"/>
          <w:szCs w:val="22"/>
        </w:rPr>
        <w:t xml:space="preserve">The use of weighted indicators </w:t>
      </w:r>
      <w:r w:rsidRPr="00A8435F">
        <w:rPr>
          <w:rFonts w:asciiTheme="minorHAnsi" w:hAnsiTheme="minorHAnsi" w:cstheme="minorHAnsi"/>
          <w:sz w:val="22"/>
          <w:szCs w:val="22"/>
        </w:rPr>
        <w:t>not only for data completeness but also for response rates</w:t>
      </w:r>
      <w:r>
        <w:rPr>
          <w:rFonts w:asciiTheme="minorHAnsi" w:hAnsiTheme="minorHAnsi" w:cstheme="minorHAnsi"/>
          <w:sz w:val="22"/>
          <w:szCs w:val="22"/>
        </w:rPr>
        <w:t xml:space="preserve"> has been included </w:t>
      </w:r>
      <w:r w:rsidR="00B03E85">
        <w:rPr>
          <w:rFonts w:asciiTheme="minorHAnsi" w:hAnsiTheme="minorHAnsi" w:cstheme="minorHAnsi"/>
          <w:sz w:val="22"/>
          <w:szCs w:val="22"/>
        </w:rPr>
        <w:t xml:space="preserve">in the next section, </w:t>
      </w:r>
      <w:r>
        <w:rPr>
          <w:rFonts w:asciiTheme="minorHAnsi" w:hAnsiTheme="minorHAnsi" w:cstheme="minorHAnsi"/>
          <w:sz w:val="22"/>
          <w:szCs w:val="22"/>
        </w:rPr>
        <w:t>as a</w:t>
      </w:r>
      <w:r w:rsidR="00B03E85">
        <w:rPr>
          <w:rFonts w:asciiTheme="minorHAnsi" w:hAnsiTheme="minorHAnsi" w:cstheme="minorHAnsi"/>
          <w:sz w:val="22"/>
          <w:szCs w:val="22"/>
        </w:rPr>
        <w:t xml:space="preserve"> t</w:t>
      </w:r>
      <w:r>
        <w:rPr>
          <w:rFonts w:asciiTheme="minorHAnsi" w:hAnsiTheme="minorHAnsi" w:cstheme="minorHAnsi"/>
          <w:sz w:val="22"/>
          <w:szCs w:val="22"/>
        </w:rPr>
        <w:t>opic for future discussion.</w:t>
      </w:r>
    </w:p>
    <w:p w:rsidR="00294763" w:rsidRDefault="00294763">
      <w:r>
        <w:br w:type="page"/>
      </w:r>
    </w:p>
    <w:p w:rsidR="00294763" w:rsidRDefault="00294763" w:rsidP="00294763">
      <w:pPr>
        <w:pStyle w:val="Heading1"/>
      </w:pPr>
      <w:r>
        <w:lastRenderedPageBreak/>
        <w:t>Topics for future discussion</w:t>
      </w:r>
    </w:p>
    <w:p w:rsidR="00294763" w:rsidRDefault="00294763" w:rsidP="00294763">
      <w:pPr>
        <w:pStyle w:val="ListParagraph"/>
      </w:pPr>
    </w:p>
    <w:p w:rsidR="00294763" w:rsidRDefault="00853C0C" w:rsidP="00524879">
      <w:pPr>
        <w:pStyle w:val="ListParagraph"/>
        <w:numPr>
          <w:ilvl w:val="0"/>
          <w:numId w:val="23"/>
        </w:numPr>
        <w:spacing w:after="240"/>
        <w:ind w:left="714" w:hanging="357"/>
        <w:contextualSpacing w:val="0"/>
      </w:pPr>
      <w:r>
        <w:t>C</w:t>
      </w:r>
      <w:r w:rsidR="004E7A63">
        <w:t xml:space="preserve">ould data points </w:t>
      </w:r>
      <w:r w:rsidR="00A13D6B">
        <w:t xml:space="preserve">that are </w:t>
      </w:r>
      <w:r w:rsidR="004E7A63">
        <w:t>derived from others (</w:t>
      </w:r>
      <w:r w:rsidR="00A13D6B">
        <w:t>e.g. data calculated as ratio, data transformed by conversion of units, data calculated by aggregation)</w:t>
      </w:r>
      <w:r w:rsidR="004E7A63">
        <w:t xml:space="preserve"> be considered official? If so, in what cases?</w:t>
      </w:r>
    </w:p>
    <w:p w:rsidR="002C0E89" w:rsidRDefault="002C0E89" w:rsidP="002C0E89">
      <w:pPr>
        <w:pStyle w:val="ListParagraph"/>
        <w:numPr>
          <w:ilvl w:val="0"/>
          <w:numId w:val="23"/>
        </w:numPr>
        <w:spacing w:after="240"/>
        <w:ind w:left="714" w:hanging="357"/>
        <w:contextualSpacing w:val="0"/>
      </w:pPr>
      <w:r>
        <w:t xml:space="preserve">How should completeness be measured for domains that are not questionnaire-based (e.g. time series/domains that are entirely derived from other domains)? </w:t>
      </w:r>
    </w:p>
    <w:p w:rsidR="0003687A" w:rsidRDefault="0003687A" w:rsidP="003567B8">
      <w:pPr>
        <w:pStyle w:val="ListParagraph"/>
        <w:numPr>
          <w:ilvl w:val="0"/>
          <w:numId w:val="23"/>
        </w:numPr>
        <w:spacing w:after="240"/>
        <w:ind w:left="714" w:hanging="357"/>
        <w:contextualSpacing w:val="0"/>
        <w:jc w:val="both"/>
      </w:pPr>
      <w:r>
        <w:t xml:space="preserve">Should data completeness indicators be calculated in FAOSTAT database or in SWS? </w:t>
      </w:r>
      <w:r>
        <w:br/>
        <w:t xml:space="preserve">A shortcoming of using SWS may be that its datasets could include data that will not be </w:t>
      </w:r>
      <w:r w:rsidR="00C31175">
        <w:t>disseminated</w:t>
      </w:r>
      <w:r>
        <w:t xml:space="preserve">. A shortcoming of using FAOSTAT may be that </w:t>
      </w:r>
      <w:r w:rsidR="003567B8">
        <w:t>the method flag required for calculating</w:t>
      </w:r>
      <w:r>
        <w:t xml:space="preserve"> ‘</w:t>
      </w:r>
      <w:r w:rsidRPr="00294763">
        <w:t>completeness from questionnaire</w:t>
      </w:r>
      <w:r>
        <w:t>’ may not be available.</w:t>
      </w:r>
    </w:p>
    <w:p w:rsidR="00294763" w:rsidRDefault="0003687A" w:rsidP="0003687A">
      <w:pPr>
        <w:pStyle w:val="ListParagraph"/>
        <w:numPr>
          <w:ilvl w:val="0"/>
          <w:numId w:val="23"/>
        </w:numPr>
        <w:spacing w:after="240"/>
        <w:ind w:left="714" w:hanging="357"/>
        <w:contextualSpacing w:val="0"/>
        <w:jc w:val="both"/>
      </w:pPr>
      <w:r>
        <w:t xml:space="preserve">How to deal with time series that should have data but have always been empty (i.e. no official data available and no imputations done)? Although those data should be counted in the number of expected data points, the automatic proxy described here does not include them. </w:t>
      </w:r>
      <w:r>
        <w:br/>
        <w:t>One particular case would be that of countries included in the geographical scope but for which there are no data in the dataset. To identify th</w:t>
      </w:r>
      <w:r w:rsidR="00853C0C">
        <w:t>o</w:t>
      </w:r>
      <w:r>
        <w:t>se cases it could be informative to calculate the number of territories covered in the dataset divided by the total number of territories in the geographical scope.</w:t>
      </w:r>
    </w:p>
    <w:p w:rsidR="00AE4FC3" w:rsidRPr="001B11BF" w:rsidRDefault="00A8435F" w:rsidP="001B11BF">
      <w:pPr>
        <w:pStyle w:val="ListParagraph"/>
        <w:numPr>
          <w:ilvl w:val="0"/>
          <w:numId w:val="23"/>
        </w:numPr>
        <w:spacing w:after="240"/>
        <w:contextualSpacing w:val="0"/>
        <w:jc w:val="both"/>
      </w:pPr>
      <w:r>
        <w:t xml:space="preserve">Should some form of weighted indicator be considered </w:t>
      </w:r>
      <w:r w:rsidR="00853C0C">
        <w:t>for inclusion together with the current indicator for</w:t>
      </w:r>
      <w:r>
        <w:t xml:space="preserve"> monitoring </w:t>
      </w:r>
      <w:r w:rsidR="00853C0C">
        <w:t>r</w:t>
      </w:r>
      <w:r w:rsidRPr="00A8435F">
        <w:t>esponse rates</w:t>
      </w:r>
      <w:r>
        <w:t>?</w:t>
      </w:r>
      <w:r w:rsidR="00AE4FC3">
        <w:br w:type="page"/>
      </w:r>
    </w:p>
    <w:p w:rsidR="009311B8" w:rsidRDefault="009311B8" w:rsidP="009311B8">
      <w:pPr>
        <w:pStyle w:val="Heading1"/>
      </w:pPr>
      <w:r>
        <w:lastRenderedPageBreak/>
        <w:t>References</w:t>
      </w:r>
    </w:p>
    <w:p w:rsidR="00491A1C" w:rsidRDefault="00491A1C" w:rsidP="00491A1C">
      <w:pPr>
        <w:pStyle w:val="Default"/>
        <w:jc w:val="both"/>
        <w:rPr>
          <w:sz w:val="20"/>
          <w:szCs w:val="20"/>
        </w:rPr>
      </w:pPr>
    </w:p>
    <w:p w:rsidR="00DF462D" w:rsidRPr="00346174" w:rsidRDefault="00DF462D" w:rsidP="00DF462D">
      <w:pPr>
        <w:jc w:val="both"/>
        <w:rPr>
          <w:rFonts w:cstheme="minorHAnsi"/>
        </w:rPr>
      </w:pPr>
      <w:r w:rsidRPr="00346174">
        <w:rPr>
          <w:rFonts w:cstheme="minorHAnsi"/>
        </w:rPr>
        <w:t xml:space="preserve">EC (2007) </w:t>
      </w:r>
      <w:r w:rsidRPr="00346174">
        <w:rPr>
          <w:rFonts w:cstheme="minorHAnsi"/>
          <w:i/>
        </w:rPr>
        <w:t>Handbook on Data Quality Assessment Methods and Tools. European Commission</w:t>
      </w:r>
      <w:r w:rsidRPr="00346174">
        <w:rPr>
          <w:rFonts w:cstheme="minorHAnsi"/>
        </w:rPr>
        <w:t>. Eurostat. Available at: https://ec.europa.eu/eurostat/documents/64157/4373903/05-Handbook-on-data-quality-assessment-methods-and-tools.pdf/c8bbb146-4d59-4a69-b7c4-218c43952214</w:t>
      </w:r>
    </w:p>
    <w:p w:rsidR="0020482E" w:rsidRPr="00346174" w:rsidRDefault="00200836" w:rsidP="009311B8">
      <w:pPr>
        <w:rPr>
          <w:rFonts w:cstheme="minorHAnsi"/>
        </w:rPr>
      </w:pPr>
      <w:r w:rsidRPr="00346174">
        <w:rPr>
          <w:rFonts w:cstheme="minorHAnsi"/>
        </w:rPr>
        <w:t xml:space="preserve">Trant, M. </w:t>
      </w:r>
      <w:r w:rsidR="0020482E" w:rsidRPr="00346174">
        <w:rPr>
          <w:rFonts w:cstheme="minorHAnsi"/>
        </w:rPr>
        <w:t xml:space="preserve">(1993) Development of data quality indicators. </w:t>
      </w:r>
      <w:r w:rsidRPr="00346174">
        <w:rPr>
          <w:rFonts w:cstheme="minorHAnsi"/>
        </w:rPr>
        <w:t xml:space="preserve">In: </w:t>
      </w:r>
      <w:r w:rsidR="0020482E" w:rsidRPr="00346174">
        <w:rPr>
          <w:rFonts w:cstheme="minorHAnsi"/>
          <w:i/>
        </w:rPr>
        <w:t>FAO Quarterly Bulletin of Statist</w:t>
      </w:r>
      <w:r w:rsidRPr="00346174">
        <w:rPr>
          <w:rFonts w:cstheme="minorHAnsi"/>
          <w:i/>
        </w:rPr>
        <w:t>ics</w:t>
      </w:r>
      <w:r w:rsidRPr="00346174">
        <w:rPr>
          <w:rFonts w:cstheme="minorHAnsi"/>
        </w:rPr>
        <w:t>, v.6(4).</w:t>
      </w:r>
    </w:p>
    <w:p w:rsidR="00491A1C" w:rsidRPr="00346174" w:rsidRDefault="009311B8" w:rsidP="009311B8">
      <w:pPr>
        <w:rPr>
          <w:rFonts w:cstheme="minorHAnsi"/>
        </w:rPr>
      </w:pPr>
      <w:r w:rsidRPr="00346174">
        <w:rPr>
          <w:rFonts w:cstheme="minorHAnsi"/>
        </w:rPr>
        <w:t xml:space="preserve">FAO (2011) </w:t>
      </w:r>
      <w:r w:rsidRPr="00346174">
        <w:rPr>
          <w:rFonts w:cstheme="minorHAnsi"/>
          <w:i/>
        </w:rPr>
        <w:t>Reporting on Data Quality</w:t>
      </w:r>
      <w:r w:rsidR="0029552C">
        <w:rPr>
          <w:rFonts w:cstheme="minorHAnsi"/>
          <w:i/>
        </w:rPr>
        <w:t>.</w:t>
      </w:r>
      <w:r w:rsidRPr="00346174">
        <w:rPr>
          <w:rFonts w:cstheme="minorHAnsi"/>
          <w:i/>
        </w:rPr>
        <w:t xml:space="preserve"> Principles, Standards &amp; Recommendations</w:t>
      </w:r>
      <w:r w:rsidRPr="00346174">
        <w:rPr>
          <w:rFonts w:cstheme="minorHAnsi"/>
        </w:rPr>
        <w:t xml:space="preserve">. Statistical Standards Team, SCWG. Available at: </w:t>
      </w:r>
      <w:r w:rsidR="00A11DAA" w:rsidRPr="00346174">
        <w:rPr>
          <w:rFonts w:cstheme="minorHAnsi"/>
        </w:rPr>
        <w:t>http://intranet.fao.org/fileadmin/user_upload/scp/Standards_for_quality_</w:t>
      </w:r>
      <w:r w:rsidR="0029552C">
        <w:rPr>
          <w:rFonts w:cstheme="minorHAnsi"/>
        </w:rPr>
        <w:br/>
      </w:r>
      <w:r w:rsidR="00A11DAA" w:rsidRPr="00346174">
        <w:rPr>
          <w:rFonts w:cstheme="minorHAnsi"/>
        </w:rPr>
        <w:t xml:space="preserve">compliance/SST-03_Data_Quality_Reporting.pdf; </w:t>
      </w:r>
      <w:r w:rsidR="00A11DAA" w:rsidRPr="00346174">
        <w:rPr>
          <w:rFonts w:cstheme="minorHAnsi"/>
        </w:rPr>
        <w:br/>
      </w:r>
      <w:r w:rsidR="00A11DAA" w:rsidRPr="00346174">
        <w:rPr>
          <w:rFonts w:cstheme="minorHAnsi"/>
          <w:i/>
        </w:rPr>
        <w:t>Annex 1</w:t>
      </w:r>
      <w:r w:rsidR="00A11DAA" w:rsidRPr="00346174">
        <w:rPr>
          <w:rFonts w:cstheme="minorHAnsi"/>
        </w:rPr>
        <w:t xml:space="preserve"> available at: http://intranet.fao.org/fileadmin/user_upload/scp/Standards_for_quality_</w:t>
      </w:r>
      <w:r w:rsidR="0029552C">
        <w:rPr>
          <w:rFonts w:cstheme="minorHAnsi"/>
        </w:rPr>
        <w:br/>
      </w:r>
      <w:r w:rsidR="00A11DAA" w:rsidRPr="00346174">
        <w:rPr>
          <w:rFonts w:cstheme="minorHAnsi"/>
        </w:rPr>
        <w:t>compliance/SST-03_Annex_1_Examples_for_Quality_Indicators.pdf</w:t>
      </w:r>
    </w:p>
    <w:p w:rsidR="002547A0" w:rsidRPr="00346174" w:rsidRDefault="002547A0" w:rsidP="009311B8">
      <w:pPr>
        <w:rPr>
          <w:rFonts w:cstheme="minorHAnsi"/>
        </w:rPr>
      </w:pPr>
      <w:r w:rsidRPr="00346174">
        <w:rPr>
          <w:rFonts w:cstheme="minorHAnsi"/>
        </w:rPr>
        <w:t xml:space="preserve">FAO (2014) </w:t>
      </w:r>
      <w:r w:rsidRPr="00346174">
        <w:rPr>
          <w:rFonts w:cstheme="minorHAnsi"/>
          <w:i/>
        </w:rPr>
        <w:t>The FAO Statistics Quality Assurance Framework</w:t>
      </w:r>
      <w:r w:rsidRPr="00346174">
        <w:rPr>
          <w:rFonts w:cstheme="minorHAnsi"/>
        </w:rPr>
        <w:t>. Available at: http://www.fao.org/docrep/019/i3664e/i3664e.pdf</w:t>
      </w:r>
    </w:p>
    <w:p w:rsidR="00A11DAA" w:rsidRPr="00346174" w:rsidRDefault="00A11DAA" w:rsidP="00346174">
      <w:pPr>
        <w:rPr>
          <w:rFonts w:cstheme="minorHAnsi"/>
        </w:rPr>
      </w:pPr>
      <w:r w:rsidRPr="00346174">
        <w:rPr>
          <w:rFonts w:cstheme="minorHAnsi"/>
        </w:rPr>
        <w:t>FAO (2016</w:t>
      </w:r>
      <w:r w:rsidR="00346174" w:rsidRPr="00346174">
        <w:rPr>
          <w:rFonts w:cstheme="minorHAnsi"/>
        </w:rPr>
        <w:t>a</w:t>
      </w:r>
      <w:r w:rsidRPr="00346174">
        <w:rPr>
          <w:rFonts w:cstheme="minorHAnsi"/>
        </w:rPr>
        <w:t xml:space="preserve">) </w:t>
      </w:r>
      <w:r w:rsidR="00346174" w:rsidRPr="00346174">
        <w:rPr>
          <w:rFonts w:cstheme="minorHAnsi"/>
          <w:i/>
        </w:rPr>
        <w:t>FAO Quality indicators for statistical processes: recommended indicators</w:t>
      </w:r>
      <w:r w:rsidRPr="00346174">
        <w:rPr>
          <w:rFonts w:cstheme="minorHAnsi"/>
        </w:rPr>
        <w:t xml:space="preserve">. </w:t>
      </w:r>
      <w:r w:rsidR="0029552C" w:rsidRPr="0029552C">
        <w:rPr>
          <w:rFonts w:cstheme="minorHAnsi"/>
        </w:rPr>
        <w:t>Available at: http://intranet.fao.org/fileadmin/user_upload/scp/Standards_for_quality_compliance/FAO_Quality_indicators_-_Short_2016-11-24.pdf</w:t>
      </w:r>
      <w:r w:rsidR="00346174" w:rsidRPr="00346174">
        <w:rPr>
          <w:rFonts w:cstheme="minorHAnsi"/>
        </w:rPr>
        <w:t>.</w:t>
      </w:r>
    </w:p>
    <w:p w:rsidR="00346174" w:rsidRPr="00346174" w:rsidRDefault="00346174" w:rsidP="00346174">
      <w:pPr>
        <w:rPr>
          <w:rFonts w:cstheme="minorHAnsi"/>
        </w:rPr>
      </w:pPr>
      <w:r w:rsidRPr="00346174">
        <w:rPr>
          <w:rFonts w:cstheme="minorHAnsi"/>
        </w:rPr>
        <w:t xml:space="preserve">FAO (2016b) </w:t>
      </w:r>
      <w:r w:rsidRPr="00346174">
        <w:rPr>
          <w:rFonts w:cstheme="minorHAnsi"/>
          <w:i/>
        </w:rPr>
        <w:t>Issues in the collection of FAO data</w:t>
      </w:r>
      <w:r w:rsidRPr="00346174">
        <w:rPr>
          <w:rFonts w:cstheme="minorHAnsi"/>
        </w:rPr>
        <w:t xml:space="preserve">. Agenda Item 4. Asia and Pacific Commission on Agricultural Statistics. Twenty-Sixth Session. Thimphu, Bhutan, 15-19 Feb 2016. Available at: </w:t>
      </w:r>
      <w:r w:rsidRPr="001D4737">
        <w:rPr>
          <w:rFonts w:cstheme="minorHAnsi"/>
        </w:rPr>
        <w:t>http://www.fao.org/fileadmin/templates/ess/documents/apcas26/docs/APCAS-16-4.2____-_FAO_-_Issues_in_the_collection_of_FAO_data.pdf</w:t>
      </w:r>
    </w:p>
    <w:p w:rsidR="00DF462D" w:rsidRPr="00346174" w:rsidRDefault="00DF462D" w:rsidP="00DF462D">
      <w:pPr>
        <w:rPr>
          <w:rFonts w:cstheme="minorHAnsi"/>
        </w:rPr>
      </w:pPr>
      <w:r w:rsidRPr="00346174">
        <w:rPr>
          <w:rFonts w:cstheme="minorHAnsi"/>
        </w:rPr>
        <w:t>FAO (2018</w:t>
      </w:r>
      <w:r w:rsidR="00D64DAF" w:rsidRPr="00346174">
        <w:rPr>
          <w:rFonts w:cstheme="minorHAnsi"/>
        </w:rPr>
        <w:t>a</w:t>
      </w:r>
      <w:r w:rsidRPr="00346174">
        <w:rPr>
          <w:rFonts w:cstheme="minorHAnsi"/>
        </w:rPr>
        <w:t xml:space="preserve">) </w:t>
      </w:r>
      <w:r w:rsidRPr="00346174">
        <w:rPr>
          <w:rFonts w:cstheme="minorHAnsi"/>
          <w:i/>
        </w:rPr>
        <w:t>Programme Implementation Report 2016-17</w:t>
      </w:r>
      <w:r w:rsidRPr="00346174">
        <w:rPr>
          <w:rFonts w:cstheme="minorHAnsi"/>
        </w:rPr>
        <w:t>. Conference. Forty-first Session: Rome, 22-29 June 2019. Available at: http://www.fao.org/fileadmin/user_upload/bodies/Progr_Comm/PC_124-documents/MV543e.pdf</w:t>
      </w:r>
    </w:p>
    <w:p w:rsidR="00D64DAF" w:rsidRPr="00346174" w:rsidRDefault="00D64DAF" w:rsidP="00D64DAF">
      <w:pPr>
        <w:rPr>
          <w:rFonts w:cstheme="minorHAnsi"/>
        </w:rPr>
      </w:pPr>
      <w:r w:rsidRPr="00346174">
        <w:rPr>
          <w:rFonts w:cstheme="minorHAnsi"/>
        </w:rPr>
        <w:t xml:space="preserve">FAO (2018b) </w:t>
      </w:r>
      <w:r w:rsidRPr="00346174">
        <w:rPr>
          <w:rFonts w:cstheme="minorHAnsi"/>
          <w:i/>
        </w:rPr>
        <w:t>Standard Country or Area Codes for Statistical Use. Rev.2</w:t>
      </w:r>
      <w:r w:rsidRPr="00346174">
        <w:rPr>
          <w:rFonts w:cstheme="minorHAnsi"/>
        </w:rPr>
        <w:t xml:space="preserve">. Available at: </w:t>
      </w:r>
      <w:r w:rsidR="00FA2CA4" w:rsidRPr="00346174">
        <w:rPr>
          <w:rFonts w:cstheme="minorHAnsi"/>
        </w:rPr>
        <w:t>http://intranet.fao.org/fileadmin/user_upload/scp/Standards_for_quality_compliance/StandardsSeries_M49_July_ENDORSED.docx</w:t>
      </w:r>
    </w:p>
    <w:p w:rsidR="00FA2CA4" w:rsidRDefault="00FA2CA4" w:rsidP="00FA2CA4">
      <w:pPr>
        <w:rPr>
          <w:rFonts w:cstheme="minorHAnsi"/>
        </w:rPr>
      </w:pPr>
      <w:r w:rsidRPr="00346174">
        <w:rPr>
          <w:rFonts w:cstheme="minorHAnsi"/>
        </w:rPr>
        <w:t xml:space="preserve">FAO (2018c) </w:t>
      </w:r>
      <w:r w:rsidRPr="00346174">
        <w:rPr>
          <w:rFonts w:cstheme="minorHAnsi"/>
          <w:i/>
        </w:rPr>
        <w:t>IDWG on Statistics Technical Task Force Meeting. Minutes 23 May 2018</w:t>
      </w:r>
      <w:r w:rsidRPr="00346174">
        <w:rPr>
          <w:rFonts w:cstheme="minorHAnsi"/>
        </w:rPr>
        <w:t xml:space="preserve">. Available at: </w:t>
      </w:r>
      <w:r w:rsidR="00324A9C" w:rsidRPr="00324A9C">
        <w:rPr>
          <w:rFonts w:cstheme="minorHAnsi"/>
        </w:rPr>
        <w:t>http://intranet.fao.org/fileadmin/user_upload/scp/IDWG/Minutes_IDWG_230518-final.docx</w:t>
      </w:r>
    </w:p>
    <w:p w:rsidR="00324A9C" w:rsidRPr="00346174" w:rsidRDefault="00324A9C" w:rsidP="00FA2CA4">
      <w:pPr>
        <w:rPr>
          <w:rFonts w:cstheme="minorHAnsi"/>
        </w:rPr>
      </w:pPr>
      <w:r>
        <w:rPr>
          <w:rFonts w:cstheme="minorHAnsi"/>
        </w:rPr>
        <w:t>OECD</w:t>
      </w:r>
      <w:r w:rsidRPr="00346174">
        <w:rPr>
          <w:rFonts w:cstheme="minorHAnsi"/>
        </w:rPr>
        <w:t xml:space="preserve"> (2007) </w:t>
      </w:r>
      <w:r w:rsidRPr="00324A9C">
        <w:rPr>
          <w:rFonts w:cstheme="minorHAnsi"/>
          <w:i/>
        </w:rPr>
        <w:t>Glossary of Statistical Terms</w:t>
      </w:r>
      <w:r w:rsidRPr="00346174">
        <w:rPr>
          <w:rFonts w:cstheme="minorHAnsi"/>
        </w:rPr>
        <w:t xml:space="preserve">. Available at: </w:t>
      </w:r>
      <w:r w:rsidRPr="00324A9C">
        <w:t>https://stats.oecd.org/glossary/</w:t>
      </w:r>
    </w:p>
    <w:p w:rsidR="00802FC0" w:rsidRPr="00346174" w:rsidRDefault="00802FC0" w:rsidP="00DF462D">
      <w:pPr>
        <w:jc w:val="both"/>
        <w:rPr>
          <w:rFonts w:cstheme="minorHAnsi"/>
        </w:rPr>
      </w:pPr>
      <w:r w:rsidRPr="00346174">
        <w:rPr>
          <w:rFonts w:cstheme="minorHAnsi"/>
        </w:rPr>
        <w:t xml:space="preserve">UK ONS (2007) </w:t>
      </w:r>
      <w:r w:rsidR="00DF462D" w:rsidRPr="00346174">
        <w:rPr>
          <w:rFonts w:cstheme="minorHAnsi"/>
          <w:i/>
        </w:rPr>
        <w:t>Guidelines for measuring statistical quality</w:t>
      </w:r>
      <w:r w:rsidR="00DF462D" w:rsidRPr="00346174">
        <w:rPr>
          <w:rFonts w:cstheme="minorHAnsi"/>
        </w:rPr>
        <w:t xml:space="preserve">. Version 3.1. Office for National Statistics. </w:t>
      </w:r>
      <w:r w:rsidRPr="00346174">
        <w:rPr>
          <w:rFonts w:cstheme="minorHAnsi"/>
        </w:rPr>
        <w:t>Available at: https://unstats.un.org/unsd/dnss/docs-nqaf/UK-Guidelines_Subject.pdf</w:t>
      </w:r>
    </w:p>
    <w:p w:rsidR="009E5C59" w:rsidRPr="00E42A6F" w:rsidRDefault="00802FC0" w:rsidP="00E42A6F">
      <w:pPr>
        <w:jc w:val="both"/>
        <w:rPr>
          <w:rFonts w:cstheme="minorHAnsi"/>
        </w:rPr>
      </w:pPr>
      <w:r w:rsidRPr="00346174">
        <w:rPr>
          <w:rFonts w:cstheme="minorHAnsi"/>
        </w:rPr>
        <w:t xml:space="preserve">UK ONS (2013) </w:t>
      </w:r>
      <w:r w:rsidR="00DF462D" w:rsidRPr="00346174">
        <w:rPr>
          <w:rFonts w:cstheme="minorHAnsi"/>
          <w:i/>
        </w:rPr>
        <w:t>Guidelines for Measuring Statistical Output Quality</w:t>
      </w:r>
      <w:r w:rsidR="00DF462D" w:rsidRPr="00346174">
        <w:rPr>
          <w:rFonts w:cstheme="minorHAnsi"/>
        </w:rPr>
        <w:t xml:space="preserve">. Version 4.1. Office for National Statistics. </w:t>
      </w:r>
      <w:r w:rsidRPr="00346174">
        <w:rPr>
          <w:rFonts w:cstheme="minorHAnsi"/>
        </w:rPr>
        <w:t>Available at: https://www.statisticsauthority.gov.uk/wp-content/uploads/2017/01/Guidelines-for-Measuring-Statistical-Outputs-Quality.pdf</w:t>
      </w:r>
    </w:p>
    <w:sectPr w:rsidR="009E5C59" w:rsidRPr="00E42A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FF0" w:rsidRDefault="00476FF0" w:rsidP="000F04BF">
      <w:pPr>
        <w:spacing w:after="0" w:line="240" w:lineRule="auto"/>
      </w:pPr>
      <w:r>
        <w:separator/>
      </w:r>
    </w:p>
  </w:endnote>
  <w:endnote w:type="continuationSeparator" w:id="0">
    <w:p w:rsidR="00476FF0" w:rsidRDefault="00476FF0" w:rsidP="000F0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879" w:rsidRDefault="00524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551180"/>
      <w:docPartObj>
        <w:docPartGallery w:val="Page Numbers (Bottom of Page)"/>
        <w:docPartUnique/>
      </w:docPartObj>
    </w:sdtPr>
    <w:sdtEndPr>
      <w:rPr>
        <w:noProof/>
      </w:rPr>
    </w:sdtEndPr>
    <w:sdtContent>
      <w:p w:rsidR="00524879" w:rsidRDefault="00524879">
        <w:pPr>
          <w:pStyle w:val="Footer"/>
          <w:jc w:val="center"/>
        </w:pPr>
        <w:r>
          <w:fldChar w:fldCharType="begin"/>
        </w:r>
        <w:r>
          <w:instrText xml:space="preserve"> PAGE   \* MERGEFORMAT </w:instrText>
        </w:r>
        <w:r>
          <w:fldChar w:fldCharType="separate"/>
        </w:r>
        <w:r w:rsidR="00DF5CCB">
          <w:rPr>
            <w:noProof/>
          </w:rPr>
          <w:t>1</w:t>
        </w:r>
        <w:r>
          <w:rPr>
            <w:noProof/>
          </w:rPr>
          <w:fldChar w:fldCharType="end"/>
        </w:r>
      </w:p>
    </w:sdtContent>
  </w:sdt>
  <w:p w:rsidR="00524879" w:rsidRDefault="00524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879" w:rsidRDefault="00524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FF0" w:rsidRDefault="00476FF0" w:rsidP="000F04BF">
      <w:pPr>
        <w:spacing w:after="0" w:line="240" w:lineRule="auto"/>
      </w:pPr>
      <w:r>
        <w:separator/>
      </w:r>
    </w:p>
  </w:footnote>
  <w:footnote w:type="continuationSeparator" w:id="0">
    <w:p w:rsidR="00476FF0" w:rsidRDefault="00476FF0" w:rsidP="000F04BF">
      <w:pPr>
        <w:spacing w:after="0" w:line="240" w:lineRule="auto"/>
      </w:pPr>
      <w:r>
        <w:continuationSeparator/>
      </w:r>
    </w:p>
  </w:footnote>
  <w:footnote w:id="1">
    <w:p w:rsidR="00524879" w:rsidRPr="00E63412" w:rsidRDefault="00524879">
      <w:pPr>
        <w:pStyle w:val="FootnoteText"/>
        <w:rPr>
          <w:lang w:val="en-GB"/>
        </w:rPr>
      </w:pPr>
      <w:r w:rsidRPr="00E63412">
        <w:rPr>
          <w:rStyle w:val="FootnoteReference"/>
        </w:rPr>
        <w:footnoteRef/>
      </w:r>
      <w:r w:rsidRPr="00E63412">
        <w:t xml:space="preserve"> Annex 1 of the ‘Reporting on Data Quality Principles […]’ report (FAO, 2011) refers mainly to two publications: Eurostat “Handbook on Data Quality Assessment Methods and Tools” (EC, 2007) and UK “Guidelines for measuring statistical quality” (UK ONS, 2007; UK ONS, 2013).</w:t>
      </w:r>
    </w:p>
  </w:footnote>
  <w:footnote w:id="2">
    <w:p w:rsidR="00524879" w:rsidRPr="00E63412" w:rsidRDefault="00524879">
      <w:pPr>
        <w:pStyle w:val="FootnoteText"/>
        <w:rPr>
          <w:lang w:val="en-GB"/>
        </w:rPr>
      </w:pPr>
      <w:r>
        <w:rPr>
          <w:rStyle w:val="FootnoteReference"/>
        </w:rPr>
        <w:footnoteRef/>
      </w:r>
      <w:r>
        <w:t xml:space="preserve"> </w:t>
      </w:r>
      <w:r w:rsidRPr="00E63412">
        <w:t>Th</w:t>
      </w:r>
      <w:r>
        <w:t>e t</w:t>
      </w:r>
      <w:r w:rsidRPr="00E63412">
        <w:t>ree plugins related to quality indicators identified in SWS-QA are: “Quality Indicator Report”, “Quality indicators - aproduction” and “Write Quality Indicators – Production module”.</w:t>
      </w:r>
    </w:p>
  </w:footnote>
  <w:footnote w:id="3">
    <w:p w:rsidR="00524879" w:rsidRPr="000D7739" w:rsidRDefault="00524879" w:rsidP="00525B1B">
      <w:pPr>
        <w:pStyle w:val="FootnoteText"/>
        <w:spacing w:after="120"/>
        <w:jc w:val="both"/>
      </w:pPr>
      <w:r>
        <w:rPr>
          <w:rStyle w:val="FootnoteReference"/>
        </w:rPr>
        <w:footnoteRef/>
      </w:r>
      <w:r>
        <w:t xml:space="preserve"> The automatic proxy intends to overcome some issues that may exist with the registration of zero (0), missing value (O) and not applicable (M) data points in SWS. For example, missing values may be recorded in SWS as 0-O, and not applicable values as 0-M. However, in some cases both missing values and not applicable values may have been recorded as blank-blank. It may also happen that zero, negligible and not applicable values all appear as missing data records (0-O) in SWS, if respondents do not appropriately flag ‘not applicable’ data points (0-M) and also leave blank the cells associated with zero values (0) and negligible values (0-N). Therefore, </w:t>
      </w:r>
      <w:r w:rsidRPr="00D33950">
        <w:t>for the sake of comparability</w:t>
      </w:r>
      <w:r>
        <w:t>, some of the 0-O records (those that may represent not applicable data points) are excluded from the number of expected data points, while some of the blank–blank records (those that may represent missing values) are included.</w:t>
      </w:r>
    </w:p>
  </w:footnote>
  <w:footnote w:id="4">
    <w:p w:rsidR="00524879" w:rsidRPr="00341440" w:rsidRDefault="00524879" w:rsidP="00ED064D">
      <w:pPr>
        <w:pStyle w:val="FootnoteText"/>
        <w:jc w:val="both"/>
        <w:rPr>
          <w:lang w:val="en-GB"/>
        </w:rPr>
      </w:pPr>
      <w:r>
        <w:rPr>
          <w:rStyle w:val="FootnoteReference"/>
        </w:rPr>
        <w:footnoteRef/>
      </w:r>
      <w:r>
        <w:t xml:space="preserve"> These ‘zero</w:t>
      </w:r>
      <w:r>
        <w:rPr>
          <w:lang w:val="en-GB"/>
        </w:rPr>
        <w:t>’ values may include some ‘true’ values (even official values). However, they are excluded from the scope of this count (</w:t>
      </w:r>
      <w:r w:rsidRPr="00CE4317">
        <w:rPr>
          <w:u w:val="single"/>
          <w:lang w:val="en-GB"/>
        </w:rPr>
        <w:t>if</w:t>
      </w:r>
      <w:r>
        <w:rPr>
          <w:lang w:val="en-GB"/>
        </w:rPr>
        <w:t xml:space="preserve"> no value different from zero appears in the entire time series) because zero values may not be registered in certain datasets while they may represent a large share in certain others. Therefore, counting them could hinder clarity and comparability in the resulting indicator. </w:t>
      </w:r>
    </w:p>
  </w:footnote>
  <w:footnote w:id="5">
    <w:p w:rsidR="00524879" w:rsidRPr="00607240" w:rsidRDefault="00524879" w:rsidP="00697E8B">
      <w:pPr>
        <w:pStyle w:val="FootnoteText"/>
        <w:jc w:val="both"/>
        <w:rPr>
          <w:lang w:val="en-GB"/>
        </w:rPr>
      </w:pPr>
      <w:r w:rsidRPr="00697E8B">
        <w:rPr>
          <w:rStyle w:val="FootnoteReference"/>
        </w:rPr>
        <w:footnoteRef/>
      </w:r>
      <w:r w:rsidRPr="00697E8B">
        <w:t xml:space="preserve"> </w:t>
      </w:r>
      <w:r w:rsidR="002275A4">
        <w:t>Measuring accuracy through this indicator implies assuming that the o</w:t>
      </w:r>
      <w:r w:rsidRPr="00697E8B">
        <w:t xml:space="preserve">fficial data </w:t>
      </w:r>
      <w:r w:rsidR="002275A4">
        <w:t>disseminated are</w:t>
      </w:r>
      <w:r w:rsidRPr="00697E8B">
        <w:t xml:space="preserve"> more accurate than </w:t>
      </w:r>
      <w:r w:rsidR="002275A4">
        <w:t xml:space="preserve">the </w:t>
      </w:r>
      <w:r w:rsidRPr="00697E8B">
        <w:t>non-official or imputed data</w:t>
      </w:r>
      <w:r w:rsidR="002275A4">
        <w:t xml:space="preserve"> disseminated</w:t>
      </w:r>
      <w:r w:rsidRPr="00697E8B">
        <w:t>. FAO recommendations on reporting on data quality include the proportion of imputed data points as one of the indicators related to</w:t>
      </w:r>
      <w:r w:rsidR="002275A4">
        <w:t xml:space="preserve"> accuracy (FAO 2011, FAO 2016a). Notwithstanding, additional analyses of the accuracy of data could be used to complement this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879" w:rsidRDefault="00524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879" w:rsidRDefault="005248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879" w:rsidRDefault="00524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867"/>
    <w:multiLevelType w:val="hybridMultilevel"/>
    <w:tmpl w:val="F9C4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284A"/>
    <w:multiLevelType w:val="hybridMultilevel"/>
    <w:tmpl w:val="83F48EC4"/>
    <w:lvl w:ilvl="0" w:tplc="9C5CE53A">
      <w:numFmt w:val="bullet"/>
      <w:lvlText w:val=""/>
      <w:lvlJc w:val="left"/>
      <w:pPr>
        <w:ind w:left="720" w:hanging="360"/>
      </w:pPr>
      <w:rPr>
        <w:rFonts w:ascii="Wingdings 2" w:eastAsiaTheme="minorEastAsia"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C0D94"/>
    <w:multiLevelType w:val="hybridMultilevel"/>
    <w:tmpl w:val="2A508C22"/>
    <w:lvl w:ilvl="0" w:tplc="3FF86DD2">
      <w:numFmt w:val="bullet"/>
      <w:lvlText w:val=""/>
      <w:lvlJc w:val="left"/>
      <w:pPr>
        <w:ind w:left="717" w:hanging="360"/>
      </w:pPr>
      <w:rPr>
        <w:rFonts w:ascii="Wingdings" w:eastAsiaTheme="minorEastAsia"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1423339F"/>
    <w:multiLevelType w:val="hybridMultilevel"/>
    <w:tmpl w:val="20F26DFC"/>
    <w:lvl w:ilvl="0" w:tplc="9C5CE53A">
      <w:numFmt w:val="bullet"/>
      <w:lvlText w:val=""/>
      <w:lvlJc w:val="left"/>
      <w:pPr>
        <w:ind w:left="720" w:hanging="360"/>
      </w:pPr>
      <w:rPr>
        <w:rFonts w:ascii="Wingdings 2" w:eastAsiaTheme="minorEastAsia"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2D3A77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DD7E24"/>
    <w:multiLevelType w:val="hybridMultilevel"/>
    <w:tmpl w:val="491AD542"/>
    <w:lvl w:ilvl="0" w:tplc="3FF86DD2">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33596"/>
    <w:multiLevelType w:val="hybridMultilevel"/>
    <w:tmpl w:val="DBFABAD8"/>
    <w:lvl w:ilvl="0" w:tplc="9C5CE53A">
      <w:numFmt w:val="bullet"/>
      <w:lvlText w:val=""/>
      <w:lvlJc w:val="left"/>
      <w:pPr>
        <w:ind w:left="720" w:hanging="360"/>
      </w:pPr>
      <w:rPr>
        <w:rFonts w:ascii="Wingdings 2" w:eastAsiaTheme="minorEastAsia"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265DA"/>
    <w:multiLevelType w:val="hybridMultilevel"/>
    <w:tmpl w:val="3CF0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35E34"/>
    <w:multiLevelType w:val="hybridMultilevel"/>
    <w:tmpl w:val="71424B88"/>
    <w:lvl w:ilvl="0" w:tplc="3FF86DD2">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51698"/>
    <w:multiLevelType w:val="hybridMultilevel"/>
    <w:tmpl w:val="3A62188A"/>
    <w:lvl w:ilvl="0" w:tplc="9C5CE53A">
      <w:numFmt w:val="bullet"/>
      <w:lvlText w:val=""/>
      <w:lvlJc w:val="left"/>
      <w:pPr>
        <w:ind w:left="720" w:hanging="360"/>
      </w:pPr>
      <w:rPr>
        <w:rFonts w:ascii="Wingdings 2" w:eastAsiaTheme="minorEastAsia"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D6D15"/>
    <w:multiLevelType w:val="hybridMultilevel"/>
    <w:tmpl w:val="B96C15F4"/>
    <w:lvl w:ilvl="0" w:tplc="3FF86DD2">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572AB"/>
    <w:multiLevelType w:val="hybridMultilevel"/>
    <w:tmpl w:val="AFBA04B2"/>
    <w:lvl w:ilvl="0" w:tplc="3FF86DD2">
      <w:numFmt w:val="bullet"/>
      <w:lvlText w:val=""/>
      <w:lvlJc w:val="left"/>
      <w:pPr>
        <w:ind w:left="717" w:hanging="360"/>
      </w:pPr>
      <w:rPr>
        <w:rFonts w:ascii="Wingdings" w:eastAsiaTheme="minorEastAsia"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15:restartNumberingAfterBreak="0">
    <w:nsid w:val="3ECC4914"/>
    <w:multiLevelType w:val="hybridMultilevel"/>
    <w:tmpl w:val="3E862B0A"/>
    <w:lvl w:ilvl="0" w:tplc="9C5CE53A">
      <w:numFmt w:val="bullet"/>
      <w:lvlText w:val=""/>
      <w:lvlJc w:val="left"/>
      <w:pPr>
        <w:ind w:left="720" w:hanging="360"/>
      </w:pPr>
      <w:rPr>
        <w:rFonts w:ascii="Wingdings 2" w:eastAsiaTheme="minorEastAsia"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C06E2"/>
    <w:multiLevelType w:val="hybridMultilevel"/>
    <w:tmpl w:val="52783F4C"/>
    <w:lvl w:ilvl="0" w:tplc="9C5CE53A">
      <w:numFmt w:val="bullet"/>
      <w:lvlText w:val=""/>
      <w:lvlJc w:val="left"/>
      <w:pPr>
        <w:ind w:left="720" w:hanging="360"/>
      </w:pPr>
      <w:rPr>
        <w:rFonts w:ascii="Wingdings 2" w:eastAsiaTheme="minorEastAsia"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257FC"/>
    <w:multiLevelType w:val="hybridMultilevel"/>
    <w:tmpl w:val="50CAAAA2"/>
    <w:lvl w:ilvl="0" w:tplc="3FF86DD2">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91D8A"/>
    <w:multiLevelType w:val="hybridMultilevel"/>
    <w:tmpl w:val="A03C8718"/>
    <w:lvl w:ilvl="0" w:tplc="9C5CE53A">
      <w:numFmt w:val="bullet"/>
      <w:lvlText w:val=""/>
      <w:lvlJc w:val="left"/>
      <w:pPr>
        <w:ind w:left="720" w:hanging="360"/>
      </w:pPr>
      <w:rPr>
        <w:rFonts w:ascii="Wingdings 2" w:eastAsiaTheme="minorEastAsia"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359DA"/>
    <w:multiLevelType w:val="hybridMultilevel"/>
    <w:tmpl w:val="5FC2F71E"/>
    <w:lvl w:ilvl="0" w:tplc="5CCC7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16B17"/>
    <w:multiLevelType w:val="hybridMultilevel"/>
    <w:tmpl w:val="394C7F38"/>
    <w:lvl w:ilvl="0" w:tplc="9C5CE53A">
      <w:numFmt w:val="bullet"/>
      <w:lvlText w:val=""/>
      <w:lvlJc w:val="left"/>
      <w:pPr>
        <w:ind w:left="720" w:hanging="360"/>
      </w:pPr>
      <w:rPr>
        <w:rFonts w:ascii="Wingdings 2" w:eastAsiaTheme="minorEastAsia"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A175D"/>
    <w:multiLevelType w:val="hybridMultilevel"/>
    <w:tmpl w:val="E0ACA026"/>
    <w:lvl w:ilvl="0" w:tplc="3FF86DD2">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61C72"/>
    <w:multiLevelType w:val="hybridMultilevel"/>
    <w:tmpl w:val="CC4E6394"/>
    <w:lvl w:ilvl="0" w:tplc="3FF86DD2">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3"/>
  </w:num>
  <w:num w:numId="4">
    <w:abstractNumId w:val="16"/>
  </w:num>
  <w:num w:numId="5">
    <w:abstractNumId w:val="8"/>
  </w:num>
  <w:num w:numId="6">
    <w:abstractNumId w:val="6"/>
  </w:num>
  <w:num w:numId="7">
    <w:abstractNumId w:val="19"/>
  </w:num>
  <w:num w:numId="8">
    <w:abstractNumId w:val="3"/>
  </w:num>
  <w:num w:numId="9">
    <w:abstractNumId w:val="14"/>
  </w:num>
  <w:num w:numId="10">
    <w:abstractNumId w:val="9"/>
  </w:num>
  <w:num w:numId="11">
    <w:abstractNumId w:val="18"/>
  </w:num>
  <w:num w:numId="12">
    <w:abstractNumId w:val="15"/>
  </w:num>
  <w:num w:numId="13">
    <w:abstractNumId w:val="17"/>
  </w:num>
  <w:num w:numId="14">
    <w:abstractNumId w:val="12"/>
  </w:num>
  <w:num w:numId="15">
    <w:abstractNumId w:val="10"/>
  </w:num>
  <w:num w:numId="16">
    <w:abstractNumId w:val="1"/>
  </w:num>
  <w:num w:numId="17">
    <w:abstractNumId w:val="7"/>
  </w:num>
  <w:num w:numId="18">
    <w:abstractNumId w:val="2"/>
  </w:num>
  <w:num w:numId="19">
    <w:abstractNumId w:val="11"/>
  </w:num>
  <w:num w:numId="20">
    <w:abstractNumId w:val="4"/>
  </w:num>
  <w:num w:numId="21">
    <w:abstractNumId w:val="4"/>
  </w:num>
  <w:num w:numId="22">
    <w:abstractNumId w:val="4"/>
  </w:num>
  <w:num w:numId="2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59"/>
    <w:rsid w:val="00012EFD"/>
    <w:rsid w:val="00024DD2"/>
    <w:rsid w:val="000319F8"/>
    <w:rsid w:val="0003687A"/>
    <w:rsid w:val="00044448"/>
    <w:rsid w:val="00052C00"/>
    <w:rsid w:val="0006399D"/>
    <w:rsid w:val="000A0FB8"/>
    <w:rsid w:val="000A660A"/>
    <w:rsid w:val="000B2106"/>
    <w:rsid w:val="000C07B6"/>
    <w:rsid w:val="000C3CB2"/>
    <w:rsid w:val="000D7739"/>
    <w:rsid w:val="000F04BF"/>
    <w:rsid w:val="000F112D"/>
    <w:rsid w:val="00107EB5"/>
    <w:rsid w:val="00122E59"/>
    <w:rsid w:val="00123EAA"/>
    <w:rsid w:val="001270B1"/>
    <w:rsid w:val="0013228E"/>
    <w:rsid w:val="00133FE4"/>
    <w:rsid w:val="0013542E"/>
    <w:rsid w:val="001445B6"/>
    <w:rsid w:val="001454B4"/>
    <w:rsid w:val="00147864"/>
    <w:rsid w:val="00162C31"/>
    <w:rsid w:val="00163F41"/>
    <w:rsid w:val="00176DE9"/>
    <w:rsid w:val="0018583F"/>
    <w:rsid w:val="00192267"/>
    <w:rsid w:val="001B11BF"/>
    <w:rsid w:val="001B2634"/>
    <w:rsid w:val="001D14F0"/>
    <w:rsid w:val="001D4737"/>
    <w:rsid w:val="001E3DFC"/>
    <w:rsid w:val="001F05CE"/>
    <w:rsid w:val="001F19A1"/>
    <w:rsid w:val="001F1A02"/>
    <w:rsid w:val="001F7CAB"/>
    <w:rsid w:val="002000F2"/>
    <w:rsid w:val="00200836"/>
    <w:rsid w:val="0020482E"/>
    <w:rsid w:val="002275A4"/>
    <w:rsid w:val="00233A44"/>
    <w:rsid w:val="00251AE9"/>
    <w:rsid w:val="002547A0"/>
    <w:rsid w:val="002659AB"/>
    <w:rsid w:val="0026738F"/>
    <w:rsid w:val="00276DCF"/>
    <w:rsid w:val="0028541F"/>
    <w:rsid w:val="0028662B"/>
    <w:rsid w:val="00294763"/>
    <w:rsid w:val="0029552C"/>
    <w:rsid w:val="0029607B"/>
    <w:rsid w:val="002A122A"/>
    <w:rsid w:val="002B4968"/>
    <w:rsid w:val="002C0E89"/>
    <w:rsid w:val="002C432C"/>
    <w:rsid w:val="002D0158"/>
    <w:rsid w:val="002D3043"/>
    <w:rsid w:val="002D6798"/>
    <w:rsid w:val="002E5D6A"/>
    <w:rsid w:val="00302F62"/>
    <w:rsid w:val="00304E93"/>
    <w:rsid w:val="003238C8"/>
    <w:rsid w:val="00323F0E"/>
    <w:rsid w:val="00324A9C"/>
    <w:rsid w:val="003407B5"/>
    <w:rsid w:val="00341440"/>
    <w:rsid w:val="00346174"/>
    <w:rsid w:val="003567B8"/>
    <w:rsid w:val="0037221C"/>
    <w:rsid w:val="0038278A"/>
    <w:rsid w:val="0038299D"/>
    <w:rsid w:val="0039011C"/>
    <w:rsid w:val="003922F7"/>
    <w:rsid w:val="003B64DE"/>
    <w:rsid w:val="003C165A"/>
    <w:rsid w:val="003C69C8"/>
    <w:rsid w:val="003E03D8"/>
    <w:rsid w:val="003E1EB6"/>
    <w:rsid w:val="003E3635"/>
    <w:rsid w:val="003E6EE4"/>
    <w:rsid w:val="003F3F19"/>
    <w:rsid w:val="003F5F94"/>
    <w:rsid w:val="003F6276"/>
    <w:rsid w:val="004121BF"/>
    <w:rsid w:val="00423932"/>
    <w:rsid w:val="0043236B"/>
    <w:rsid w:val="00436D42"/>
    <w:rsid w:val="004450F4"/>
    <w:rsid w:val="00447599"/>
    <w:rsid w:val="004566E5"/>
    <w:rsid w:val="00457F04"/>
    <w:rsid w:val="00476FF0"/>
    <w:rsid w:val="0049007A"/>
    <w:rsid w:val="00491A1C"/>
    <w:rsid w:val="0049369D"/>
    <w:rsid w:val="004B4B4C"/>
    <w:rsid w:val="004E47DE"/>
    <w:rsid w:val="004E7A63"/>
    <w:rsid w:val="004F54F5"/>
    <w:rsid w:val="0050651D"/>
    <w:rsid w:val="00524879"/>
    <w:rsid w:val="00525B1B"/>
    <w:rsid w:val="005432EC"/>
    <w:rsid w:val="0054744A"/>
    <w:rsid w:val="005559C5"/>
    <w:rsid w:val="00571D6D"/>
    <w:rsid w:val="005804B3"/>
    <w:rsid w:val="00583E37"/>
    <w:rsid w:val="0059069F"/>
    <w:rsid w:val="005A6A5E"/>
    <w:rsid w:val="005A6E66"/>
    <w:rsid w:val="005C28BB"/>
    <w:rsid w:val="005E00F5"/>
    <w:rsid w:val="005E0C56"/>
    <w:rsid w:val="005F5474"/>
    <w:rsid w:val="00601765"/>
    <w:rsid w:val="00607240"/>
    <w:rsid w:val="00611C3D"/>
    <w:rsid w:val="00623846"/>
    <w:rsid w:val="00636153"/>
    <w:rsid w:val="00640D7A"/>
    <w:rsid w:val="00640E10"/>
    <w:rsid w:val="00641040"/>
    <w:rsid w:val="00643E50"/>
    <w:rsid w:val="00650630"/>
    <w:rsid w:val="0065359F"/>
    <w:rsid w:val="0066050B"/>
    <w:rsid w:val="006718C1"/>
    <w:rsid w:val="0068190B"/>
    <w:rsid w:val="00693297"/>
    <w:rsid w:val="00697E8B"/>
    <w:rsid w:val="006A1657"/>
    <w:rsid w:val="006B4BBB"/>
    <w:rsid w:val="006E1ECD"/>
    <w:rsid w:val="006E3CCE"/>
    <w:rsid w:val="006E45C4"/>
    <w:rsid w:val="00723911"/>
    <w:rsid w:val="007252B2"/>
    <w:rsid w:val="007317DF"/>
    <w:rsid w:val="00731A03"/>
    <w:rsid w:val="0073237A"/>
    <w:rsid w:val="0073642D"/>
    <w:rsid w:val="00746855"/>
    <w:rsid w:val="00756D0C"/>
    <w:rsid w:val="0076531D"/>
    <w:rsid w:val="00767418"/>
    <w:rsid w:val="0078203A"/>
    <w:rsid w:val="00784F33"/>
    <w:rsid w:val="007B16D1"/>
    <w:rsid w:val="007D61BD"/>
    <w:rsid w:val="007D6530"/>
    <w:rsid w:val="007E7D8B"/>
    <w:rsid w:val="007F5610"/>
    <w:rsid w:val="00802FC0"/>
    <w:rsid w:val="0080496F"/>
    <w:rsid w:val="00804F34"/>
    <w:rsid w:val="00816BB6"/>
    <w:rsid w:val="00835614"/>
    <w:rsid w:val="00840B9F"/>
    <w:rsid w:val="00841FBC"/>
    <w:rsid w:val="00853C0C"/>
    <w:rsid w:val="008614D3"/>
    <w:rsid w:val="00867379"/>
    <w:rsid w:val="00873B3D"/>
    <w:rsid w:val="008945E6"/>
    <w:rsid w:val="00894FFF"/>
    <w:rsid w:val="008A461C"/>
    <w:rsid w:val="008B02A7"/>
    <w:rsid w:val="008D1186"/>
    <w:rsid w:val="008D3CBB"/>
    <w:rsid w:val="008E362E"/>
    <w:rsid w:val="008F27CB"/>
    <w:rsid w:val="008F6226"/>
    <w:rsid w:val="009035E2"/>
    <w:rsid w:val="00911769"/>
    <w:rsid w:val="009164C7"/>
    <w:rsid w:val="009311B8"/>
    <w:rsid w:val="0094785C"/>
    <w:rsid w:val="009531EF"/>
    <w:rsid w:val="009600DB"/>
    <w:rsid w:val="0097180C"/>
    <w:rsid w:val="00973FCB"/>
    <w:rsid w:val="00974A33"/>
    <w:rsid w:val="00984022"/>
    <w:rsid w:val="00990FA5"/>
    <w:rsid w:val="009A02B7"/>
    <w:rsid w:val="009B1744"/>
    <w:rsid w:val="009C01F6"/>
    <w:rsid w:val="009C4718"/>
    <w:rsid w:val="009D758B"/>
    <w:rsid w:val="009E5C59"/>
    <w:rsid w:val="009F0292"/>
    <w:rsid w:val="009F09D0"/>
    <w:rsid w:val="00A06B69"/>
    <w:rsid w:val="00A11DAA"/>
    <w:rsid w:val="00A13D6B"/>
    <w:rsid w:val="00A50623"/>
    <w:rsid w:val="00A702F4"/>
    <w:rsid w:val="00A80E3C"/>
    <w:rsid w:val="00A8435F"/>
    <w:rsid w:val="00AA7F5A"/>
    <w:rsid w:val="00AB45B3"/>
    <w:rsid w:val="00AB465D"/>
    <w:rsid w:val="00AB59EB"/>
    <w:rsid w:val="00AB5AE3"/>
    <w:rsid w:val="00AD1B5C"/>
    <w:rsid w:val="00AE4FC3"/>
    <w:rsid w:val="00AE5D6E"/>
    <w:rsid w:val="00AF7990"/>
    <w:rsid w:val="00B03E85"/>
    <w:rsid w:val="00B155E1"/>
    <w:rsid w:val="00B33270"/>
    <w:rsid w:val="00B36019"/>
    <w:rsid w:val="00B60542"/>
    <w:rsid w:val="00B629F1"/>
    <w:rsid w:val="00B76890"/>
    <w:rsid w:val="00B85C0F"/>
    <w:rsid w:val="00B87B16"/>
    <w:rsid w:val="00B97D7F"/>
    <w:rsid w:val="00BA4305"/>
    <w:rsid w:val="00BB7D99"/>
    <w:rsid w:val="00BC5D9B"/>
    <w:rsid w:val="00BD17B5"/>
    <w:rsid w:val="00BD2F81"/>
    <w:rsid w:val="00BD4401"/>
    <w:rsid w:val="00BD7DA0"/>
    <w:rsid w:val="00BE6E94"/>
    <w:rsid w:val="00BF295F"/>
    <w:rsid w:val="00C06EEF"/>
    <w:rsid w:val="00C164D3"/>
    <w:rsid w:val="00C26D8D"/>
    <w:rsid w:val="00C31175"/>
    <w:rsid w:val="00C437AB"/>
    <w:rsid w:val="00C440B8"/>
    <w:rsid w:val="00C47B4C"/>
    <w:rsid w:val="00C61357"/>
    <w:rsid w:val="00C6150C"/>
    <w:rsid w:val="00C63339"/>
    <w:rsid w:val="00C6692E"/>
    <w:rsid w:val="00C761FA"/>
    <w:rsid w:val="00CA11FA"/>
    <w:rsid w:val="00CB1AA6"/>
    <w:rsid w:val="00CB34C9"/>
    <w:rsid w:val="00CC106C"/>
    <w:rsid w:val="00CE07AE"/>
    <w:rsid w:val="00CE4317"/>
    <w:rsid w:val="00D073BB"/>
    <w:rsid w:val="00D14801"/>
    <w:rsid w:val="00D21C14"/>
    <w:rsid w:val="00D32822"/>
    <w:rsid w:val="00D32D49"/>
    <w:rsid w:val="00D33950"/>
    <w:rsid w:val="00D37145"/>
    <w:rsid w:val="00D37CC8"/>
    <w:rsid w:val="00D41951"/>
    <w:rsid w:val="00D46E81"/>
    <w:rsid w:val="00D4788E"/>
    <w:rsid w:val="00D509CC"/>
    <w:rsid w:val="00D5293D"/>
    <w:rsid w:val="00D55FB0"/>
    <w:rsid w:val="00D64DAF"/>
    <w:rsid w:val="00D722E8"/>
    <w:rsid w:val="00DA0638"/>
    <w:rsid w:val="00DB425F"/>
    <w:rsid w:val="00DC2D9A"/>
    <w:rsid w:val="00DC5BCB"/>
    <w:rsid w:val="00DE2BC2"/>
    <w:rsid w:val="00DE365D"/>
    <w:rsid w:val="00DE36F0"/>
    <w:rsid w:val="00DE3C0F"/>
    <w:rsid w:val="00DE474A"/>
    <w:rsid w:val="00DF462D"/>
    <w:rsid w:val="00DF4ABB"/>
    <w:rsid w:val="00DF5CCB"/>
    <w:rsid w:val="00E06D37"/>
    <w:rsid w:val="00E07B14"/>
    <w:rsid w:val="00E106AF"/>
    <w:rsid w:val="00E22ECD"/>
    <w:rsid w:val="00E34F97"/>
    <w:rsid w:val="00E35934"/>
    <w:rsid w:val="00E40459"/>
    <w:rsid w:val="00E42A6F"/>
    <w:rsid w:val="00E45070"/>
    <w:rsid w:val="00E61BBF"/>
    <w:rsid w:val="00E63412"/>
    <w:rsid w:val="00E86470"/>
    <w:rsid w:val="00EB3E2E"/>
    <w:rsid w:val="00EB41AB"/>
    <w:rsid w:val="00EC10B8"/>
    <w:rsid w:val="00ED064D"/>
    <w:rsid w:val="00ED752E"/>
    <w:rsid w:val="00EF443F"/>
    <w:rsid w:val="00F006AE"/>
    <w:rsid w:val="00F10928"/>
    <w:rsid w:val="00F13BA2"/>
    <w:rsid w:val="00F15529"/>
    <w:rsid w:val="00F22732"/>
    <w:rsid w:val="00F24FEF"/>
    <w:rsid w:val="00F30A27"/>
    <w:rsid w:val="00F366F3"/>
    <w:rsid w:val="00F43F79"/>
    <w:rsid w:val="00F46800"/>
    <w:rsid w:val="00F47EE5"/>
    <w:rsid w:val="00F50698"/>
    <w:rsid w:val="00F575D5"/>
    <w:rsid w:val="00F61742"/>
    <w:rsid w:val="00F6588E"/>
    <w:rsid w:val="00F70532"/>
    <w:rsid w:val="00F742C2"/>
    <w:rsid w:val="00F775D0"/>
    <w:rsid w:val="00F940B5"/>
    <w:rsid w:val="00FA2CA4"/>
    <w:rsid w:val="00FA2CCD"/>
    <w:rsid w:val="00FB0B62"/>
    <w:rsid w:val="00FB7A6D"/>
    <w:rsid w:val="00FC1A71"/>
    <w:rsid w:val="00FC288B"/>
    <w:rsid w:val="00FC6534"/>
    <w:rsid w:val="00FD69EE"/>
    <w:rsid w:val="00FD7CB6"/>
    <w:rsid w:val="00FE75FA"/>
    <w:rsid w:val="00FF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78A"/>
  </w:style>
  <w:style w:type="paragraph" w:styleId="Heading1">
    <w:name w:val="heading 1"/>
    <w:basedOn w:val="Normal"/>
    <w:next w:val="Normal"/>
    <w:link w:val="Heading1Char"/>
    <w:uiPriority w:val="9"/>
    <w:qFormat/>
    <w:rsid w:val="0038278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278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278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278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278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8278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82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2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2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8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278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278A"/>
    <w:rPr>
      <w:rFonts w:asciiTheme="majorHAnsi" w:eastAsiaTheme="majorEastAsia" w:hAnsiTheme="majorHAnsi" w:cstheme="majorBidi"/>
      <w:b/>
      <w:bCs/>
      <w:color w:val="000000" w:themeColor="text1"/>
    </w:rPr>
  </w:style>
  <w:style w:type="character" w:styleId="Hyperlink">
    <w:name w:val="Hyperlink"/>
    <w:basedOn w:val="DefaultParagraphFont"/>
    <w:uiPriority w:val="99"/>
    <w:unhideWhenUsed/>
    <w:rsid w:val="009164C7"/>
    <w:rPr>
      <w:color w:val="0563C1" w:themeColor="hyperlink"/>
      <w:u w:val="single"/>
    </w:rPr>
  </w:style>
  <w:style w:type="paragraph" w:customStyle="1" w:styleId="Default">
    <w:name w:val="Default"/>
    <w:rsid w:val="00491A1C"/>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8278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278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8278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827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27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27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278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827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278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278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278A"/>
    <w:rPr>
      <w:color w:val="5A5A5A" w:themeColor="text1" w:themeTint="A5"/>
      <w:spacing w:val="10"/>
    </w:rPr>
  </w:style>
  <w:style w:type="character" w:styleId="Strong">
    <w:name w:val="Strong"/>
    <w:basedOn w:val="DefaultParagraphFont"/>
    <w:uiPriority w:val="22"/>
    <w:qFormat/>
    <w:rsid w:val="0038278A"/>
    <w:rPr>
      <w:b/>
      <w:bCs/>
      <w:color w:val="000000" w:themeColor="text1"/>
    </w:rPr>
  </w:style>
  <w:style w:type="character" w:styleId="Emphasis">
    <w:name w:val="Emphasis"/>
    <w:basedOn w:val="DefaultParagraphFont"/>
    <w:uiPriority w:val="20"/>
    <w:qFormat/>
    <w:rsid w:val="0038278A"/>
    <w:rPr>
      <w:i/>
      <w:iCs/>
      <w:color w:val="auto"/>
    </w:rPr>
  </w:style>
  <w:style w:type="paragraph" w:styleId="NoSpacing">
    <w:name w:val="No Spacing"/>
    <w:uiPriority w:val="1"/>
    <w:qFormat/>
    <w:rsid w:val="0038278A"/>
    <w:pPr>
      <w:spacing w:after="0" w:line="240" w:lineRule="auto"/>
    </w:pPr>
  </w:style>
  <w:style w:type="paragraph" w:styleId="Quote">
    <w:name w:val="Quote"/>
    <w:basedOn w:val="Normal"/>
    <w:next w:val="Normal"/>
    <w:link w:val="QuoteChar"/>
    <w:uiPriority w:val="29"/>
    <w:qFormat/>
    <w:rsid w:val="0038278A"/>
    <w:pPr>
      <w:spacing w:before="160"/>
      <w:ind w:left="720" w:right="720"/>
    </w:pPr>
    <w:rPr>
      <w:i/>
      <w:iCs/>
      <w:color w:val="000000" w:themeColor="text1"/>
    </w:rPr>
  </w:style>
  <w:style w:type="character" w:customStyle="1" w:styleId="QuoteChar">
    <w:name w:val="Quote Char"/>
    <w:basedOn w:val="DefaultParagraphFont"/>
    <w:link w:val="Quote"/>
    <w:uiPriority w:val="29"/>
    <w:rsid w:val="0038278A"/>
    <w:rPr>
      <w:i/>
      <w:iCs/>
      <w:color w:val="000000" w:themeColor="text1"/>
    </w:rPr>
  </w:style>
  <w:style w:type="paragraph" w:styleId="IntenseQuote">
    <w:name w:val="Intense Quote"/>
    <w:basedOn w:val="Normal"/>
    <w:next w:val="Normal"/>
    <w:link w:val="IntenseQuoteChar"/>
    <w:uiPriority w:val="30"/>
    <w:qFormat/>
    <w:rsid w:val="003827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278A"/>
    <w:rPr>
      <w:color w:val="000000" w:themeColor="text1"/>
      <w:shd w:val="clear" w:color="auto" w:fill="F2F2F2" w:themeFill="background1" w:themeFillShade="F2"/>
    </w:rPr>
  </w:style>
  <w:style w:type="character" w:styleId="SubtleEmphasis">
    <w:name w:val="Subtle Emphasis"/>
    <w:basedOn w:val="DefaultParagraphFont"/>
    <w:uiPriority w:val="19"/>
    <w:qFormat/>
    <w:rsid w:val="0038278A"/>
    <w:rPr>
      <w:i/>
      <w:iCs/>
      <w:color w:val="404040" w:themeColor="text1" w:themeTint="BF"/>
    </w:rPr>
  </w:style>
  <w:style w:type="character" w:styleId="IntenseEmphasis">
    <w:name w:val="Intense Emphasis"/>
    <w:basedOn w:val="DefaultParagraphFont"/>
    <w:uiPriority w:val="21"/>
    <w:qFormat/>
    <w:rsid w:val="0038278A"/>
    <w:rPr>
      <w:b/>
      <w:bCs/>
      <w:i/>
      <w:iCs/>
      <w:caps/>
    </w:rPr>
  </w:style>
  <w:style w:type="character" w:styleId="SubtleReference">
    <w:name w:val="Subtle Reference"/>
    <w:basedOn w:val="DefaultParagraphFont"/>
    <w:uiPriority w:val="31"/>
    <w:qFormat/>
    <w:rsid w:val="003827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278A"/>
    <w:rPr>
      <w:b/>
      <w:bCs/>
      <w:smallCaps/>
      <w:u w:val="single"/>
    </w:rPr>
  </w:style>
  <w:style w:type="character" w:styleId="BookTitle">
    <w:name w:val="Book Title"/>
    <w:basedOn w:val="DefaultParagraphFont"/>
    <w:uiPriority w:val="33"/>
    <w:qFormat/>
    <w:rsid w:val="0038278A"/>
    <w:rPr>
      <w:b w:val="0"/>
      <w:bCs w:val="0"/>
      <w:smallCaps/>
      <w:spacing w:val="5"/>
    </w:rPr>
  </w:style>
  <w:style w:type="paragraph" w:styleId="TOCHeading">
    <w:name w:val="TOC Heading"/>
    <w:basedOn w:val="Heading1"/>
    <w:next w:val="Normal"/>
    <w:uiPriority w:val="39"/>
    <w:semiHidden/>
    <w:unhideWhenUsed/>
    <w:qFormat/>
    <w:rsid w:val="0038278A"/>
    <w:pPr>
      <w:outlineLvl w:val="9"/>
    </w:pPr>
  </w:style>
  <w:style w:type="character" w:styleId="FollowedHyperlink">
    <w:name w:val="FollowedHyperlink"/>
    <w:basedOn w:val="DefaultParagraphFont"/>
    <w:uiPriority w:val="99"/>
    <w:semiHidden/>
    <w:unhideWhenUsed/>
    <w:rsid w:val="0038278A"/>
    <w:rPr>
      <w:color w:val="954F72" w:themeColor="followedHyperlink"/>
      <w:u w:val="single"/>
    </w:rPr>
  </w:style>
  <w:style w:type="paragraph" w:styleId="ListParagraph">
    <w:name w:val="List Paragraph"/>
    <w:basedOn w:val="Normal"/>
    <w:uiPriority w:val="34"/>
    <w:qFormat/>
    <w:rsid w:val="00650630"/>
    <w:pPr>
      <w:ind w:left="720"/>
      <w:contextualSpacing/>
    </w:pPr>
  </w:style>
  <w:style w:type="paragraph" w:styleId="BalloonText">
    <w:name w:val="Balloon Text"/>
    <w:basedOn w:val="Normal"/>
    <w:link w:val="BalloonTextChar"/>
    <w:uiPriority w:val="99"/>
    <w:semiHidden/>
    <w:unhideWhenUsed/>
    <w:rsid w:val="00D37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CC8"/>
    <w:rPr>
      <w:rFonts w:ascii="Segoe UI" w:hAnsi="Segoe UI" w:cs="Segoe UI"/>
      <w:sz w:val="18"/>
      <w:szCs w:val="18"/>
    </w:rPr>
  </w:style>
  <w:style w:type="character" w:styleId="PlaceholderText">
    <w:name w:val="Placeholder Text"/>
    <w:basedOn w:val="DefaultParagraphFont"/>
    <w:uiPriority w:val="99"/>
    <w:semiHidden/>
    <w:rsid w:val="00816BB6"/>
    <w:rPr>
      <w:color w:val="808080"/>
    </w:rPr>
  </w:style>
  <w:style w:type="table" w:styleId="TableGrid">
    <w:name w:val="Table Grid"/>
    <w:basedOn w:val="TableNormal"/>
    <w:uiPriority w:val="39"/>
    <w:rsid w:val="00E86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F04BF"/>
    <w:pPr>
      <w:spacing w:after="0" w:line="240" w:lineRule="auto"/>
    </w:pPr>
    <w:rPr>
      <w:sz w:val="20"/>
      <w:szCs w:val="20"/>
    </w:rPr>
  </w:style>
  <w:style w:type="character" w:customStyle="1" w:styleId="FootnoteTextChar">
    <w:name w:val="Footnote Text Char"/>
    <w:basedOn w:val="DefaultParagraphFont"/>
    <w:link w:val="FootnoteText"/>
    <w:uiPriority w:val="99"/>
    <w:rsid w:val="000F04BF"/>
    <w:rPr>
      <w:sz w:val="20"/>
      <w:szCs w:val="20"/>
    </w:rPr>
  </w:style>
  <w:style w:type="character" w:styleId="FootnoteReference">
    <w:name w:val="footnote reference"/>
    <w:basedOn w:val="DefaultParagraphFont"/>
    <w:uiPriority w:val="99"/>
    <w:semiHidden/>
    <w:unhideWhenUsed/>
    <w:rsid w:val="000F04BF"/>
    <w:rPr>
      <w:vertAlign w:val="superscript"/>
    </w:rPr>
  </w:style>
  <w:style w:type="paragraph" w:styleId="Header">
    <w:name w:val="header"/>
    <w:basedOn w:val="Normal"/>
    <w:link w:val="HeaderChar"/>
    <w:uiPriority w:val="99"/>
    <w:unhideWhenUsed/>
    <w:rsid w:val="00835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614"/>
  </w:style>
  <w:style w:type="paragraph" w:styleId="Footer">
    <w:name w:val="footer"/>
    <w:basedOn w:val="Normal"/>
    <w:link w:val="FooterChar"/>
    <w:uiPriority w:val="99"/>
    <w:unhideWhenUsed/>
    <w:rsid w:val="00835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EDEA-2626-445F-9C69-CD23EB1E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2020-01-13T08:27:00Z</dcterms:created>
  <dcterms:modified xsi:type="dcterms:W3CDTF">2020-01-13T08:27:00Z</dcterms:modified>
</cp:coreProperties>
</file>