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黑体" w:hAnsi="黑体" w:eastAsia="黑体"/>
          <w:b/>
          <w:color w:val="1A5676"/>
          <w:sz w:val="64"/>
        </w:rPr>
        <w:t>智慧农业大棚系统</w:t>
      </w:r>
    </w:p>
    <w:p>
      <w:pPr>
        <w:jc w:val="center"/>
      </w:pPr>
      <w:r>
        <w:rPr>
          <w:rFonts w:ascii="黑体" w:hAnsi="黑体" w:eastAsia="黑体"/>
          <w:b/>
          <w:color w:val="2D7D9A"/>
          <w:sz w:val="44"/>
        </w:rPr>
        <w:t>agri-eye 1.0  技术说明文档</w:t>
      </w:r>
    </w:p>
    <w:p/>
    <w:p/>
    <w:p/>
    <w:p>
      <w:pPr>
        <w:jc w:val="center"/>
      </w:pPr>
      <w:r>
        <w:rPr>
          <w:rFonts w:ascii="宋体" w:hAnsi="宋体" w:eastAsia="宋体"/>
          <w:b w:val="0"/>
          <w:sz w:val="26"/>
        </w:rPr>
        <w:t>版本：v1.0</w:t>
      </w:r>
    </w:p>
    <w:p>
      <w:pPr>
        <w:jc w:val="center"/>
      </w:pPr>
      <w:r>
        <w:rPr>
          <w:rFonts w:ascii="宋体" w:hAnsi="宋体" w:eastAsia="宋体"/>
          <w:b w:val="0"/>
          <w:sz w:val="26"/>
        </w:rPr>
        <w:t>日期：2026-04-27</w:t>
      </w:r>
    </w:p>
    <w:p>
      <w:pPr>
        <w:jc w:val="center"/>
      </w:pPr>
      <w:r>
        <w:rPr>
          <w:rFonts w:ascii="宋体" w:hAnsi="宋体" w:eastAsia="宋体"/>
          <w:b w:val="0"/>
          <w:sz w:val="26"/>
        </w:rPr>
        <w:t>团队：SWURYZ / agri-eye</w:t>
      </w:r>
    </w:p>
    <w:p>
      <w:pPr>
        <w:jc w:val="center"/>
      </w:pPr>
      <w:r>
        <w:rPr>
          <w:rFonts w:ascii="宋体" w:hAnsi="宋体" w:eastAsia="宋体"/>
          <w:b w:val="0"/>
          <w:sz w:val="26"/>
        </w:rPr>
        <w:t>状态：交付版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sz w:val="32"/>
        </w:rPr>
        <w:t>目录</w:t>
      </w:r>
    </w:p>
    <w:p>
      <w:r>
        <w:rPr>
          <w:rFonts w:ascii="宋体" w:hAnsi="宋体" w:eastAsia="宋体"/>
          <w:sz w:val="22"/>
        </w:rPr>
        <w:t>第一章  项目概述...................................................3</w:t>
      </w:r>
    </w:p>
    <w:p>
      <w:r>
        <w:rPr>
          <w:rFonts w:ascii="宋体" w:hAnsi="宋体" w:eastAsia="宋体"/>
          <w:sz w:val="22"/>
        </w:rPr>
        <w:t xml:space="preserve">  1.1  项目背景与目标..............................................3</w:t>
      </w:r>
    </w:p>
    <w:p>
      <w:r>
        <w:rPr>
          <w:rFonts w:ascii="宋体" w:hAnsi="宋体" w:eastAsia="宋体"/>
          <w:sz w:val="22"/>
        </w:rPr>
        <w:t xml:space="preserve">  1.2  业务场景范围...............................................3</w:t>
      </w:r>
    </w:p>
    <w:p>
      <w:r>
        <w:rPr>
          <w:rFonts w:ascii="宋体" w:hAnsi="宋体" w:eastAsia="宋体"/>
          <w:sz w:val="22"/>
        </w:rPr>
        <w:t xml:space="preserve">  1.3  交付定位与范围边界............................................4</w:t>
      </w:r>
    </w:p>
    <w:p>
      <w:r>
        <w:rPr>
          <w:rFonts w:ascii="宋体" w:hAnsi="宋体" w:eastAsia="宋体"/>
          <w:sz w:val="22"/>
        </w:rPr>
        <w:t>第二章  总体架构设计.................................................5</w:t>
      </w:r>
    </w:p>
    <w:p>
      <w:r>
        <w:rPr>
          <w:rFonts w:ascii="宋体" w:hAnsi="宋体" w:eastAsia="宋体"/>
          <w:sz w:val="22"/>
        </w:rPr>
        <w:t xml:space="preserve">  2.1  架构目标与核心链路............................................5</w:t>
      </w:r>
    </w:p>
    <w:p>
      <w:r>
        <w:rPr>
          <w:rFonts w:ascii="宋体" w:hAnsi="宋体" w:eastAsia="宋体"/>
          <w:sz w:val="22"/>
        </w:rPr>
        <w:t xml:space="preserve">  2.2  微服务划分................................................5</w:t>
      </w:r>
    </w:p>
    <w:p>
      <w:r>
        <w:rPr>
          <w:rFonts w:ascii="宋体" w:hAnsi="宋体" w:eastAsia="宋体"/>
          <w:sz w:val="22"/>
        </w:rPr>
        <w:t xml:space="preserve">  2.3  服务依赖关系...............................................6</w:t>
      </w:r>
    </w:p>
    <w:p>
      <w:r>
        <w:rPr>
          <w:rFonts w:ascii="宋体" w:hAnsi="宋体" w:eastAsia="宋体"/>
          <w:sz w:val="22"/>
        </w:rPr>
        <w:t>第三章  前端技术说明.................................................7</w:t>
      </w:r>
    </w:p>
    <w:p>
      <w:r>
        <w:rPr>
          <w:rFonts w:ascii="宋体" w:hAnsi="宋体" w:eastAsia="宋体"/>
          <w:sz w:val="22"/>
        </w:rPr>
        <w:t xml:space="preserve">  3.1  技术栈与目录结构.............................................7</w:t>
      </w:r>
    </w:p>
    <w:p>
      <w:r>
        <w:rPr>
          <w:rFonts w:ascii="宋体" w:hAnsi="宋体" w:eastAsia="宋体"/>
          <w:sz w:val="22"/>
        </w:rPr>
        <w:t xml:space="preserve">  3.2  主要页面与功能模块............................................7</w:t>
      </w:r>
    </w:p>
    <w:p>
      <w:r>
        <w:rPr>
          <w:rFonts w:ascii="宋体" w:hAnsi="宋体" w:eastAsia="宋体"/>
          <w:sz w:val="22"/>
        </w:rPr>
        <w:t xml:space="preserve">  3.3  前后端接口协议..............................................8</w:t>
      </w:r>
    </w:p>
    <w:p>
      <w:r>
        <w:rPr>
          <w:rFonts w:ascii="宋体" w:hAnsi="宋体" w:eastAsia="宋体"/>
          <w:sz w:val="22"/>
        </w:rPr>
        <w:t xml:space="preserve">  3.4  前端启动与构建..............................................9</w:t>
      </w:r>
    </w:p>
    <w:p>
      <w:r>
        <w:rPr>
          <w:rFonts w:ascii="宋体" w:hAnsi="宋体" w:eastAsia="宋体"/>
          <w:sz w:val="22"/>
        </w:rPr>
        <w:t>第四章  后端技术说明.................................................10</w:t>
      </w:r>
    </w:p>
    <w:p>
      <w:r>
        <w:rPr>
          <w:rFonts w:ascii="宋体" w:hAnsi="宋体" w:eastAsia="宋体"/>
          <w:sz w:val="22"/>
        </w:rPr>
        <w:t xml:space="preserve">  4.1  后端技术栈................................................10</w:t>
      </w:r>
    </w:p>
    <w:p>
      <w:r>
        <w:rPr>
          <w:rFonts w:ascii="宋体" w:hAnsi="宋体" w:eastAsia="宋体"/>
          <w:sz w:val="22"/>
        </w:rPr>
        <w:t xml:space="preserve">  4.2  各微服务职责...............................................11</w:t>
      </w:r>
    </w:p>
    <w:p>
      <w:r>
        <w:rPr>
          <w:rFonts w:ascii="宋体" w:hAnsi="宋体" w:eastAsia="宋体"/>
          <w:sz w:val="22"/>
        </w:rPr>
        <w:t xml:space="preserve">  4.3  IoT 接入服务接口...........................................12</w:t>
      </w:r>
    </w:p>
    <w:p>
      <w:r>
        <w:rPr>
          <w:rFonts w:ascii="宋体" w:hAnsi="宋体" w:eastAsia="宋体"/>
          <w:sz w:val="22"/>
        </w:rPr>
        <w:t xml:space="preserve">  4.4  其他业务服务接口概览...........................................13</w:t>
      </w:r>
    </w:p>
    <w:p>
      <w:r>
        <w:rPr>
          <w:rFonts w:ascii="宋体" w:hAnsi="宋体" w:eastAsia="宋体"/>
          <w:sz w:val="22"/>
        </w:rPr>
        <w:t>第五章  数据库设计..................................................14</w:t>
      </w:r>
    </w:p>
    <w:p>
      <w:r>
        <w:rPr>
          <w:rFonts w:ascii="宋体" w:hAnsi="宋体" w:eastAsia="宋体"/>
          <w:sz w:val="22"/>
        </w:rPr>
        <w:t xml:space="preserve">  5.1  设计原则.................................................14</w:t>
      </w:r>
    </w:p>
    <w:p>
      <w:r>
        <w:rPr>
          <w:rFonts w:ascii="宋体" w:hAnsi="宋体" w:eastAsia="宋体"/>
          <w:sz w:val="22"/>
        </w:rPr>
        <w:t xml:space="preserve">  5.2  新架构核心表...............................................14</w:t>
      </w:r>
    </w:p>
    <w:p>
      <w:r>
        <w:rPr>
          <w:rFonts w:ascii="宋体" w:hAnsi="宋体" w:eastAsia="宋体"/>
          <w:sz w:val="22"/>
        </w:rPr>
        <w:t xml:space="preserve">  5.3  旧架构业务表...............................................16</w:t>
      </w:r>
    </w:p>
    <w:p>
      <w:r>
        <w:rPr>
          <w:rFonts w:ascii="宋体" w:hAnsi="宋体" w:eastAsia="宋体"/>
          <w:sz w:val="22"/>
        </w:rPr>
        <w:t xml:space="preserve">  5.4  数据迁移策略...............................................17</w:t>
      </w:r>
    </w:p>
    <w:p>
      <w:r>
        <w:rPr>
          <w:rFonts w:ascii="宋体" w:hAnsi="宋体" w:eastAsia="宋体"/>
          <w:sz w:val="22"/>
        </w:rPr>
        <w:t>第六章  部署与运维..................................................18</w:t>
      </w:r>
    </w:p>
    <w:p>
      <w:r>
        <w:rPr>
          <w:rFonts w:ascii="宋体" w:hAnsi="宋体" w:eastAsia="宋体"/>
          <w:sz w:val="22"/>
        </w:rPr>
        <w:t xml:space="preserve">  6.1  环境要求.................................................18</w:t>
      </w:r>
    </w:p>
    <w:p>
      <w:r>
        <w:rPr>
          <w:rFonts w:ascii="宋体" w:hAnsi="宋体" w:eastAsia="宋体"/>
          <w:sz w:val="22"/>
        </w:rPr>
        <w:t xml:space="preserve">  6.2  本地一键启动...............................................18</w:t>
      </w:r>
    </w:p>
    <w:p>
      <w:r>
        <w:rPr>
          <w:rFonts w:ascii="宋体" w:hAnsi="宋体" w:eastAsia="宋体"/>
          <w:sz w:val="22"/>
        </w:rPr>
        <w:t xml:space="preserve">  6.3  环境变量配置...............................................19</w:t>
      </w:r>
    </w:p>
    <w:p>
      <w:r>
        <w:rPr>
          <w:rFonts w:ascii="宋体" w:hAnsi="宋体" w:eastAsia="宋体"/>
          <w:sz w:val="22"/>
        </w:rPr>
        <w:t xml:space="preserve">  6.4  监控与日志................................................20</w:t>
      </w:r>
    </w:p>
    <w:p>
      <w:r>
        <w:rPr>
          <w:rFonts w:ascii="宋体" w:hAnsi="宋体" w:eastAsia="宋体"/>
          <w:sz w:val="22"/>
        </w:rPr>
        <w:t>附录 A  团队分工与 WBS.............................................21</w:t>
      </w:r>
    </w:p>
    <w:p>
      <w:r>
        <w:rPr>
          <w:rFonts w:ascii="宋体" w:hAnsi="宋体" w:eastAsia="宋体"/>
          <w:sz w:val="22"/>
        </w:rPr>
        <w:t>附录 B  接口快速参考................................................22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sz w:val="32"/>
        </w:rPr>
        <w:t>第一章  项目概述</w:t>
      </w:r>
    </w:p>
    <w:p>
      <w:pPr>
        <w:pStyle w:val="Heading2"/>
      </w:pPr>
      <w:r>
        <w:rPr>
          <w:rFonts w:ascii="黑体" w:hAnsi="黑体" w:eastAsia="黑体"/>
          <w:sz w:val="28"/>
        </w:rPr>
        <w:t>1.1  项目背景与目标</w:t>
      </w:r>
    </w:p>
    <w:p>
      <w:pPr>
        <w:ind w:firstLine="480"/>
      </w:pPr>
      <w:r>
        <w:rPr>
          <w:rFonts w:ascii="宋体" w:hAnsi="宋体" w:eastAsia="宋体"/>
          <w:b w:val="0"/>
          <w:sz w:val="22"/>
        </w:rPr>
        <w:t>智慧农业大棚系统（agri-eye）是面向现代农业种植场景的 IoT 数据可视化与智能管控平台。系统接入 BearPi HM_Nano 硬件节点，通过华为云 IoTDA 完成设备接入，并在前后端联合展示实时环境监测、历史趋势、阈值告警、设备控制、定时补光、联动规则、多大棚管理和智能问答等核心场景。</w:t>
      </w:r>
    </w:p>
    <w:p>
      <w:pPr>
        <w:ind w:firstLine="480"/>
      </w:pPr>
      <w:r>
        <w:rPr>
          <w:rFonts w:ascii="宋体" w:hAnsi="宋体" w:eastAsia="宋体"/>
          <w:b w:val="0"/>
          <w:sz w:val="22"/>
        </w:rPr>
        <w:t>项目目标：在 3 天冲刺周期内交付一个可运行、可联调、可演示的微服务后端，配合已完成的前端实现完整业务闭环。</w:t>
      </w:r>
    </w:p>
    <w:p>
      <w:pPr>
        <w:pStyle w:val="Heading2"/>
      </w:pPr>
      <w:r>
        <w:rPr>
          <w:rFonts w:ascii="黑体" w:hAnsi="黑体" w:eastAsia="黑体"/>
          <w:sz w:val="28"/>
        </w:rPr>
        <w:t>1.2  业务场景范围</w:t>
      </w:r>
    </w:p>
    <w:p>
      <w:pPr>
        <w:ind w:firstLine="480"/>
      </w:pPr>
      <w:r>
        <w:rPr>
          <w:rFonts w:ascii="宋体" w:hAnsi="宋体" w:eastAsia="宋体"/>
          <w:b w:val="0"/>
          <w:sz w:val="22"/>
        </w:rPr>
        <w:t>本系统涵盖以下 8 大业务场景：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850"/>
          </w:tcPr>
          <w:p>
            <w:r>
              <w:rPr>
                <w:b/>
                <w:sz w:val="20"/>
              </w:rPr>
              <w:t>序号</w:t>
            </w:r>
          </w:p>
        </w:tc>
        <w:tc>
          <w:tcPr>
            <w:tcW w:type="dxa" w:w="2835"/>
          </w:tcPr>
          <w:p>
            <w:r>
              <w:rPr>
                <w:b/>
                <w:sz w:val="20"/>
              </w:rPr>
              <w:t>场景名称</w:t>
            </w:r>
          </w:p>
        </w:tc>
        <w:tc>
          <w:tcPr>
            <w:tcW w:type="dxa" w:w="4819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全指标实时环境监测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温度、湿度、光照、CO₂、土壤温湿度实时采集与展示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温湿度阈值告警与审计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可配置告警阈值，超限自动触发告警并记录审计日志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设备远程手动控制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前端操控 LED 灯、电机等执行器，实时下发指令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补光灯定时控制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按时间表自动开关补光灯，可查询执行记录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复合条件联动控制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多传感器条件组合触发设备动作（规则引擎）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历史数据趋势分析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按时间范围查询任意指标历史曲线，支持聚合分析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多大棚统一监控与设备管理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跨大棚设备概览、绑定/解绑管理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农事智能问答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基于 Coze/大模型 API 的农事问答助手（芽芽）</w:t>
            </w:r>
          </w:p>
        </w:tc>
      </w:tr>
    </w:tbl>
    <w:p>
      <w:pPr>
        <w:pStyle w:val="Heading2"/>
      </w:pPr>
      <w:r>
        <w:rPr>
          <w:rFonts w:ascii="黑体" w:hAnsi="黑体" w:eastAsia="黑体"/>
          <w:sz w:val="28"/>
        </w:rPr>
        <w:t>1.3  交付定位与范围边界</w:t>
      </w:r>
    </w:p>
    <w:p>
      <w:pPr>
        <w:ind w:firstLine="480"/>
      </w:pPr>
      <w:r>
        <w:rPr>
          <w:rFonts w:ascii="宋体" w:hAnsi="宋体" w:eastAsia="宋体"/>
          <w:b w:val="0"/>
          <w:sz w:val="22"/>
        </w:rPr>
        <w:t>本轮交付为「高质量阶段版本」，核心标准：</w:t>
      </w:r>
    </w:p>
    <w:p>
      <w:pPr>
        <w:pStyle w:val="ListBullet"/>
      </w:pPr>
      <w:r>
        <w:rPr>
          <w:sz w:val="22"/>
        </w:rPr>
        <w:t>核心场景接口可调用，本地环境可快速启动</w:t>
      </w:r>
    </w:p>
    <w:p>
      <w:pPr>
        <w:pStyle w:val="ListBullet"/>
      </w:pPr>
      <w:r>
        <w:rPr>
          <w:sz w:val="22"/>
        </w:rPr>
        <w:t>具备完整代码结构与技术架构，可支持后续继续开发</w:t>
      </w:r>
    </w:p>
    <w:p>
      <w:pPr>
        <w:pStyle w:val="ListBullet"/>
      </w:pPr>
      <w:r>
        <w:rPr>
          <w:sz w:val="22"/>
        </w:rPr>
        <w:t>文档清晰，具备演示和基础测试能力</w:t>
      </w:r>
    </w:p>
    <w:p>
      <w:pPr>
        <w:ind w:firstLine="480"/>
      </w:pPr>
      <w:r>
        <w:rPr>
          <w:rFonts w:ascii="宋体" w:hAnsi="宋体" w:eastAsia="宋体"/>
          <w:b w:val="0"/>
          <w:sz w:val="22"/>
        </w:rPr>
        <w:t>本轮允许降级实现：智能问答可做占位接口；联动规则可先支持简化条件表达式；多大棚可先实现基础汇总接口。</w:t>
      </w:r>
    </w:p>
    <w:p>
      <w:pPr>
        <w:ind w:firstLine="480"/>
      </w:pPr>
      <w:r>
        <w:rPr>
          <w:rFonts w:ascii="宋体" w:hAnsi="宋体" w:eastAsia="宋体"/>
          <w:b w:val="0"/>
          <w:sz w:val="22"/>
        </w:rPr>
        <w:t>本轮不涉及：生产级 K8s 集群、完整 CI/CD 平台、复杂权限中心、全量 AI RAG 系统。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sz w:val="32"/>
        </w:rPr>
        <w:t>第二章  总体架构设计</w:t>
      </w:r>
    </w:p>
    <w:p>
      <w:pPr>
        <w:pStyle w:val="Heading2"/>
      </w:pPr>
      <w:r>
        <w:rPr>
          <w:rFonts w:ascii="黑体" w:hAnsi="黑体" w:eastAsia="黑体"/>
          <w:sz w:val="28"/>
        </w:rPr>
        <w:t>2.1  架构目标与核心链路</w:t>
      </w:r>
    </w:p>
    <w:p>
      <w:pPr>
        <w:ind w:firstLine="480"/>
      </w:pPr>
      <w:r>
        <w:rPr>
          <w:rFonts w:ascii="宋体" w:hAnsi="宋体" w:eastAsia="宋体"/>
          <w:b w:val="0"/>
          <w:sz w:val="22"/>
        </w:rPr>
        <w:t>系统采用微服务架构，通过 MQTT Broker（EMQX）接入 IoT 设备数据，经由 Kafka 消息总线解耦各业务服务，统一经 API 网关对前端暴露 REST/WebSocket 接口。</w:t>
      </w:r>
    </w:p>
    <w:p>
      <w:pPr>
        <w:ind w:firstLine="480"/>
      </w:pPr>
      <w:r>
        <w:rPr>
          <w:rFonts w:ascii="宋体" w:hAnsi="宋体" w:eastAsia="宋体"/>
          <w:b w:val="0"/>
          <w:sz w:val="22"/>
        </w:rPr>
        <w:t>核心数据主链路：</w:t>
      </w:r>
    </w:p>
    <w:p>
      <w:pPr/>
      <w:r>
        <w:rPr>
          <w:rFonts w:ascii="宋体" w:hAnsi="宋体" w:eastAsia="宋体"/>
          <w:b w:val="0"/>
          <w:sz w:val="22"/>
        </w:rPr>
        <w:t>传感器/设备  →  EMQX MQTT  →  iot-access-service  →  Kafka  →  telemetry-service  →  analytics / alert / rule-engine  →  前端</w:t>
      </w:r>
    </w:p>
    <w:p>
      <w:pPr>
        <w:pStyle w:val="Heading2"/>
      </w:pPr>
      <w:r>
        <w:rPr>
          <w:rFonts w:ascii="黑体" w:hAnsi="黑体" w:eastAsia="黑体"/>
          <w:sz w:val="28"/>
        </w:rPr>
        <w:t>2.2  微服务划分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</w:tcPr>
          <w:p>
            <w:r>
              <w:rPr>
                <w:b/>
                <w:sz w:val="20"/>
              </w:rPr>
              <w:t>服务名称</w:t>
            </w:r>
          </w:p>
        </w:tc>
        <w:tc>
          <w:tcPr>
            <w:tcW w:type="dxa" w:w="5669"/>
          </w:tcPr>
          <w:p>
            <w:r>
              <w:rPr>
                <w:b/>
                <w:sz w:val="20"/>
              </w:rPr>
              <w:t>主要职责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gateway-service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统一 API 网关，路由、鉴权、限流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iot-access-service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华为云 IoTDA 设备接入、AMQP 消息消费、命令下发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telemetry-service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监测数据入库（Shadow + Log）、实时查询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analytics-service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历史趋势聚合分析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alert-service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阈值规则管理、告警判定、审计导出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control-service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手动控制指令下发、回执处理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schedule-service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定时控制任务调度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rule-engine-service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复合条件联动规则引擎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greenhouse-service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多大棚信息管理与设备绑定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qa-service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农事智能问答（Coze API 代理）</w:t>
            </w:r>
          </w:p>
        </w:tc>
      </w:tr>
    </w:tbl>
    <w:p>
      <w:pPr>
        <w:pStyle w:val="Heading2"/>
      </w:pPr>
      <w:r>
        <w:rPr>
          <w:rFonts w:ascii="黑体" w:hAnsi="黑体" w:eastAsia="黑体"/>
          <w:sz w:val="28"/>
        </w:rPr>
        <w:t>2.3  服务依赖关系</w:t>
      </w:r>
    </w:p>
    <w:p>
      <w:pPr>
        <w:ind w:firstLine="480"/>
      </w:pPr>
      <w:r>
        <w:rPr>
          <w:rFonts w:ascii="宋体" w:hAnsi="宋体" w:eastAsia="宋体"/>
          <w:b w:val="0"/>
          <w:sz w:val="22"/>
        </w:rPr>
        <w:t>公共模块只能被业务模块依赖；业务服务间尽量通过事件/接口交互；避免循环依赖；所有服务通过统一网关对外暴露。</w:t>
      </w:r>
    </w:p>
    <w:p>
      <w:pPr>
        <w:ind w:firstLine="480"/>
      </w:pPr>
      <w:r>
        <w:rPr>
          <w:rFonts w:ascii="宋体" w:hAnsi="宋体" w:eastAsia="宋体"/>
          <w:b w:val="0"/>
          <w:sz w:val="22"/>
        </w:rPr>
        <w:t>模块分层：agri-common（公共工具）→ agri-api（公共 DTO/接口定义）→ 各业务 service。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sz w:val="32"/>
        </w:rPr>
        <w:t>第三章  前端技术说明</w:t>
      </w:r>
    </w:p>
    <w:p>
      <w:pPr>
        <w:pStyle w:val="Heading2"/>
      </w:pPr>
      <w:r>
        <w:rPr>
          <w:rFonts w:ascii="黑体" w:hAnsi="黑体" w:eastAsia="黑体"/>
          <w:sz w:val="28"/>
        </w:rPr>
        <w:t>3.1  技术栈与目录结构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</w:tcPr>
          <w:p>
            <w:r>
              <w:rPr>
                <w:b/>
                <w:sz w:val="20"/>
              </w:rPr>
              <w:t>类别</w:t>
            </w:r>
          </w:p>
        </w:tc>
        <w:tc>
          <w:tcPr>
            <w:tcW w:type="dxa" w:w="6520"/>
          </w:tcPr>
          <w:p>
            <w:r>
              <w:rPr>
                <w:b/>
                <w:sz w:val="20"/>
              </w:rPr>
              <w:t>技术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构建工具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Vite 5.x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UI 框架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React 18 + TypeScript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样式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Tailwind CSS 3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图表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Recharts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路由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React Router v6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状态/请求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原生 fetch + 自定义 hooks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WebSocket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原生 WebSocket API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语音/手势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Web Speech API + MediaPipe Hands</w:t>
            </w:r>
          </w:p>
        </w:tc>
      </w:tr>
    </w:tbl>
    <w:p>
      <w:pPr>
        <w:ind w:firstLine="480"/>
      </w:pPr>
      <w:r>
        <w:rPr>
          <w:rFonts w:ascii="宋体" w:hAnsi="宋体" w:eastAsia="宋体"/>
          <w:b w:val="0"/>
          <w:sz w:val="22"/>
        </w:rPr>
        <w:t>目录结构：src/app/pages（页面组件）/ components（公共组件）/ services（API 封装）/ lib（工具库）</w:t>
      </w:r>
    </w:p>
    <w:p>
      <w:pPr>
        <w:pStyle w:val="Heading2"/>
      </w:pPr>
      <w:r>
        <w:rPr>
          <w:rFonts w:ascii="黑体" w:hAnsi="黑体" w:eastAsia="黑体"/>
          <w:sz w:val="28"/>
        </w:rPr>
        <w:t>3.2  主要页面与功能模块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402"/>
          </w:tcPr>
          <w:p>
            <w:r>
              <w:rPr>
                <w:b/>
                <w:sz w:val="20"/>
              </w:rPr>
              <w:t>页面文件</w:t>
            </w:r>
          </w:p>
        </w:tc>
        <w:tc>
          <w:tcPr>
            <w:tcW w:type="dxa" w:w="5386"/>
          </w:tcPr>
          <w:p>
            <w:r>
              <w:rPr>
                <w:b/>
                <w:sz w:val="20"/>
              </w:rPr>
              <w:t>功能说明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Dashboard.tsx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多大棚总览仪表盘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RealtimeMonitor.tsx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实时环境监测（WebSocket 推送 + HTTP 兜底）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HistoricalData.tsx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历史趋势图表分析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AlertManagement.tsx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阈值告警规则管理与告警记录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DeviceControl.tsx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设备手动控制面板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AutomationRules.tsx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复合条件联动规则配置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DeviceManagement.tsx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设备资产管理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SmartDecision.tsx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智能决策辅助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InsectRecognition.tsx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病虫害识别（上传图片）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AIAssistant.tsx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农事 AI 问答页面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Login.tsx / UserManagement.tsx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登录与用户管理</w:t>
            </w:r>
          </w:p>
        </w:tc>
      </w:tr>
    </w:tbl>
    <w:p>
      <w:pPr>
        <w:pStyle w:val="Heading2"/>
      </w:pPr>
      <w:r>
        <w:rPr>
          <w:rFonts w:ascii="黑体" w:hAnsi="黑体" w:eastAsia="黑体"/>
          <w:sz w:val="28"/>
        </w:rPr>
        <w:t>3.3  前后端接口协议</w:t>
      </w:r>
    </w:p>
    <w:p>
      <w:pPr>
        <w:ind w:firstLine="480"/>
      </w:pPr>
      <w:r>
        <w:rPr>
          <w:rFonts w:ascii="宋体" w:hAnsi="宋体" w:eastAsia="宋体"/>
          <w:b w:val="0"/>
          <w:sz w:val="22"/>
        </w:rPr>
        <w:t>实时监测页面遵循「后端优先、模拟兜底」原则。</w:t>
      </w:r>
    </w:p>
    <w:p>
      <w:pPr>
        <w:ind w:firstLine="480"/>
      </w:pPr>
      <w:r>
        <w:rPr>
          <w:rFonts w:ascii="宋体" w:hAnsi="宋体" w:eastAsia="宋体"/>
          <w:b w:val="0"/>
          <w:sz w:val="22"/>
        </w:rPr>
        <w:t>HTTP 快照接口：GET /api/greenhouses/:greenhouse/realtime</w:t>
      </w:r>
    </w:p>
    <w:p>
      <w:pPr>
        <w:ind w:firstLine="480"/>
      </w:pPr>
      <w:r>
        <w:rPr>
          <w:rFonts w:ascii="宋体" w:hAnsi="宋体" w:eastAsia="宋体"/>
          <w:b w:val="0"/>
          <w:sz w:val="22"/>
        </w:rPr>
        <w:t>返回示例：{ "metrics": { "temp": 24.6, "humidity": 67.2, "light": 8450, "co2": 430, "soilHumidity": 45.1, "soilTemp": 21.3 } }</w:t>
      </w:r>
    </w:p>
    <w:p>
      <w:pPr>
        <w:ind w:firstLine="480"/>
      </w:pPr>
      <w:r>
        <w:rPr>
          <w:rFonts w:ascii="宋体" w:hAnsi="宋体" w:eastAsia="宋体"/>
          <w:b w:val="0"/>
          <w:sz w:val="22"/>
        </w:rPr>
        <w:t>HTTP 历史接口：GET /api/greenhouses/:greenhouse/history?sensor=temp&amp;range=24h</w:t>
      </w:r>
    </w:p>
    <w:p>
      <w:pPr>
        <w:ind w:firstLine="480"/>
      </w:pPr>
      <w:r>
        <w:rPr>
          <w:rFonts w:ascii="宋体" w:hAnsi="宋体" w:eastAsia="宋体"/>
          <w:b w:val="0"/>
          <w:sz w:val="22"/>
        </w:rPr>
        <w:t>返回示例：[ { "time": "08:00", "value": 23.8 }, ... ]</w:t>
      </w:r>
    </w:p>
    <w:p>
      <w:pPr>
        <w:ind w:firstLine="480"/>
      </w:pPr>
      <w:r>
        <w:rPr>
          <w:rFonts w:ascii="宋体" w:hAnsi="宋体" w:eastAsia="宋体"/>
          <w:b w:val="0"/>
          <w:sz w:val="22"/>
        </w:rPr>
        <w:t>WebSocket 实时推送：WS /ws/realtime?greenhouse=1号大棚</w:t>
      </w:r>
    </w:p>
    <w:p>
      <w:pPr>
        <w:ind w:firstLine="480"/>
      </w:pPr>
      <w:r>
        <w:rPr>
          <w:rFonts w:ascii="宋体" w:hAnsi="宋体" w:eastAsia="宋体"/>
          <w:b w:val="0"/>
          <w:sz w:val="22"/>
        </w:rPr>
        <w:t>推送消息示例：{ "metrics": { "temp": 24.7, "humidity": 66.9, "co2": 428 } }</w:t>
      </w:r>
    </w:p>
    <w:p>
      <w:pPr>
        <w:ind w:firstLine="480"/>
      </w:pPr>
      <w:r>
        <w:rPr>
          <w:rFonts w:ascii="宋体" w:hAnsi="宋体" w:eastAsia="宋体"/>
          <w:b w:val="0"/>
          <w:sz w:val="22"/>
        </w:rPr>
        <w:t>若后端不可用，页面自动切换本地模拟数据，确保演示不中断。</w:t>
      </w:r>
    </w:p>
    <w:p>
      <w:pPr>
        <w:pStyle w:val="Heading2"/>
      </w:pPr>
      <w:r>
        <w:rPr>
          <w:rFonts w:ascii="黑体" w:hAnsi="黑体" w:eastAsia="黑体"/>
          <w:sz w:val="28"/>
        </w:rPr>
        <w:t>3.4  前端启动与构建</w:t>
      </w:r>
    </w:p>
    <w:p>
      <w:pPr>
        <w:ind w:firstLine="480"/>
      </w:pPr>
      <w:r>
        <w:rPr>
          <w:rFonts w:ascii="宋体" w:hAnsi="宋体" w:eastAsia="宋体"/>
          <w:b w:val="0"/>
          <w:sz w:val="22"/>
        </w:rPr>
        <w:t>环境要求：Node.js 20+（已验证 24.x），npm 10+。</w:t>
      </w:r>
    </w:p>
    <w:p>
      <w:pPr>
        <w:pStyle w:val="ListBullet"/>
      </w:pPr>
      <w:r>
        <w:rPr>
          <w:rFonts w:ascii="Courier New" w:hAnsi="Courier New"/>
          <w:sz w:val="20"/>
        </w:rPr>
        <w:t>npm install           # 安装依赖</w:t>
      </w:r>
    </w:p>
    <w:p>
      <w:pPr>
        <w:pStyle w:val="ListBullet"/>
      </w:pPr>
      <w:r>
        <w:rPr>
          <w:rFonts w:ascii="Courier New" w:hAnsi="Courier New"/>
          <w:sz w:val="20"/>
        </w:rPr>
        <w:t>npm run dev           # 开发模式（http://localhost:5173）</w:t>
      </w:r>
    </w:p>
    <w:p>
      <w:pPr>
        <w:pStyle w:val="ListBullet"/>
      </w:pPr>
      <w:r>
        <w:rPr>
          <w:rFonts w:ascii="Courier New" w:hAnsi="Courier New"/>
          <w:sz w:val="20"/>
        </w:rPr>
        <w:t>npm run build         # 生产构建（输出到 dist/）</w:t>
      </w:r>
    </w:p>
    <w:p>
      <w:pPr>
        <w:pStyle w:val="ListBullet"/>
      </w:pPr>
      <w:r>
        <w:rPr>
          <w:rFonts w:ascii="Courier New" w:hAnsi="Courier New"/>
          <w:sz w:val="20"/>
        </w:rPr>
        <w:t>npm run preview       # 预览构建产物</w:t>
      </w:r>
    </w:p>
    <w:p>
      <w:pPr>
        <w:ind w:firstLine="480"/>
      </w:pPr>
      <w:r>
        <w:rPr>
          <w:rFonts w:ascii="宋体" w:hAnsi="宋体" w:eastAsia="宋体"/>
          <w:b w:val="0"/>
          <w:sz w:val="22"/>
        </w:rPr>
        <w:t>环境变量配置（复制 .env.example 为 .env.local 后修改）：</w:t>
      </w:r>
    </w:p>
    <w:p>
      <w:pPr>
        <w:pStyle w:val="ListBullet"/>
      </w:pPr>
      <w:r>
        <w:rPr>
          <w:rFonts w:ascii="Courier New" w:hAnsi="Courier New"/>
          <w:sz w:val="20"/>
        </w:rPr>
        <w:t>VITE_API_PROXY_TARGET=http://localhost:8080   # Vite 开发代理转发目标</w:t>
      </w:r>
    </w:p>
    <w:p>
      <w:pPr>
        <w:pStyle w:val="ListBullet"/>
      </w:pPr>
      <w:r>
        <w:rPr>
          <w:rFonts w:ascii="Courier New" w:hAnsi="Courier New"/>
          <w:sz w:val="20"/>
        </w:rPr>
        <w:t>VITE_API_BASE_URL=                            # 直连后端地址（可选）</w:t>
      </w:r>
    </w:p>
    <w:p>
      <w:pPr>
        <w:pStyle w:val="ListBullet"/>
      </w:pPr>
      <w:r>
        <w:rPr>
          <w:rFonts w:ascii="Courier New" w:hAnsi="Courier New"/>
          <w:sz w:val="20"/>
        </w:rPr>
        <w:t>VITE_WS_BASE_URL=ws://localhost:8080          # WebSocket 基础地址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sz w:val="32"/>
        </w:rPr>
        <w:t>第四章  后端技术说明</w:t>
      </w:r>
    </w:p>
    <w:p>
      <w:pPr>
        <w:pStyle w:val="Heading2"/>
      </w:pPr>
      <w:r>
        <w:rPr>
          <w:rFonts w:ascii="黑体" w:hAnsi="黑体" w:eastAsia="黑体"/>
          <w:sz w:val="28"/>
        </w:rPr>
        <w:t>4.1  后端技术栈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</w:tcPr>
          <w:p>
            <w:r>
              <w:rPr>
                <w:b/>
                <w:sz w:val="20"/>
              </w:rPr>
              <w:t>类别</w:t>
            </w:r>
          </w:p>
        </w:tc>
        <w:tc>
          <w:tcPr>
            <w:tcW w:type="dxa" w:w="2835"/>
          </w:tcPr>
          <w:p>
            <w:r>
              <w:rPr>
                <w:b/>
                <w:sz w:val="20"/>
              </w:rPr>
              <w:t>技术/版本</w:t>
            </w:r>
          </w:p>
        </w:tc>
        <w:tc>
          <w:tcPr>
            <w:tcW w:type="dxa" w:w="3685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JDK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OpenJDK 21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主运行环境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框架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Spring Boot 3.3.x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微服务基础框架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微服务治理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Spring Cloud 2023.0.x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服务治理基础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注册配置中心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Nacos 2.3.x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注册发现与配置管理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API 网关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Spring Cloud Gateway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统一入口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ORM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MyBatis-Plus 3.5.x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简化数据库访问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数据库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MySQL 5.7+ / PostgreSQL 16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业务数据存储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时序扩展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TimescaleDB（基于 PG16）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历史监测数据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缓存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Redis 7.2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最新值缓存、热点缓存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消息总线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Kafka 3.7.x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异步事件流/削峰填谷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IoT 协议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MQTT / EMQX 5.x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设备接入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API 文档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springdoc-openapi 2.6.x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OpenAPI 文档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数据迁移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Flyway 10.x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数据库脚本管理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监控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Prometheus + Grafana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指标与看板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链路追踪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OpenTelemetry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链路分析</w:t>
            </w:r>
          </w:p>
        </w:tc>
      </w:tr>
    </w:tbl>
    <w:p>
      <w:pPr>
        <w:pStyle w:val="Heading2"/>
      </w:pPr>
      <w:r>
        <w:rPr>
          <w:rFonts w:ascii="黑体" w:hAnsi="黑体" w:eastAsia="黑体"/>
          <w:sz w:val="28"/>
        </w:rPr>
        <w:t>4.2  各微服务职责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</w:tcPr>
          <w:p>
            <w:r>
              <w:rPr>
                <w:b/>
                <w:sz w:val="20"/>
              </w:rPr>
              <w:t>服务</w:t>
            </w:r>
          </w:p>
        </w:tc>
        <w:tc>
          <w:tcPr>
            <w:tcW w:type="dxa" w:w="1417"/>
          </w:tcPr>
          <w:p>
            <w:r>
              <w:rPr>
                <w:b/>
                <w:sz w:val="20"/>
              </w:rPr>
              <w:t>默认端口</w:t>
            </w:r>
          </w:p>
        </w:tc>
        <w:tc>
          <w:tcPr>
            <w:tcW w:type="dxa" w:w="4819"/>
          </w:tcPr>
          <w:p>
            <w:r>
              <w:rPr>
                <w:b/>
                <w:sz w:val="20"/>
              </w:rPr>
              <w:t>核心职责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iot-access-service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8082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消费华为云 IoTDA AMQP 消息；解析 Agriculture 属性；命令下发；回执更新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telemetry-service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8083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接收 iot-access 写入的遥测数据；维护 Shadow 表与 Redis 最新值；提供实时/历史查询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analytics-service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8084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从 telemetry 聚合历史趋势数据；支持多时间粒度（小时/天/周）聚合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alert-service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8085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管理阈值规则；对 telemetry 事件判定告警；提供告警列表与 Excel 导出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control-service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8086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接收前端手动控制请求；封装 MQTT/IoTDA 命令；处理回执；记录 command_log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schedule-service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8087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定时任务配置（Cron）；触发 control-service 执行；记录执行日志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rule-engine-service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8088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复合条件（AND/OR）规则存储与评估；命中后触发 control-service 联动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greenhouse-service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8089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大棚基础信息管理；设备绑定/解绑；多大棚概览聚合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qa-service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8090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代理 Coze AI 平台接口；提供流式 SSE 问答响应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gateway-service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8080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统一路由；CORS；限流；（可选）JWT 鉴权</w:t>
            </w:r>
          </w:p>
        </w:tc>
      </w:tr>
    </w:tbl>
    <w:p>
      <w:pPr>
        <w:pStyle w:val="Heading2"/>
      </w:pPr>
      <w:r>
        <w:rPr>
          <w:rFonts w:ascii="黑体" w:hAnsi="黑体" w:eastAsia="黑体"/>
          <w:sz w:val="28"/>
        </w:rPr>
        <w:t>4.3  IoT 接入服务接口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020"/>
          </w:tcPr>
          <w:p>
            <w:r>
              <w:rPr>
                <w:b/>
                <w:sz w:val="20"/>
              </w:rPr>
              <w:t>Method</w:t>
            </w:r>
          </w:p>
        </w:tc>
        <w:tc>
          <w:tcPr>
            <w:tcW w:type="dxa" w:w="4535"/>
          </w:tcPr>
          <w:p>
            <w:r>
              <w:rPr>
                <w:b/>
                <w:sz w:val="20"/>
              </w:rPr>
              <w:t>Path</w:t>
            </w:r>
          </w:p>
        </w:tc>
        <w:tc>
          <w:tcPr>
            <w:tcW w:type="dxa" w:w="3231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102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/api/v1/iot/devices/{deviceId}/latest</w:t>
            </w:r>
          </w:p>
        </w:tc>
        <w:tc>
          <w:tcPr>
            <w:tcW w:type="dxa" w:w="3231"/>
          </w:tcPr>
          <w:p>
            <w:r>
              <w:rPr>
                <w:sz w:val="20"/>
              </w:rPr>
              <w:t>获取设备最新遥测数据</w:t>
            </w:r>
          </w:p>
        </w:tc>
      </w:tr>
      <w:tr>
        <w:tc>
          <w:tcPr>
            <w:tcW w:type="dxa" w:w="102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/api/v1/iot/devices/{deviceId}/telemetry?minutes=60</w:t>
            </w:r>
          </w:p>
        </w:tc>
        <w:tc>
          <w:tcPr>
            <w:tcW w:type="dxa" w:w="3231"/>
          </w:tcPr>
          <w:p>
            <w:r>
              <w:rPr>
                <w:sz w:val="20"/>
              </w:rPr>
              <w:t>获取近 N 分钟遥测记录</w:t>
            </w:r>
          </w:p>
        </w:tc>
      </w:tr>
      <w:tr>
        <w:tc>
          <w:tcPr>
            <w:tcW w:type="dxa" w:w="102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/api/v1/iot/devices/{deviceId}/status</w:t>
            </w:r>
          </w:p>
        </w:tc>
        <w:tc>
          <w:tcPr>
            <w:tcW w:type="dxa" w:w="3231"/>
          </w:tcPr>
          <w:p>
            <w:r>
              <w:rPr>
                <w:sz w:val="20"/>
              </w:rPr>
              <w:t>获取设备在线状态</w:t>
            </w:r>
          </w:p>
        </w:tc>
      </w:tr>
      <w:tr>
        <w:tc>
          <w:tcPr>
            <w:tcW w:type="dxa" w:w="102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/api/v1/iot/commands</w:t>
            </w:r>
          </w:p>
        </w:tc>
        <w:tc>
          <w:tcPr>
            <w:tcW w:type="dxa" w:w="3231"/>
          </w:tcPr>
          <w:p>
            <w:r>
              <w:rPr>
                <w:sz w:val="20"/>
              </w:rPr>
              <w:t>下发控制命令</w:t>
            </w:r>
          </w:p>
        </w:tc>
      </w:tr>
      <w:tr>
        <w:tc>
          <w:tcPr>
            <w:tcW w:type="dxa" w:w="1020"/>
          </w:tcPr>
          <w:p>
            <w:r>
              <w:rPr>
                <w:sz w:val="20"/>
              </w:rPr>
              <w:t>PUT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/api/v1/iot/devices/{deviceId}/actuators</w:t>
            </w:r>
          </w:p>
        </w:tc>
        <w:tc>
          <w:tcPr>
            <w:tcW w:type="dxa" w:w="3231"/>
          </w:tcPr>
          <w:p>
            <w:r>
              <w:rPr>
                <w:sz w:val="20"/>
              </w:rPr>
              <w:t>直接更新执行器状态</w:t>
            </w:r>
          </w:p>
        </w:tc>
      </w:tr>
      <w:tr>
        <w:tc>
          <w:tcPr>
            <w:tcW w:type="dxa" w:w="102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/api/v1/iot/commands/request/{requestId}</w:t>
            </w:r>
          </w:p>
        </w:tc>
        <w:tc>
          <w:tcPr>
            <w:tcW w:type="dxa" w:w="3231"/>
          </w:tcPr>
          <w:p>
            <w:r>
              <w:rPr>
                <w:sz w:val="20"/>
              </w:rPr>
              <w:t>按请求 ID 查询命令执行结果</w:t>
            </w:r>
          </w:p>
        </w:tc>
      </w:tr>
      <w:tr>
        <w:tc>
          <w:tcPr>
            <w:tcW w:type="dxa" w:w="102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/api/v1/smoke/check</w:t>
            </w:r>
          </w:p>
        </w:tc>
        <w:tc>
          <w:tcPr>
            <w:tcW w:type="dxa" w:w="3231"/>
          </w:tcPr>
          <w:p>
            <w:r>
              <w:rPr>
                <w:sz w:val="20"/>
              </w:rPr>
              <w:t>服务连通性探针</w:t>
            </w:r>
          </w:p>
        </w:tc>
      </w:tr>
      <w:tr>
        <w:tc>
          <w:tcPr>
            <w:tcW w:type="dxa" w:w="102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/actuator/health</w:t>
            </w:r>
          </w:p>
        </w:tc>
        <w:tc>
          <w:tcPr>
            <w:tcW w:type="dxa" w:w="3231"/>
          </w:tcPr>
          <w:p>
            <w:r>
              <w:rPr>
                <w:sz w:val="20"/>
              </w:rPr>
              <w:t>Spring Actuator 健康检查</w:t>
            </w:r>
          </w:p>
        </w:tc>
      </w:tr>
    </w:tbl>
    <w:p>
      <w:pPr>
        <w:pStyle w:val="Heading2"/>
      </w:pPr>
      <w:r>
        <w:rPr>
          <w:rFonts w:ascii="黑体" w:hAnsi="黑体" w:eastAsia="黑体"/>
          <w:sz w:val="28"/>
        </w:rPr>
        <w:t>4.4  其他业务服务接口概览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</w:tcPr>
          <w:p>
            <w:r>
              <w:rPr>
                <w:b/>
                <w:sz w:val="20"/>
              </w:rPr>
              <w:t>归属服务</w:t>
            </w:r>
          </w:p>
        </w:tc>
        <w:tc>
          <w:tcPr>
            <w:tcW w:type="dxa" w:w="3685"/>
          </w:tcPr>
          <w:p>
            <w:r>
              <w:rPr>
                <w:b/>
                <w:sz w:val="20"/>
              </w:rPr>
              <w:t>接口路径</w:t>
            </w:r>
          </w:p>
        </w:tc>
        <w:tc>
          <w:tcPr>
            <w:tcW w:type="dxa" w:w="2835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alert-service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GET /api/v1/alerts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告警记录列表（分页/过滤）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alert-service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POST /api/v1/threshold-rules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创建/更新阈值规则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alert-service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GET /api/v1/alerts/export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导出告警记录（Excel）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control-service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POST /api/v1/control/commands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手动下发设备命令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control-service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GET /api/v1/control/commands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查询命令执行历史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schedule-service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POST /api/v1/schedules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创建定时控制任务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schedule-service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GET /api/v1/schedules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查询定时任务列表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rule-engine-service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POST /api/v1/rules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创建联动规则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rule-engine-service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GET /api/v1/rules/{id}/logs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查询规则触发日志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greenhouse-service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GET /api/v1/greenhouses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获取所有大棚列表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greenhouse-service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POST /api/v1/greenhouses/{code}/devices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绑定设备到大棚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qa-service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POST /api/v1/qa/chat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流式问答（SSE）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黑体" w:hAnsi="黑体" w:eastAsia="黑体"/>
          <w:sz w:val="32"/>
        </w:rPr>
        <w:t>第五章  数据库设计</w:t>
      </w:r>
    </w:p>
    <w:p>
      <w:pPr>
        <w:pStyle w:val="Heading2"/>
      </w:pPr>
      <w:r>
        <w:rPr>
          <w:rFonts w:ascii="黑体" w:hAnsi="黑体" w:eastAsia="黑体"/>
          <w:sz w:val="28"/>
        </w:rPr>
        <w:t>5.1  设计原则</w:t>
      </w:r>
    </w:p>
    <w:p>
      <w:pPr>
        <w:pStyle w:val="ListBullet"/>
      </w:pPr>
      <w:r>
        <w:rPr>
          <w:sz w:val="22"/>
        </w:rPr>
        <w:t>统一主数据中心（MDM）：建立全局大棚、设备、设备-大棚映射字典表</w:t>
      </w:r>
    </w:p>
    <w:p>
      <w:pPr>
        <w:pStyle w:val="ListBullet"/>
      </w:pPr>
      <w:r>
        <w:rPr>
          <w:sz w:val="22"/>
        </w:rPr>
        <w:t>设备影子分离（Device Twin）：高频遥测流水与最新状态快照分离存储</w:t>
      </w:r>
    </w:p>
    <w:p>
      <w:pPr>
        <w:pStyle w:val="ListBullet"/>
      </w:pPr>
      <w:r>
        <w:rPr>
          <w:sz w:val="22"/>
        </w:rPr>
        <w:t>应对高并发写入：MySQL 5.7 RANGE 按月分区 + Kafka 削峰填谷</w:t>
      </w:r>
    </w:p>
    <w:p>
      <w:pPr>
        <w:pStyle w:val="ListBullet"/>
      </w:pPr>
      <w:r>
        <w:rPr>
          <w:sz w:val="22"/>
        </w:rPr>
        <w:t>统一日志追踪：agri_command_log 统一记录手动/定时/联动三类命令</w:t>
      </w:r>
    </w:p>
    <w:p>
      <w:pPr>
        <w:pStyle w:val="ListBullet"/>
      </w:pPr>
      <w:r>
        <w:rPr>
          <w:sz w:val="22"/>
        </w:rPr>
        <w:t>新旧双写过渡（Strangler Fig Pattern）：新旧表并行，灰度切换，零停机回滚</w:t>
      </w:r>
    </w:p>
    <w:p>
      <w:pPr>
        <w:pStyle w:val="Heading2"/>
      </w:pPr>
      <w:r>
        <w:rPr>
          <w:rFonts w:ascii="黑体" w:hAnsi="黑体" w:eastAsia="黑体"/>
          <w:sz w:val="28"/>
        </w:rPr>
        <w:t>5.2  新架构核心表（agri_ 前缀）</w:t>
      </w:r>
    </w:p>
    <w:p>
      <w:pPr>
        <w:ind w:firstLine="480"/>
      </w:pPr>
      <w:r>
        <w:rPr>
          <w:rFonts w:ascii="宋体" w:hAnsi="宋体" w:eastAsia="宋体"/>
          <w:b w:val="0"/>
          <w:sz w:val="22"/>
        </w:rPr>
        <w:t>共 5 张新架构表，目前处于双写过渡期：</w:t>
      </w:r>
    </w:p>
    <w:p>
      <w:pPr/>
      <w:r>
        <w:rPr>
          <w:rFonts w:ascii="宋体" w:hAnsi="宋体" w:eastAsia="宋体"/>
          <w:b w:val="0"/>
          <w:sz w:val="22"/>
        </w:rPr>
        <w:t>▍agri_greenhouse — 大棚主表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</w:tcPr>
          <w:p>
            <w:r>
              <w:rPr>
                <w:b/>
                <w:sz w:val="20"/>
              </w:rPr>
              <w:t>字段名</w:t>
            </w:r>
          </w:p>
        </w:tc>
        <w:tc>
          <w:tcPr>
            <w:tcW w:type="dxa" w:w="1701"/>
          </w:tcPr>
          <w:p>
            <w:r>
              <w:rPr>
                <w:b/>
                <w:sz w:val="20"/>
              </w:rPr>
              <w:t>类型</w:t>
            </w:r>
          </w:p>
        </w:tc>
        <w:tc>
          <w:tcPr>
            <w:tcW w:type="dxa" w:w="2551"/>
          </w:tcPr>
          <w:p>
            <w:r>
              <w:rPr>
                <w:b/>
                <w:sz w:val="20"/>
              </w:rPr>
              <w:t>约束</w:t>
            </w:r>
          </w:p>
        </w:tc>
        <w:tc>
          <w:tcPr>
            <w:tcW w:type="dxa" w:w="2551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BIGINT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PK, AUTO_INCREMENT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唯一标识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code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VARCHAR(64)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UNIQUE, NOT NULL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大棚编码（如 GH-01）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VARCHAR(128)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大棚名称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crop_type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VARCHAR(128)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NULL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种植作物类型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VARCHAR(16)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NOT NULL DEFAULT 'ACTIVE'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状态（ACTIVE/INACTIVE）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created_at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TIMESTAMP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创建时间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updated_at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TIMESTAMP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更新时间（自动更新）</w:t>
            </w:r>
          </w:p>
        </w:tc>
      </w:tr>
    </w:tbl>
    <w:p>
      <w:pPr/>
      <w:r>
        <w:rPr>
          <w:rFonts w:ascii="宋体" w:hAnsi="宋体" w:eastAsia="宋体"/>
          <w:b w:val="0"/>
          <w:sz w:val="22"/>
        </w:rPr>
        <w:t>▍agri_device_registry — 设备注册表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</w:tcPr>
          <w:p>
            <w:r>
              <w:rPr>
                <w:b/>
                <w:sz w:val="20"/>
              </w:rPr>
              <w:t>字段名</w:t>
            </w:r>
          </w:p>
        </w:tc>
        <w:tc>
          <w:tcPr>
            <w:tcW w:type="dxa" w:w="1701"/>
          </w:tcPr>
          <w:p>
            <w:r>
              <w:rPr>
                <w:b/>
                <w:sz w:val="20"/>
              </w:rPr>
              <w:t>类型</w:t>
            </w:r>
          </w:p>
        </w:tc>
        <w:tc>
          <w:tcPr>
            <w:tcW w:type="dxa" w:w="2551"/>
          </w:tcPr>
          <w:p>
            <w:r>
              <w:rPr>
                <w:b/>
                <w:sz w:val="20"/>
              </w:rPr>
              <w:t>约束</w:t>
            </w:r>
          </w:p>
        </w:tc>
        <w:tc>
          <w:tcPr>
            <w:tcW w:type="dxa" w:w="2551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device_id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VARCHAR(64)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设备全局唯一 ID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device_name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VARCHAR(128)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设备别名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device_type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VARCHAR(32)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SENSOR / CONTROLLER / GATEWAY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greenhouse_code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VARCHAR(64)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NULL, FK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所属大棚编码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created_at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TIMESTAMP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注册时间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updated_at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TIMESTAMP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更新时间</w:t>
            </w:r>
          </w:p>
        </w:tc>
      </w:tr>
    </w:tbl>
    <w:p>
      <w:pPr/>
      <w:r>
        <w:rPr>
          <w:rFonts w:ascii="宋体" w:hAnsi="宋体" w:eastAsia="宋体"/>
          <w:b w:val="0"/>
          <w:sz w:val="22"/>
        </w:rPr>
        <w:t>▍agri_device_shadow — 设备影子快照表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</w:tcPr>
          <w:p>
            <w:r>
              <w:rPr>
                <w:b/>
                <w:sz w:val="20"/>
              </w:rPr>
              <w:t>字段名</w:t>
            </w:r>
          </w:p>
        </w:tc>
        <w:tc>
          <w:tcPr>
            <w:tcW w:type="dxa" w:w="1701"/>
          </w:tcPr>
          <w:p>
            <w:r>
              <w:rPr>
                <w:b/>
                <w:sz w:val="20"/>
              </w:rPr>
              <w:t>类型</w:t>
            </w:r>
          </w:p>
        </w:tc>
        <w:tc>
          <w:tcPr>
            <w:tcW w:type="dxa" w:w="2551"/>
          </w:tcPr>
          <w:p>
            <w:r>
              <w:rPr>
                <w:b/>
                <w:sz w:val="20"/>
              </w:rPr>
              <w:t>约束</w:t>
            </w:r>
          </w:p>
        </w:tc>
        <w:tc>
          <w:tcPr>
            <w:tcW w:type="dxa" w:w="2551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device_id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VARCHAR(64)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设备 ID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state_json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JSON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所有最新属性值的 JSON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is_online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TINYINT(1)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NOT NULL DEFAULT 1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设备在线状态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reported_at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TIMESTAMP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最后上报时间</w:t>
            </w:r>
          </w:p>
        </w:tc>
      </w:tr>
    </w:tbl>
    <w:p>
      <w:pPr/>
      <w:r>
        <w:rPr>
          <w:rFonts w:ascii="宋体" w:hAnsi="宋体" w:eastAsia="宋体"/>
          <w:b w:val="0"/>
          <w:sz w:val="22"/>
        </w:rPr>
        <w:t>▍agri_telemetry_log — 设备遥测流水表（按月 RANGE 分区）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</w:tcPr>
          <w:p>
            <w:r>
              <w:rPr>
                <w:b/>
                <w:sz w:val="20"/>
              </w:rPr>
              <w:t>字段名</w:t>
            </w:r>
          </w:p>
        </w:tc>
        <w:tc>
          <w:tcPr>
            <w:tcW w:type="dxa" w:w="1701"/>
          </w:tcPr>
          <w:p>
            <w:r>
              <w:rPr>
                <w:b/>
                <w:sz w:val="20"/>
              </w:rPr>
              <w:t>类型</w:t>
            </w:r>
          </w:p>
        </w:tc>
        <w:tc>
          <w:tcPr>
            <w:tcW w:type="dxa" w:w="2268"/>
          </w:tcPr>
          <w:p>
            <w:r>
              <w:rPr>
                <w:b/>
                <w:sz w:val="20"/>
              </w:rPr>
              <w:t>约束</w:t>
            </w:r>
          </w:p>
        </w:tc>
        <w:tc>
          <w:tcPr>
            <w:tcW w:type="dxa" w:w="2835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BIGINT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AUTO_INCREMENT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逻辑主键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device_id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VARCHAR(64)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设备 ID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metric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VARCHAR(64)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测量指标（temperature/humidity/luminance 等）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metric_value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DOUBLE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指标数值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report_time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TIMESTAMP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NOT NULL，分区键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采集时间，主键含此字段</w:t>
            </w:r>
          </w:p>
        </w:tc>
      </w:tr>
    </w:tbl>
    <w:p>
      <w:pPr>
        <w:ind w:firstLine="480"/>
      </w:pPr>
      <w:r>
        <w:rPr>
          <w:rFonts w:ascii="宋体" w:hAnsi="宋体" w:eastAsia="宋体"/>
          <w:b w:val="0"/>
          <w:sz w:val="22"/>
        </w:rPr>
        <w:t>复合索引：idx_device_time (device_id, report_time DESC)，加速单设备历史趋势查询。</w:t>
      </w:r>
    </w:p>
    <w:p>
      <w:pPr/>
      <w:r>
        <w:rPr>
          <w:rFonts w:ascii="宋体" w:hAnsi="宋体" w:eastAsia="宋体"/>
          <w:b w:val="0"/>
          <w:sz w:val="22"/>
        </w:rPr>
        <w:t>▍agri_command_log — 统一指令日志表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</w:tcPr>
          <w:p>
            <w:r>
              <w:rPr>
                <w:b/>
                <w:sz w:val="20"/>
              </w:rPr>
              <w:t>字段名</w:t>
            </w:r>
          </w:p>
        </w:tc>
        <w:tc>
          <w:tcPr>
            <w:tcW w:type="dxa" w:w="1701"/>
          </w:tcPr>
          <w:p>
            <w:r>
              <w:rPr>
                <w:b/>
                <w:sz w:val="20"/>
              </w:rPr>
              <w:t>类型</w:t>
            </w:r>
          </w:p>
        </w:tc>
        <w:tc>
          <w:tcPr>
            <w:tcW w:type="dxa" w:w="2268"/>
          </w:tcPr>
          <w:p>
            <w:r>
              <w:rPr>
                <w:b/>
                <w:sz w:val="20"/>
              </w:rPr>
              <w:t>约束</w:t>
            </w:r>
          </w:p>
        </w:tc>
        <w:tc>
          <w:tcPr>
            <w:tcW w:type="dxa" w:w="2835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BIGINT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PK, AUTO_INCREMENT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日志 ID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request_id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VARCHAR(64)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UNIQUE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业务追踪 ID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device_id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VARCHAR(64)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目标设备 ID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source_service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VARCHAR(32)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发起方（MANUAL/SCHEDULE/LINKAGE）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command_type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VARCHAR(64)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命令类型（如 LED_CONTROL）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payload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JSON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NULL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指令详细内容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VARCHAR(32)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PENDING / SUCCESS / FAILED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created_at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TIMESTAMP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发起时间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updated_at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TIMESTAMP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响应时间</w:t>
            </w:r>
          </w:p>
        </w:tc>
      </w:tr>
    </w:tbl>
    <w:p>
      <w:pPr>
        <w:pStyle w:val="Heading2"/>
      </w:pPr>
      <w:r>
        <w:rPr>
          <w:rFonts w:ascii="黑体" w:hAnsi="黑体" w:eastAsia="黑体"/>
          <w:sz w:val="28"/>
        </w:rPr>
        <w:t>5.3  旧架构业务表概览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551"/>
          </w:tcPr>
          <w:p>
            <w:r>
              <w:rPr>
                <w:b/>
                <w:sz w:val="20"/>
              </w:rPr>
              <w:t>表名</w:t>
            </w:r>
          </w:p>
        </w:tc>
        <w:tc>
          <w:tcPr>
            <w:tcW w:type="dxa" w:w="1020"/>
          </w:tcPr>
          <w:p>
            <w:r>
              <w:rPr>
                <w:b/>
                <w:sz w:val="20"/>
              </w:rPr>
              <w:t>记录数</w:t>
            </w:r>
          </w:p>
        </w:tc>
        <w:tc>
          <w:tcPr>
            <w:tcW w:type="dxa" w:w="2551"/>
          </w:tcPr>
          <w:p>
            <w:r>
              <w:rPr>
                <w:b/>
                <w:sz w:val="20"/>
              </w:rPr>
              <w:t>所属服务</w:t>
            </w:r>
          </w:p>
        </w:tc>
        <w:tc>
          <w:tcPr>
            <w:tcW w:type="dxa" w:w="2665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iot_device_telemetry</w:t>
            </w:r>
          </w:p>
        </w:tc>
        <w:tc>
          <w:tcPr>
            <w:tcW w:type="dxa" w:w="1020"/>
          </w:tcPr>
          <w:p>
            <w:r>
              <w:rPr>
                <w:sz w:val="20"/>
              </w:rPr>
              <w:t>497 条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iot-access-service</w:t>
            </w:r>
          </w:p>
        </w:tc>
        <w:tc>
          <w:tcPr>
            <w:tcW w:type="dxa" w:w="2665"/>
          </w:tcPr>
          <w:p>
            <w:r>
              <w:rPr>
                <w:sz w:val="20"/>
              </w:rPr>
              <w:t>BearPi 原始上报数据（含 raw_payload）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iot_device_command_log</w:t>
            </w:r>
          </w:p>
        </w:tc>
        <w:tc>
          <w:tcPr>
            <w:tcW w:type="dxa" w:w="1020"/>
          </w:tcPr>
          <w:p>
            <w:r>
              <w:rPr>
                <w:sz w:val="20"/>
              </w:rPr>
              <w:t>5 条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iot-access-service</w:t>
            </w:r>
          </w:p>
        </w:tc>
        <w:tc>
          <w:tcPr>
            <w:tcW w:type="dxa" w:w="2665"/>
          </w:tcPr>
          <w:p>
            <w:r>
              <w:rPr>
                <w:sz w:val="20"/>
              </w:rPr>
              <w:t>IoTDA 平台指令记录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device_control_command</w:t>
            </w:r>
          </w:p>
        </w:tc>
        <w:tc>
          <w:tcPr>
            <w:tcW w:type="dxa" w:w="1020"/>
          </w:tcPr>
          <w:p>
            <w:r>
              <w:rPr>
                <w:sz w:val="20"/>
              </w:rPr>
              <w:t>49 条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device-control-service</w:t>
            </w:r>
          </w:p>
        </w:tc>
        <w:tc>
          <w:tcPr>
            <w:tcW w:type="dxa" w:w="2665"/>
          </w:tcPr>
          <w:p>
            <w:r>
              <w:rPr>
                <w:sz w:val="20"/>
              </w:rPr>
              <w:t>前端手动控制指令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device_status</w:t>
            </w:r>
          </w:p>
        </w:tc>
        <w:tc>
          <w:tcPr>
            <w:tcW w:type="dxa" w:w="1020"/>
          </w:tcPr>
          <w:p>
            <w:r>
              <w:rPr>
                <w:sz w:val="20"/>
              </w:rPr>
              <w:t>1 条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device-control-service</w:t>
            </w:r>
          </w:p>
        </w:tc>
        <w:tc>
          <w:tcPr>
            <w:tcW w:type="dxa" w:w="2665"/>
          </w:tcPr>
          <w:p>
            <w:r>
              <w:rPr>
                <w:sz w:val="20"/>
              </w:rPr>
              <w:t>设备最新 LED/电机状态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device_greenhouse_mapping</w:t>
            </w:r>
          </w:p>
        </w:tc>
        <w:tc>
          <w:tcPr>
            <w:tcW w:type="dxa" w:w="1020"/>
          </w:tcPr>
          <w:p>
            <w:r>
              <w:rPr>
                <w:sz w:val="20"/>
              </w:rPr>
              <w:t>0 条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greenhouse-monitor-service</w:t>
            </w:r>
          </w:p>
        </w:tc>
        <w:tc>
          <w:tcPr>
            <w:tcW w:type="dxa" w:w="2665"/>
          </w:tcPr>
          <w:p>
            <w:r>
              <w:rPr>
                <w:sz w:val="20"/>
              </w:rPr>
              <w:t>设备-大棚绑定关系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greenhouse</w:t>
            </w:r>
          </w:p>
        </w:tc>
        <w:tc>
          <w:tcPr>
            <w:tcW w:type="dxa" w:w="1020"/>
          </w:tcPr>
          <w:p>
            <w:r>
              <w:rPr>
                <w:sz w:val="20"/>
              </w:rPr>
              <w:t>0 条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greenhouse-monitor-service</w:t>
            </w:r>
          </w:p>
        </w:tc>
        <w:tc>
          <w:tcPr>
            <w:tcW w:type="dxa" w:w="2665"/>
          </w:tcPr>
          <w:p>
            <w:r>
              <w:rPr>
                <w:sz w:val="20"/>
              </w:rPr>
              <w:t>大棚信息（旧架构）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sensor_latest_data</w:t>
            </w:r>
          </w:p>
        </w:tc>
        <w:tc>
          <w:tcPr>
            <w:tcW w:type="dxa" w:w="1020"/>
          </w:tcPr>
          <w:p>
            <w:r>
              <w:rPr>
                <w:sz w:val="20"/>
              </w:rPr>
              <w:t>2 条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composite-condition-service</w:t>
            </w:r>
          </w:p>
        </w:tc>
        <w:tc>
          <w:tcPr>
            <w:tcW w:type="dxa" w:w="2665"/>
          </w:tcPr>
          <w:p>
            <w:r>
              <w:rPr>
                <w:sz w:val="20"/>
              </w:rPr>
              <w:t>传感器最新值缓存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composite_rule</w:t>
            </w:r>
          </w:p>
        </w:tc>
        <w:tc>
          <w:tcPr>
            <w:tcW w:type="dxa" w:w="1020"/>
          </w:tcPr>
          <w:p>
            <w:r>
              <w:rPr>
                <w:sz w:val="20"/>
              </w:rPr>
              <w:t>2 条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composite-condition-service</w:t>
            </w:r>
          </w:p>
        </w:tc>
        <w:tc>
          <w:tcPr>
            <w:tcW w:type="dxa" w:w="2665"/>
          </w:tcPr>
          <w:p>
            <w:r>
              <w:rPr>
                <w:sz w:val="20"/>
              </w:rPr>
              <w:t>联动规则定义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rule_condition</w:t>
            </w:r>
          </w:p>
        </w:tc>
        <w:tc>
          <w:tcPr>
            <w:tcW w:type="dxa" w:w="1020"/>
          </w:tcPr>
          <w:p>
            <w:r>
              <w:rPr>
                <w:sz w:val="20"/>
              </w:rPr>
              <w:t>2 条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composite-condition-service</w:t>
            </w:r>
          </w:p>
        </w:tc>
        <w:tc>
          <w:tcPr>
            <w:tcW w:type="dxa" w:w="2665"/>
          </w:tcPr>
          <w:p>
            <w:r>
              <w:rPr>
                <w:sz w:val="20"/>
              </w:rPr>
              <w:t>规则触发条件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linkage_action_log</w:t>
            </w:r>
          </w:p>
        </w:tc>
        <w:tc>
          <w:tcPr>
            <w:tcW w:type="dxa" w:w="1020"/>
          </w:tcPr>
          <w:p>
            <w:r>
              <w:rPr>
                <w:sz w:val="20"/>
              </w:rPr>
              <w:t>55 条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composite-condition-service</w:t>
            </w:r>
          </w:p>
        </w:tc>
        <w:tc>
          <w:tcPr>
            <w:tcW w:type="dxa" w:w="2665"/>
          </w:tcPr>
          <w:p>
            <w:r>
              <w:rPr>
                <w:sz w:val="20"/>
              </w:rPr>
              <w:t>联动执行日志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threshold_rule</w:t>
            </w:r>
          </w:p>
        </w:tc>
        <w:tc>
          <w:tcPr>
            <w:tcW w:type="dxa" w:w="1020"/>
          </w:tcPr>
          <w:p>
            <w:r>
              <w:rPr>
                <w:sz w:val="20"/>
              </w:rPr>
              <w:t>4 条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threshold-alert-service</w:t>
            </w:r>
          </w:p>
        </w:tc>
        <w:tc>
          <w:tcPr>
            <w:tcW w:type="dxa" w:w="2665"/>
          </w:tcPr>
          <w:p>
            <w:r>
              <w:rPr>
                <w:sz w:val="20"/>
              </w:rPr>
              <w:t>阈值告警规则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threshold_alert_record</w:t>
            </w:r>
          </w:p>
        </w:tc>
        <w:tc>
          <w:tcPr>
            <w:tcW w:type="dxa" w:w="1020"/>
          </w:tcPr>
          <w:p>
            <w:r>
              <w:rPr>
                <w:sz w:val="20"/>
              </w:rPr>
              <w:t>12 条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threshold-alert-service</w:t>
            </w:r>
          </w:p>
        </w:tc>
        <w:tc>
          <w:tcPr>
            <w:tcW w:type="dxa" w:w="2665"/>
          </w:tcPr>
          <w:p>
            <w:r>
              <w:rPr>
                <w:sz w:val="20"/>
              </w:rPr>
              <w:t>阈值告警记录</w:t>
            </w:r>
          </w:p>
        </w:tc>
      </w:tr>
    </w:tbl>
    <w:p>
      <w:pPr>
        <w:pStyle w:val="Heading2"/>
      </w:pPr>
      <w:r>
        <w:rPr>
          <w:rFonts w:ascii="黑体" w:hAnsi="黑体" w:eastAsia="黑体"/>
          <w:sz w:val="28"/>
        </w:rPr>
        <w:t>5.4  数据迁移策略（三阶段）</w:t>
      </w:r>
    </w:p>
    <w:p>
      <w:pPr>
        <w:ind w:firstLine="480"/>
      </w:pPr>
      <w:r>
        <w:rPr>
          <w:rFonts w:ascii="宋体" w:hAnsi="宋体" w:eastAsia="宋体"/>
          <w:b w:val="0"/>
          <w:sz w:val="22"/>
        </w:rPr>
        <w:t>第一阶段：新建 agri_ 表并双写；编写历史数据迁移脚本将旧数据插入新表。</w:t>
      </w:r>
    </w:p>
    <w:p>
      <w:pPr>
        <w:ind w:firstLine="480"/>
      </w:pPr>
      <w:r>
        <w:rPr>
          <w:rFonts w:ascii="宋体" w:hAnsi="宋体" w:eastAsia="宋体"/>
          <w:b w:val="0"/>
          <w:sz w:val="22"/>
        </w:rPr>
        <w:t>第二阶段：读流量逐步切向新表；灰度验证查询结果一致性；监控索引命中率。</w:t>
      </w:r>
    </w:p>
    <w:p>
      <w:pPr>
        <w:ind w:firstLine="480"/>
      </w:pPr>
      <w:r>
        <w:rPr>
          <w:rFonts w:ascii="宋体" w:hAnsi="宋体" w:eastAsia="宋体"/>
          <w:b w:val="0"/>
          <w:sz w:val="22"/>
        </w:rPr>
        <w:t>第三阶段：停止双写；旧表重命名为 *_archive_v1；确认无误后在维护窗口 DROP。</w:t>
      </w:r>
    </w:p>
    <w:p>
      <w:pPr>
        <w:ind w:firstLine="480"/>
      </w:pPr>
      <w:r>
        <w:rPr>
          <w:rFonts w:ascii="宋体" w:hAnsi="宋体" w:eastAsia="宋体"/>
          <w:b w:val="0"/>
          <w:sz w:val="22"/>
        </w:rPr>
        <w:t>回滚策略：停用旧表前可随时切回旧版本代码（零停机回滚），因为旧表持续在双写阶段保持数据同步。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sz w:val="32"/>
        </w:rPr>
        <w:t>第六章  部署与运维</w:t>
      </w:r>
    </w:p>
    <w:p>
      <w:pPr>
        <w:pStyle w:val="Heading2"/>
      </w:pPr>
      <w:r>
        <w:rPr>
          <w:rFonts w:ascii="黑体" w:hAnsi="黑体" w:eastAsia="黑体"/>
          <w:sz w:val="28"/>
        </w:rPr>
        <w:t>6.1  环境要求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</w:tcPr>
          <w:p>
            <w:r>
              <w:rPr>
                <w:b/>
                <w:sz w:val="20"/>
              </w:rPr>
              <w:t>组件</w:t>
            </w:r>
          </w:p>
        </w:tc>
        <w:tc>
          <w:tcPr>
            <w:tcW w:type="dxa" w:w="1984"/>
          </w:tcPr>
          <w:p>
            <w:r>
              <w:rPr>
                <w:b/>
                <w:sz w:val="20"/>
              </w:rPr>
              <w:t>版本要求</w:t>
            </w:r>
          </w:p>
        </w:tc>
        <w:tc>
          <w:tcPr>
            <w:tcW w:type="dxa" w:w="4819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JDK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OpenJDK 21+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后端微服务运行时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Node.js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20+（推荐 24.x）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前端构建与开发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MySQL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5.7+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业务数据（支持 JSON 类型和分区）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Redis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7.2+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设备最新值缓存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Kafka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3.7.x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消息总线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EMQX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5.x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MQTT Broker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Nacos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2.3.x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注册中心 &amp; 配置中心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Docker / Docker Compose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可选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基础设施快速拉起</w:t>
            </w:r>
          </w:p>
        </w:tc>
      </w:tr>
    </w:tbl>
    <w:p>
      <w:pPr>
        <w:pStyle w:val="Heading2"/>
      </w:pPr>
      <w:r>
        <w:rPr>
          <w:rFonts w:ascii="黑体" w:hAnsi="黑体" w:eastAsia="黑体"/>
          <w:sz w:val="28"/>
        </w:rPr>
        <w:t>6.2  本地快速启动</w:t>
      </w:r>
    </w:p>
    <w:p>
      <w:pPr>
        <w:ind w:firstLine="480"/>
      </w:pPr>
      <w:r>
        <w:rPr>
          <w:rFonts w:ascii="宋体" w:hAnsi="宋体" w:eastAsia="宋体"/>
          <w:b w:val="0"/>
          <w:sz w:val="22"/>
        </w:rPr>
        <w:t>后端（Maven）：</w:t>
      </w:r>
    </w:p>
    <w:p>
      <w:pPr>
        <w:pStyle w:val="ListBullet"/>
      </w:pPr>
      <w:r>
        <w:rPr>
          <w:rFonts w:ascii="Courier New" w:hAnsi="Courier New"/>
          <w:sz w:val="20"/>
        </w:rPr>
        <w:t>cd backend</w:t>
      </w:r>
    </w:p>
    <w:p>
      <w:pPr>
        <w:pStyle w:val="ListBullet"/>
      </w:pPr>
      <w:r>
        <w:rPr>
          <w:rFonts w:ascii="Courier New" w:hAnsi="Courier New"/>
          <w:sz w:val="20"/>
        </w:rPr>
        <w:t>mvn clean package -DskipTests</w:t>
      </w:r>
    </w:p>
    <w:p>
      <w:pPr>
        <w:pStyle w:val="ListBullet"/>
      </w:pPr>
      <w:r>
        <w:rPr>
          <w:rFonts w:ascii="Courier New" w:hAnsi="Courier New"/>
          <w:sz w:val="20"/>
        </w:rPr>
        <w:t>cd agri-services/iot-access-service</w:t>
      </w:r>
    </w:p>
    <w:p>
      <w:pPr>
        <w:pStyle w:val="ListBullet"/>
      </w:pPr>
      <w:r>
        <w:rPr>
          <w:rFonts w:ascii="Courier New" w:hAnsi="Courier New"/>
          <w:sz w:val="20"/>
        </w:rPr>
        <w:t>mvn spring-boot:run   # 默认端口 8082</w:t>
      </w:r>
    </w:p>
    <w:p>
      <w:pPr>
        <w:ind w:firstLine="480"/>
      </w:pPr>
      <w:r>
        <w:rPr>
          <w:rFonts w:ascii="宋体" w:hAnsi="宋体" w:eastAsia="宋体"/>
          <w:b w:val="0"/>
          <w:sz w:val="22"/>
        </w:rPr>
        <w:t>前端（npm）：</w:t>
      </w:r>
    </w:p>
    <w:p>
      <w:pPr>
        <w:pStyle w:val="ListBullet"/>
      </w:pPr>
      <w:r>
        <w:rPr>
          <w:rFonts w:ascii="Courier New" w:hAnsi="Courier New"/>
          <w:sz w:val="20"/>
        </w:rPr>
        <w:t>npm install</w:t>
      </w:r>
    </w:p>
    <w:p>
      <w:pPr>
        <w:pStyle w:val="ListBullet"/>
      </w:pPr>
      <w:r>
        <w:rPr>
          <w:rFonts w:ascii="Courier New" w:hAnsi="Courier New"/>
          <w:sz w:val="20"/>
        </w:rPr>
        <w:t>cp .env.example .env.local    # 然后按实际修改</w:t>
      </w:r>
    </w:p>
    <w:p>
      <w:pPr>
        <w:pStyle w:val="ListBullet"/>
      </w:pPr>
      <w:r>
        <w:rPr>
          <w:rFonts w:ascii="Courier New" w:hAnsi="Courier New"/>
          <w:sz w:val="20"/>
        </w:rPr>
        <w:t>npm run dev                   # 默认 http://localhost:5173</w:t>
      </w:r>
    </w:p>
    <w:p>
      <w:pPr>
        <w:ind w:firstLine="480"/>
      </w:pPr>
      <w:r>
        <w:rPr>
          <w:rFonts w:ascii="宋体" w:hAnsi="宋体" w:eastAsia="宋体"/>
          <w:b w:val="0"/>
          <w:sz w:val="22"/>
        </w:rPr>
        <w:t>探针验证：访问 http://localhost:8082/api/v1/smoke/check，返回 200 即正常。</w:t>
      </w:r>
    </w:p>
    <w:p>
      <w:pPr>
        <w:pStyle w:val="Heading2"/>
      </w:pPr>
      <w:r>
        <w:rPr>
          <w:rFonts w:ascii="黑体" w:hAnsi="黑体" w:eastAsia="黑体"/>
          <w:sz w:val="28"/>
        </w:rPr>
        <w:t>6.3  关键环境变量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18"/>
          </w:tcPr>
          <w:p>
            <w:r>
              <w:rPr>
                <w:b/>
                <w:sz w:val="20"/>
              </w:rPr>
              <w:t>变量名</w:t>
            </w:r>
          </w:p>
        </w:tc>
        <w:tc>
          <w:tcPr>
            <w:tcW w:type="dxa" w:w="2551"/>
          </w:tcPr>
          <w:p>
            <w:r>
              <w:rPr>
                <w:b/>
                <w:sz w:val="20"/>
              </w:rPr>
              <w:t>示例值</w:t>
            </w:r>
          </w:p>
        </w:tc>
        <w:tc>
          <w:tcPr>
            <w:tcW w:type="dxa" w:w="3118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SPRING_DATASOURCE_URL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jdbc:mysql://host:3306/dream6?...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数据库连接串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SPRING_DATASOURCE_USERNAME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root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数据库用户名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SPRING_DATASOURCE_PASSWORD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（自行填写）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数据库密码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REDIS_HOST / REDIS_PORT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127.0.0.1 / 6379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Redis 连接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KAFKA_BOOTSTRAP_SERVERS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127.0.0.1:9092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Kafka 地址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MQTT_BROKER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tcp://127.0.0.1:1883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EMQX 地址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NACOS_SERVER_ADDR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127.0.0.1:8848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Nacos 地址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HUAWEICLOUD_IOTDA_COMMAND_ENABLED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false（默认）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是否启用 IoTDA 命令下发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HUAWEICLOUD_IOTDA_AK / SK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（华为云 AK/SK）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华为云认证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APP_FLYWAY_ENABLED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false（默认）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是否执行 Flyway 迁移</w:t>
            </w:r>
          </w:p>
        </w:tc>
      </w:tr>
    </w:tbl>
    <w:p>
      <w:pPr>
        <w:pStyle w:val="Heading2"/>
      </w:pPr>
      <w:r>
        <w:rPr>
          <w:rFonts w:ascii="黑体" w:hAnsi="黑体" w:eastAsia="黑体"/>
          <w:sz w:val="28"/>
        </w:rPr>
        <w:t>6.4  监控与日志</w:t>
      </w:r>
    </w:p>
    <w:p>
      <w:pPr>
        <w:ind w:firstLine="480"/>
      </w:pPr>
      <w:r>
        <w:rPr>
          <w:rFonts w:ascii="宋体" w:hAnsi="宋体" w:eastAsia="宋体"/>
          <w:b w:val="0"/>
          <w:sz w:val="22"/>
        </w:rPr>
        <w:t>Prometheus + Grafana：Spring Boot Actuator 暴露 /actuator/prometheus 端点，Grafana 导入 JVM / 业务 Dashboard。</w:t>
      </w:r>
    </w:p>
    <w:p>
      <w:pPr>
        <w:ind w:firstLine="480"/>
      </w:pPr>
      <w:r>
        <w:rPr>
          <w:rFonts w:ascii="宋体" w:hAnsi="宋体" w:eastAsia="宋体"/>
          <w:b w:val="0"/>
          <w:sz w:val="22"/>
        </w:rPr>
        <w:t>日志聚合：可选 Loki（轻量）或 ELK（完整），通过 Logback JSON appender 输出结构化日志。</w:t>
      </w:r>
    </w:p>
    <w:p>
      <w:pPr>
        <w:ind w:firstLine="480"/>
      </w:pPr>
      <w:r>
        <w:rPr>
          <w:rFonts w:ascii="宋体" w:hAnsi="宋体" w:eastAsia="宋体"/>
          <w:b w:val="0"/>
          <w:sz w:val="22"/>
        </w:rPr>
        <w:t>链路追踪：集成 OpenTelemetry SDK，配置 OTLP exporter 推送到 Jaeger 或 Tempo。</w:t>
      </w:r>
    </w:p>
    <w:p>
      <w:pPr>
        <w:ind w:firstLine="480"/>
      </w:pPr>
      <w:r>
        <w:rPr>
          <w:rFonts w:ascii="宋体" w:hAnsi="宋体" w:eastAsia="宋体"/>
          <w:b w:val="0"/>
          <w:sz w:val="22"/>
        </w:rPr>
        <w:t>健康检查端点：GET /actuator/health（Spring Boot Actuator 内置）。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sz w:val="32"/>
        </w:rPr>
        <w:t>附录 A  团队分工与 WBS</w:t>
      </w:r>
    </w:p>
    <w:p>
      <w:pPr>
        <w:pStyle w:val="Heading2"/>
      </w:pPr>
      <w:r>
        <w:rPr>
          <w:rFonts w:ascii="黑体" w:hAnsi="黑体" w:eastAsia="黑体"/>
          <w:sz w:val="28"/>
        </w:rPr>
        <w:t>A.1  成员分工总览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134"/>
          </w:tcPr>
          <w:p>
            <w:r>
              <w:rPr>
                <w:b/>
                <w:sz w:val="20"/>
              </w:rPr>
              <w:t>成员</w:t>
            </w:r>
          </w:p>
        </w:tc>
        <w:tc>
          <w:tcPr>
            <w:tcW w:type="dxa" w:w="2268"/>
          </w:tcPr>
          <w:p>
            <w:r>
              <w:rPr>
                <w:b/>
                <w:sz w:val="20"/>
              </w:rPr>
              <w:t>负责场景</w:t>
            </w:r>
          </w:p>
        </w:tc>
        <w:tc>
          <w:tcPr>
            <w:tcW w:type="dxa" w:w="2835"/>
          </w:tcPr>
          <w:p>
            <w:r>
              <w:rPr>
                <w:b/>
                <w:sz w:val="20"/>
              </w:rPr>
              <w:t>负责服务</w:t>
            </w:r>
          </w:p>
        </w:tc>
        <w:tc>
          <w:tcPr>
            <w:tcW w:type="dxa" w:w="2551"/>
          </w:tcPr>
          <w:p>
            <w:r>
              <w:rPr>
                <w:b/>
                <w:sz w:val="20"/>
              </w:rPr>
              <w:t>核心交付物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成员1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实时监测 + 历史趋势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iot-access-service, telemetry-service, analytics-service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实时监测接口、历史趋势接口、数据模拟脚本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成员2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阈值告警 + 审计导出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alert-service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告警接口、阈值配置接口、导出接口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成员3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手动控制 + 定时控制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control-service, schedule-service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控制接口、定时任务接口、执行日志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成员4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联动规则 + 多大棚 + 问答 + 公共集成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rule-engine-service, greenhouse-service, qa-service, gateway-service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联动接口、多大棚接口、占位 AI 接口、统一配置文档</w:t>
            </w:r>
          </w:p>
        </w:tc>
      </w:tr>
    </w:tbl>
    <w:p>
      <w:pPr>
        <w:pStyle w:val="Heading2"/>
      </w:pPr>
      <w:r>
        <w:rPr>
          <w:rFonts w:ascii="黑体" w:hAnsi="黑体" w:eastAsia="黑体"/>
          <w:sz w:val="28"/>
        </w:rPr>
        <w:t>A.2  WBS 任务分解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134"/>
          </w:tcPr>
          <w:p>
            <w:r>
              <w:rPr>
                <w:b/>
                <w:sz w:val="20"/>
              </w:rPr>
              <w:t>编号</w:t>
            </w:r>
          </w:p>
        </w:tc>
        <w:tc>
          <w:tcPr>
            <w:tcW w:type="dxa" w:w="3402"/>
          </w:tcPr>
          <w:p>
            <w:r>
              <w:rPr>
                <w:b/>
                <w:sz w:val="20"/>
              </w:rPr>
              <w:t>任务</w:t>
            </w:r>
          </w:p>
        </w:tc>
        <w:tc>
          <w:tcPr>
            <w:tcW w:type="dxa" w:w="1417"/>
          </w:tcPr>
          <w:p>
            <w:r>
              <w:rPr>
                <w:b/>
                <w:sz w:val="20"/>
              </w:rPr>
              <w:t>负责人</w:t>
            </w:r>
          </w:p>
        </w:tc>
        <w:tc>
          <w:tcPr>
            <w:tcW w:type="dxa" w:w="2835"/>
          </w:tcPr>
          <w:p>
            <w:r>
              <w:rPr>
                <w:b/>
                <w:sz w:val="20"/>
              </w:rPr>
              <w:t>输出物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WBS-1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创建仓库结构、Maven 父子工程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成员4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初始工程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WBS-2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搭建 Nacos/MySQL/Redis/Kafka/EMQX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成员4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docker-compose.yml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WBS-3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设计核心数据库表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全员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SQL 脚本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WBS-4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实现实时监测链路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成员1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实时监测接口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WBS-5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实现历史趋势接口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成员1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趋势分析接口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WBS-6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实现阈值告警逻辑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成员2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告警生成接口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WBS-7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实现告警查询与导出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成员2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查询与导出接口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WBS-8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实现手动控制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成员3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控制接口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WBS-9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实现定时控制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成员3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定时任务接口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WBS-10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实现联动规则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成员4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联动规则接口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WBS-11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实现多大棚汇总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成员4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总览接口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WBS-12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智能问答预留接口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成员4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占位接口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WBS-13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联调与缺陷修复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全员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缺陷关闭记录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WBS-14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文档整理与交付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全员（成员4 汇总）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交付包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黑体" w:hAnsi="黑体" w:eastAsia="黑体"/>
          <w:sz w:val="32"/>
        </w:rPr>
        <w:t>附录 B  接口快速参考</w:t>
      </w:r>
    </w:p>
    <w:p>
      <w:pPr>
        <w:ind w:firstLine="480"/>
      </w:pPr>
      <w:r>
        <w:rPr>
          <w:rFonts w:ascii="宋体" w:hAnsi="宋体" w:eastAsia="宋体"/>
          <w:b w:val="0"/>
          <w:sz w:val="22"/>
        </w:rPr>
        <w:t>所有接口统一经 gateway-service（默认端口 8080）转发。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134"/>
          </w:tcPr>
          <w:p>
            <w:r>
              <w:rPr>
                <w:b/>
                <w:sz w:val="20"/>
              </w:rPr>
              <w:t>Method</w:t>
            </w:r>
          </w:p>
        </w:tc>
        <w:tc>
          <w:tcPr>
            <w:tcW w:type="dxa" w:w="4535"/>
          </w:tcPr>
          <w:p>
            <w:r>
              <w:rPr>
                <w:b/>
                <w:sz w:val="20"/>
              </w:rPr>
              <w:t>路径</w:t>
            </w:r>
          </w:p>
        </w:tc>
        <w:tc>
          <w:tcPr>
            <w:tcW w:type="dxa" w:w="3118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/api/greenhouses/:gh/realtime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前端实时快照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/api/greenhouses/:gh/history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前端历史趋势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WS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/ws/realtime?greenhouse=xxx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WebSocket 实时推送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/api/v1/iot/devices/:id/latest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设备最新遥测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/api/v1/iot/devices/:id/telemetry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遥测历史（minutes 参数）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/api/v1/iot/commands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下发控制命令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/api/v1/alerts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告警记录列表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/api/v1/threshold-rules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创建阈值规则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/api/v1/alerts/export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导出告警 Excel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/api/v1/control/commands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手动控制指令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/api/v1/schedules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创建定时任务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/api/v1/rules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创建联动规则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/api/v1/greenhouses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大棚列表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/api/v1/qa/chat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AI 问答（SSE 流式）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/api/v1/smoke/check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服务探针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/actuator/health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健康检查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/swagger-ui/index.html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OpenAPI 文档</w:t>
            </w:r>
          </w:p>
        </w:tc>
      </w:tr>
    </w:tbl>
    <w:sectPr w:rsidR="00FC693F" w:rsidRPr="0006063C" w:rsidSect="00034616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