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3A17" w14:textId="44E4CAF0" w:rsidR="00510543" w:rsidRPr="00F66736" w:rsidRDefault="00F66736">
      <w:pPr>
        <w:rPr>
          <w:rFonts w:hint="eastAsia"/>
        </w:rPr>
      </w:pPr>
      <w:r>
        <w:rPr>
          <w:rFonts w:ascii="Times New Roman" w:eastAsia="黑体" w:hAnsi="Times New Roman" w:cs="Times New Roman" w:hint="eastAsia"/>
          <w:b/>
          <w:bCs/>
          <w:color w:val="0A2F41" w:themeColor="accent1" w:themeShade="80"/>
          <w:sz w:val="30"/>
          <w:szCs w:val="30"/>
        </w:rPr>
        <w:t>[</w:t>
      </w:r>
      <w:r>
        <w:rPr>
          <w:rFonts w:ascii="Times New Roman" w:eastAsia="黑体" w:hAnsi="Times New Roman" w:cs="Times New Roman" w:hint="eastAsia"/>
          <w:b/>
          <w:bCs/>
          <w:color w:val="0A2F41" w:themeColor="accent1" w:themeShade="80"/>
          <w:sz w:val="30"/>
          <w:szCs w:val="30"/>
        </w:rPr>
        <w:t>文献速递</w:t>
      </w:r>
      <w:r>
        <w:rPr>
          <w:rFonts w:ascii="Times New Roman" w:eastAsia="黑体" w:hAnsi="Times New Roman" w:cs="Times New Roman" w:hint="eastAsia"/>
          <w:b/>
          <w:bCs/>
          <w:color w:val="0A2F41" w:themeColor="accent1" w:themeShade="80"/>
          <w:sz w:val="30"/>
          <w:szCs w:val="30"/>
        </w:rPr>
        <w:t>No.788]MFEL-YOLO</w:t>
      </w:r>
      <w:r>
        <w:rPr>
          <w:rFonts w:ascii="Times New Roman" w:eastAsia="黑体" w:hAnsi="Times New Roman" w:cs="Times New Roman" w:hint="eastAsia"/>
          <w:b/>
          <w:bCs/>
          <w:color w:val="0A2F41" w:themeColor="accent1" w:themeShade="80"/>
          <w:sz w:val="30"/>
          <w:szCs w:val="30"/>
        </w:rPr>
        <w:t>用于无人机航拍图像中的小目标检测</w:t>
      </w:r>
    </w:p>
    <w:p w14:paraId="2D25CE5F" w14:textId="22DB81B8" w:rsidR="00510543" w:rsidRDefault="00000000">
      <w:pPr>
        <w:rPr>
          <w:rFonts w:asciiTheme="minorEastAsia" w:hAnsiTheme="minorEastAsia" w:hint="eastAsia"/>
          <w:bCs/>
          <w:szCs w:val="21"/>
        </w:rPr>
      </w:pPr>
      <w:r w:rsidRPr="00FA538D">
        <w:rPr>
          <w:rFonts w:asciiTheme="minorEastAsia" w:hAnsiTheme="minorEastAsia" w:hint="eastAsia"/>
          <w:bCs/>
          <w:szCs w:val="21"/>
        </w:rPr>
        <w:t>撰稿人：高然</w:t>
      </w:r>
    </w:p>
    <w:p w14:paraId="7AEB5F2B" w14:textId="71F620D1" w:rsidR="00F66736" w:rsidRDefault="00F6673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55D8A8" wp14:editId="47388962">
            <wp:extent cx="5274310" cy="1226185"/>
            <wp:effectExtent l="0" t="0" r="2540" b="0"/>
            <wp:docPr id="562451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1563" name="图片 5624515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8BDB" w14:textId="30191860" w:rsidR="00F66736" w:rsidRPr="00F66736" w:rsidRDefault="00F66736" w:rsidP="00F66736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无人机航拍图像目标检测已经广泛用于农业监测、交通监管、灾害救援和城市规划。与地面自然图像相比，无人机图像通常由远距离俯视拍摄，分辨率高、视场大，拍摄高度和角度变化显著，目标尺度分布因此更加复杂，其中多数目标仅占很少像素。小目标既缺少纹理和轮廓细节，又容易被道路、建筑和植被等复杂背景淹没；随着网络下采样，有限的细粒度信息还会持续损失。因而，模型不仅要提高小目标的特征提取和多尺度融合能力，还要兼顾参数规模，才能满足机载或边缘端部署对精度与效率的双重要求。</w:t>
      </w:r>
    </w:p>
    <w:p w14:paraId="31B9FE25" w14:textId="0B15605E" w:rsidR="00F66736" w:rsidRDefault="00F66736" w:rsidP="00F66736">
      <w:pPr>
        <w:ind w:firstLine="42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</w:rPr>
        <w:t>针对上述问题，</w:t>
      </w:r>
      <w:r>
        <w:rPr>
          <w:rFonts w:ascii="Times New Roman" w:hAnsi="Times New Roman" w:cs="Times New Roman"/>
        </w:rPr>
        <w:t>Hou</w:t>
      </w:r>
      <w:r>
        <w:rPr>
          <w:rFonts w:ascii="Times New Roman" w:hAnsi="Times New Roman" w:cs="Times New Roman"/>
        </w:rPr>
        <w:t>等人在</w:t>
      </w:r>
      <w:r>
        <w:rPr>
          <w:rFonts w:ascii="Times New Roman" w:hAnsi="Times New Roman" w:cs="Times New Roman"/>
        </w:rPr>
        <w:t>YOLOv8-S</w:t>
      </w:r>
      <w:r>
        <w:rPr>
          <w:rFonts w:ascii="Times New Roman" w:hAnsi="Times New Roman" w:cs="Times New Roman"/>
        </w:rPr>
        <w:t>基础上提出多阶段特征增强轻量化检测器</w:t>
      </w:r>
      <w:r>
        <w:rPr>
          <w:rFonts w:ascii="Times New Roman" w:hAnsi="Times New Roman" w:cs="Times New Roman"/>
        </w:rPr>
        <w:t>MFEL-YOLO</w:t>
      </w:r>
      <w:r>
        <w:rPr>
          <w:rFonts w:ascii="Times New Roman" w:hAnsi="Times New Roman" w:cs="Times New Roman"/>
        </w:rPr>
        <w:t>。作者移除原模型的</w:t>
      </w:r>
      <w:r>
        <w:rPr>
          <w:rFonts w:ascii="Times New Roman" w:hAnsi="Times New Roman" w:cs="Times New Roman"/>
        </w:rPr>
        <w:t>P5</w:t>
      </w:r>
      <w:r>
        <w:rPr>
          <w:rFonts w:ascii="Times New Roman" w:hAnsi="Times New Roman" w:cs="Times New Roman"/>
        </w:rPr>
        <w:t>特征提取与检测层，增加更适合保留细粒度信息的</w:t>
      </w:r>
      <w:r>
        <w:rPr>
          <w:rFonts w:ascii="Times New Roman" w:hAnsi="Times New Roman" w:cs="Times New Roman"/>
        </w:rPr>
        <w:t>P2</w:t>
      </w:r>
      <w:r>
        <w:rPr>
          <w:rFonts w:ascii="Times New Roman" w:hAnsi="Times New Roman" w:cs="Times New Roman"/>
        </w:rPr>
        <w:t>检测层，并从特征提取、跨层特征融合和目标检测三个阶段进行增强：</w:t>
      </w:r>
      <w:r>
        <w:rPr>
          <w:rFonts w:ascii="Times New Roman" w:hAnsi="Times New Roman" w:cs="Times New Roman"/>
        </w:rPr>
        <w:t>HE-C2F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MFFM</w:t>
      </w:r>
      <w:r>
        <w:rPr>
          <w:rFonts w:ascii="Times New Roman" w:hAnsi="Times New Roman" w:cs="Times New Roman"/>
        </w:rPr>
        <w:t>负责自适应提取并保留小目标特征，</w:t>
      </w:r>
      <w:r>
        <w:rPr>
          <w:rFonts w:ascii="Times New Roman" w:hAnsi="Times New Roman" w:cs="Times New Roman"/>
        </w:rPr>
        <w:t>E-PAN</w:t>
      </w:r>
      <w:r>
        <w:rPr>
          <w:rFonts w:ascii="Times New Roman" w:hAnsi="Times New Roman" w:cs="Times New Roman"/>
        </w:rPr>
        <w:t>利用先验引导的自适应策略融合不同层级信息，</w:t>
      </w:r>
      <w:r>
        <w:rPr>
          <w:rFonts w:ascii="Times New Roman" w:hAnsi="Times New Roman" w:cs="Times New Roman"/>
        </w:rPr>
        <w:t>CE-Head</w:t>
      </w:r>
      <w:r>
        <w:rPr>
          <w:rFonts w:ascii="Times New Roman" w:hAnsi="Times New Roman" w:cs="Times New Roman"/>
        </w:rPr>
        <w:t>通过多尺度卷积补充目标上下文。相关成果以</w:t>
      </w:r>
      <w:r>
        <w:rPr>
          <w:rFonts w:ascii="Times New Roman" w:hAnsi="Times New Roman" w:cs="Times New Roman"/>
        </w:rPr>
        <w:t>“MFEL-YOLO for small object detection in UAV aerial images”</w:t>
      </w:r>
      <w:r>
        <w:rPr>
          <w:rFonts w:ascii="Times New Roman" w:hAnsi="Times New Roman" w:cs="Times New Roman"/>
        </w:rPr>
        <w:t>为题发表于</w:t>
      </w:r>
      <w:r w:rsidR="0012165A">
        <w:rPr>
          <w:rFonts w:ascii="宋体" w:eastAsia="宋体" w:hAnsi="宋体" w:cs="Times New Roman" w:hint="eastAsia"/>
        </w:rPr>
        <w:t>“</w:t>
      </w:r>
      <w:r>
        <w:rPr>
          <w:rFonts w:ascii="Times New Roman" w:hAnsi="Times New Roman" w:cs="Times New Roman"/>
        </w:rPr>
        <w:t>Expert Systems With Applications</w:t>
      </w:r>
      <w:r w:rsidR="0012165A">
        <w:rPr>
          <w:rFonts w:ascii="Times New Roman" w:hAnsi="Times New Roman" w:cs="Times New Roman"/>
        </w:rPr>
        <w:t>”</w:t>
      </w:r>
      <w:r w:rsidR="0012165A">
        <w:rPr>
          <w:rFonts w:ascii="Times New Roman" w:hAnsi="Times New Roman" w:cs="Times New Roman" w:hint="eastAsia"/>
          <w:bCs/>
          <w:szCs w:val="21"/>
        </w:rPr>
        <w:t>。</w:t>
      </w:r>
    </w:p>
    <w:p w14:paraId="24F41544" w14:textId="3B0B9FC1" w:rsidR="00EE7B2A" w:rsidRDefault="00EE7B2A" w:rsidP="00EE7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47FC7B8A" wp14:editId="56A3B2DA">
            <wp:extent cx="5274310" cy="3138805"/>
            <wp:effectExtent l="0" t="0" r="2540" b="4445"/>
            <wp:docPr id="1867813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1373" name="图片 1867813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D716" w14:textId="018B215E" w:rsidR="00EE7B2A" w:rsidRPr="00EE7B2A" w:rsidRDefault="00EE7B2A" w:rsidP="00EE7B2A">
      <w:pPr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图</w:t>
      </w:r>
      <w:r>
        <w:rPr>
          <w:rFonts w:ascii="Times New Roman" w:hAnsi="Times New Roman" w:cs="Times New Roman" w:hint="eastAsia"/>
          <w:sz w:val="18"/>
          <w:szCs w:val="18"/>
        </w:rPr>
        <w:t>1 MFEL-YOLO</w:t>
      </w:r>
      <w:r>
        <w:rPr>
          <w:rFonts w:ascii="Times New Roman" w:hAnsi="Times New Roman" w:cs="Times New Roman" w:hint="eastAsia"/>
          <w:sz w:val="18"/>
          <w:szCs w:val="18"/>
        </w:rPr>
        <w:t>总体结构</w:t>
      </w:r>
    </w:p>
    <w:p w14:paraId="64349B78" w14:textId="02370DFA" w:rsidR="00EE7B2A" w:rsidRDefault="00EE7B2A" w:rsidP="00EE7B2A">
      <w:p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MFEL-YOLO</w:t>
      </w:r>
      <w:r>
        <w:rPr>
          <w:rFonts w:ascii="Times New Roman" w:hAnsi="Times New Roman" w:cs="Times New Roman"/>
        </w:rPr>
        <w:t>的整体框架如图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所示。特征提取阶段用</w:t>
      </w:r>
      <w:r>
        <w:rPr>
          <w:rFonts w:ascii="Times New Roman" w:hAnsi="Times New Roman" w:cs="Times New Roman"/>
        </w:rPr>
        <w:t>HE-C2F</w:t>
      </w:r>
      <w:r>
        <w:rPr>
          <w:rFonts w:ascii="Times New Roman" w:hAnsi="Times New Roman" w:cs="Times New Roman"/>
        </w:rPr>
        <w:t>替换关键</w:t>
      </w:r>
      <w:r>
        <w:rPr>
          <w:rFonts w:ascii="Times New Roman" w:hAnsi="Times New Roman" w:cs="Times New Roman"/>
        </w:rPr>
        <w:t>C2f</w:t>
      </w:r>
      <w:r>
        <w:rPr>
          <w:rFonts w:ascii="Times New Roman" w:hAnsi="Times New Roman" w:cs="Times New Roman"/>
        </w:rPr>
        <w:t>单元，并在主干末端加入</w:t>
      </w:r>
      <w:r>
        <w:rPr>
          <w:rFonts w:ascii="Times New Roman" w:hAnsi="Times New Roman" w:cs="Times New Roman"/>
        </w:rPr>
        <w:t>MFFM</w:t>
      </w:r>
      <w:r>
        <w:rPr>
          <w:rFonts w:ascii="Times New Roman" w:hAnsi="Times New Roman" w:cs="Times New Roman"/>
        </w:rPr>
        <w:t>；跨层融合阶段由</w:t>
      </w:r>
      <w:r>
        <w:rPr>
          <w:rFonts w:ascii="Times New Roman" w:hAnsi="Times New Roman" w:cs="Times New Roman"/>
        </w:rPr>
        <w:t>E-PAN</w:t>
      </w:r>
      <w:r>
        <w:rPr>
          <w:rFonts w:ascii="Times New Roman" w:hAnsi="Times New Roman" w:cs="Times New Roman"/>
        </w:rPr>
        <w:t>完成自顶向下与自底向上的双向信息传递；检测阶段在</w:t>
      </w:r>
      <w:r>
        <w:rPr>
          <w:rFonts w:ascii="Times New Roman" w:hAnsi="Times New Roman" w:cs="Times New Roman"/>
        </w:rPr>
        <w:t>P2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P3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P4</w:t>
      </w:r>
      <w:r>
        <w:rPr>
          <w:rFonts w:ascii="Times New Roman" w:hAnsi="Times New Roman" w:cs="Times New Roman"/>
        </w:rPr>
        <w:t>三种尺度上配置</w:t>
      </w:r>
      <w:r>
        <w:rPr>
          <w:rFonts w:ascii="Times New Roman" w:hAnsi="Times New Roman" w:cs="Times New Roman"/>
        </w:rPr>
        <w:t>CE-Head</w:t>
      </w:r>
      <w:r>
        <w:rPr>
          <w:rFonts w:ascii="Times New Roman" w:hAnsi="Times New Roman" w:cs="Times New Roman"/>
        </w:rPr>
        <w:t>。基线结构移除</w:t>
      </w:r>
      <w:r>
        <w:rPr>
          <w:rFonts w:ascii="Times New Roman" w:hAnsi="Times New Roman" w:cs="Times New Roman"/>
        </w:rPr>
        <w:t>P5</w:t>
      </w:r>
      <w:r>
        <w:rPr>
          <w:rFonts w:ascii="Times New Roman" w:hAnsi="Times New Roman" w:cs="Times New Roman"/>
        </w:rPr>
        <w:t>后参数量下降</w:t>
      </w:r>
      <w:r>
        <w:rPr>
          <w:rFonts w:ascii="Times New Roman" w:hAnsi="Times New Roman" w:cs="Times New Roman"/>
        </w:rPr>
        <w:t>65.5%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lastRenderedPageBreak/>
        <w:t>但性能略有回落，后续四个模块用于弥补感受野、细节保留、语义对齐和上下文建模方面的不足。</w:t>
      </w:r>
    </w:p>
    <w:p w14:paraId="7ADF7354" w14:textId="7005D5FF" w:rsidR="00EE7B2A" w:rsidRDefault="00EE7B2A" w:rsidP="00EE7B2A">
      <w:p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特征提取首先面临两个矛盾：固定卷积难以适配无人机图像中不规则且尺度变化明显的目标，而连续下采样又会削弱小目标本就有限的细节。为此，作者把</w:t>
      </w:r>
      <w:r>
        <w:rPr>
          <w:rFonts w:ascii="Times New Roman" w:hAnsi="Times New Roman" w:cs="Times New Roman"/>
        </w:rPr>
        <w:t>HE-C2F</w:t>
      </w:r>
      <w:r>
        <w:rPr>
          <w:rFonts w:ascii="Times New Roman" w:hAnsi="Times New Roman" w:cs="Times New Roman"/>
        </w:rPr>
        <w:t>设计为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自适应提取单元</w:t>
      </w:r>
      <w:r>
        <w:rPr>
          <w:rFonts w:ascii="Times New Roman" w:hAnsi="Times New Roman" w:cs="Times New Roman"/>
        </w:rPr>
        <w:t>(AEU)+</w:t>
      </w:r>
      <w:r>
        <w:rPr>
          <w:rFonts w:ascii="Times New Roman" w:hAnsi="Times New Roman" w:cs="Times New Roman"/>
        </w:rPr>
        <w:t>分组多尺度特征聚焦单元</w:t>
      </w:r>
      <w:r>
        <w:rPr>
          <w:rFonts w:ascii="Times New Roman" w:hAnsi="Times New Roman" w:cs="Times New Roman"/>
        </w:rPr>
        <w:t>(GMFF)”</w:t>
      </w:r>
      <w:r>
        <w:rPr>
          <w:rFonts w:ascii="Times New Roman" w:hAnsi="Times New Roman" w:cs="Times New Roman"/>
        </w:rPr>
        <w:t>的两阶段结构，并在</w:t>
      </w:r>
      <w:r>
        <w:rPr>
          <w:rFonts w:ascii="Times New Roman" w:hAnsi="Times New Roman" w:cs="Times New Roman"/>
        </w:rPr>
        <w:t>SPPF</w:t>
      </w:r>
      <w:r>
        <w:rPr>
          <w:rFonts w:ascii="Times New Roman" w:hAnsi="Times New Roman" w:cs="Times New Roman"/>
        </w:rPr>
        <w:t>位置引入</w:t>
      </w:r>
      <w:r>
        <w:rPr>
          <w:rFonts w:ascii="Times New Roman" w:hAnsi="Times New Roman" w:cs="Times New Roman"/>
        </w:rPr>
        <w:t>MFFM</w:t>
      </w:r>
      <w:r>
        <w:rPr>
          <w:rFonts w:ascii="Times New Roman" w:hAnsi="Times New Roman" w:cs="Times New Roman"/>
        </w:rPr>
        <w:t>。前者提升不同形状和尺度目标的响应，后者通过多分支并行融合补回局部与全局信息，使浅层细节在进入跨层融合网络前得到保留。</w:t>
      </w:r>
    </w:p>
    <w:p w14:paraId="471A29D9" w14:textId="417C0910" w:rsidR="00EE7B2A" w:rsidRDefault="00EE7B2A" w:rsidP="00EE7B2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inline distT="0" distB="0" distL="0" distR="0" wp14:anchorId="4E748E2B" wp14:editId="3297149D">
            <wp:extent cx="4896533" cy="2333951"/>
            <wp:effectExtent l="0" t="0" r="0" b="9525"/>
            <wp:docPr id="3818612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61250" name="图片 3818612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98BB" w14:textId="5CA3DB79" w:rsidR="00EE7B2A" w:rsidRPr="00EE7B2A" w:rsidRDefault="00EE7B2A" w:rsidP="00EE7B2A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图</w:t>
      </w:r>
      <w:r>
        <w:rPr>
          <w:rFonts w:ascii="Times New Roman" w:hAnsi="Times New Roman" w:cs="Times New Roman" w:hint="eastAsia"/>
          <w:sz w:val="18"/>
          <w:szCs w:val="18"/>
        </w:rPr>
        <w:t>2 HE-C2F</w:t>
      </w:r>
      <w:r>
        <w:rPr>
          <w:rFonts w:ascii="Times New Roman" w:hAnsi="Times New Roman" w:cs="Times New Roman" w:hint="eastAsia"/>
          <w:sz w:val="18"/>
          <w:szCs w:val="18"/>
        </w:rPr>
        <w:t>结构</w:t>
      </w:r>
    </w:p>
    <w:p w14:paraId="2B464BCA" w14:textId="37C6F30B" w:rsidR="00EE7B2A" w:rsidRDefault="00EE7B2A" w:rsidP="00EE7B2A">
      <w:p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HE-C2F</w:t>
      </w:r>
      <w:r>
        <w:rPr>
          <w:rFonts w:ascii="Times New Roman" w:hAnsi="Times New Roman" w:cs="Times New Roman"/>
        </w:rPr>
        <w:t>结构如图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所示。</w:t>
      </w:r>
      <w:r>
        <w:rPr>
          <w:rFonts w:ascii="Times New Roman" w:hAnsi="Times New Roman" w:cs="Times New Roman"/>
        </w:rPr>
        <w:t>AEU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C2f</w:t>
      </w:r>
      <w:r>
        <w:rPr>
          <w:rFonts w:ascii="Times New Roman" w:hAnsi="Times New Roman" w:cs="Times New Roman"/>
        </w:rPr>
        <w:t>瓶颈中设置两条并行路径：一条保留原始卷积，另一条引入</w:t>
      </w:r>
      <w:r>
        <w:rPr>
          <w:rFonts w:ascii="Times New Roman" w:hAnsi="Times New Roman" w:cs="Times New Roman"/>
        </w:rPr>
        <w:t>DCNv4</w:t>
      </w:r>
      <w:r>
        <w:rPr>
          <w:rFonts w:ascii="Times New Roman" w:hAnsi="Times New Roman" w:cs="Times New Roman"/>
        </w:rPr>
        <w:t>，根据目标形状动态调整采样位置；两路结果逐元素相加，以在不显著扩大模型的情况下获得自适应多尺度感受野。随后，</w:t>
      </w:r>
      <w:r>
        <w:rPr>
          <w:rFonts w:ascii="Times New Roman" w:hAnsi="Times New Roman" w:cs="Times New Roman"/>
        </w:rPr>
        <w:t>GMFF</w:t>
      </w:r>
      <w:r>
        <w:rPr>
          <w:rFonts w:ascii="Times New Roman" w:hAnsi="Times New Roman" w:cs="Times New Roman"/>
        </w:rPr>
        <w:t>将</w:t>
      </w:r>
      <w:r>
        <w:rPr>
          <w:rFonts w:ascii="Times New Roman" w:hAnsi="Times New Roman" w:cs="Times New Roman"/>
        </w:rPr>
        <w:t>AEU</w:t>
      </w:r>
      <w:r>
        <w:rPr>
          <w:rFonts w:ascii="Times New Roman" w:hAnsi="Times New Roman" w:cs="Times New Roman"/>
        </w:rPr>
        <w:t>输出与</w:t>
      </w:r>
      <w:r>
        <w:rPr>
          <w:rFonts w:ascii="Times New Roman" w:hAnsi="Times New Roman" w:cs="Times New Roman"/>
        </w:rPr>
        <w:t>HE-C2F</w:t>
      </w:r>
      <w:r>
        <w:rPr>
          <w:rFonts w:ascii="Times New Roman" w:hAnsi="Times New Roman" w:cs="Times New Roman"/>
        </w:rPr>
        <w:t>输入在通道维拼接，先用</w:t>
      </w:r>
      <w:r>
        <w:rPr>
          <w:rFonts w:ascii="Times New Roman" w:hAnsi="Times New Roman" w:cs="Times New Roman"/>
        </w:rPr>
        <w:t>1×1</w:t>
      </w:r>
      <w:r>
        <w:rPr>
          <w:rFonts w:ascii="Times New Roman" w:hAnsi="Times New Roman" w:cs="Times New Roman"/>
        </w:rPr>
        <w:t>卷积聚合空间信息并生成权重，再把加权特征划分为若干组，通过不同卷积核的特征变换单元细化相邻通道之间的关系。最终输出与输入和融合特征进行残差求和，既保留原始细节，又增强跨尺度相关性。消融实验中，采用</w:t>
      </w:r>
      <w:r>
        <w:rPr>
          <w:rFonts w:ascii="Times New Roman" w:hAnsi="Times New Roman" w:cs="Times New Roman"/>
        </w:rPr>
        <w:t>DCNv4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HE-C2F</w:t>
      </w:r>
      <w:r>
        <w:rPr>
          <w:rFonts w:ascii="Times New Roman" w:hAnsi="Times New Roman" w:cs="Times New Roman"/>
        </w:rPr>
        <w:t>取得</w:t>
      </w:r>
      <w:r>
        <w:rPr>
          <w:rFonts w:ascii="Times New Roman" w:hAnsi="Times New Roman" w:cs="Times New Roman"/>
        </w:rPr>
        <w:t>25.2%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mAP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19.7%</w:t>
      </w:r>
      <w:r>
        <w:rPr>
          <w:rFonts w:ascii="Times New Roman" w:hAnsi="Times New Roman" w:cs="Times New Roman"/>
        </w:rPr>
        <w:t>的小目标</w:t>
      </w:r>
      <w:r>
        <w:rPr>
          <w:rFonts w:ascii="Times New Roman" w:hAnsi="Times New Roman" w:cs="Times New Roman"/>
        </w:rPr>
        <w:t>AP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36.1%</w:t>
      </w:r>
      <w:r>
        <w:rPr>
          <w:rFonts w:ascii="Times New Roman" w:hAnsi="Times New Roman" w:cs="Times New Roman"/>
        </w:rPr>
        <w:t>的小目标</w:t>
      </w:r>
      <w:r>
        <w:rPr>
          <w:rFonts w:ascii="Times New Roman" w:hAnsi="Times New Roman" w:cs="Times New Roman"/>
        </w:rPr>
        <w:t>AR</w:t>
      </w:r>
      <w:r>
        <w:rPr>
          <w:rFonts w:ascii="Times New Roman" w:hAnsi="Times New Roman" w:cs="Times New Roman"/>
        </w:rPr>
        <w:t>，综合表现优于扩张卷积、</w:t>
      </w:r>
      <w:r>
        <w:rPr>
          <w:rFonts w:ascii="Times New Roman" w:hAnsi="Times New Roman" w:cs="Times New Roman"/>
        </w:rPr>
        <w:t>Wavelet Convolution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Star Convolution</w:t>
      </w:r>
      <w:r>
        <w:rPr>
          <w:rFonts w:ascii="Times New Roman" w:hAnsi="Times New Roman" w:cs="Times New Roman"/>
        </w:rPr>
        <w:t>替代方案。</w:t>
      </w:r>
    </w:p>
    <w:p w14:paraId="0D4BEF6C" w14:textId="0EBF9EBE" w:rsidR="00EE7B2A" w:rsidRDefault="00EE7B2A" w:rsidP="00EE7B2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lastRenderedPageBreak/>
        <w:drawing>
          <wp:inline distT="0" distB="0" distL="0" distR="0" wp14:anchorId="68398FCD" wp14:editId="2285D0CE">
            <wp:extent cx="4744112" cy="4906060"/>
            <wp:effectExtent l="0" t="0" r="0" b="8890"/>
            <wp:docPr id="18777119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1948" name="图片 18777119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850B" w14:textId="19CF326B" w:rsidR="00EE7B2A" w:rsidRPr="00EE7B2A" w:rsidRDefault="00EE7B2A" w:rsidP="00EE7B2A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图</w:t>
      </w:r>
      <w:r>
        <w:rPr>
          <w:rFonts w:ascii="Times New Roman" w:hAnsi="Times New Roman" w:cs="Times New Roman" w:hint="eastAsia"/>
          <w:sz w:val="18"/>
          <w:szCs w:val="18"/>
        </w:rPr>
        <w:t>3 MFFM</w:t>
      </w:r>
      <w:r>
        <w:rPr>
          <w:rFonts w:ascii="Times New Roman" w:hAnsi="Times New Roman" w:cs="Times New Roman" w:hint="eastAsia"/>
          <w:sz w:val="18"/>
          <w:szCs w:val="18"/>
        </w:rPr>
        <w:t>结构</w:t>
      </w:r>
    </w:p>
    <w:p w14:paraId="45C36D25" w14:textId="1D918D78" w:rsidR="00EE7B2A" w:rsidRDefault="00EE7B2A" w:rsidP="00FD115C">
      <w:p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传统</w:t>
      </w:r>
      <w:r>
        <w:rPr>
          <w:rFonts w:ascii="Times New Roman" w:hAnsi="Times New Roman" w:cs="Times New Roman"/>
        </w:rPr>
        <w:t>SPPF</w:t>
      </w:r>
      <w:r>
        <w:rPr>
          <w:rFonts w:ascii="Times New Roman" w:hAnsi="Times New Roman" w:cs="Times New Roman"/>
        </w:rPr>
        <w:t>通过级联最大池化扩大感受野，但池化会带来特征损失。</w:t>
      </w:r>
      <w:r>
        <w:rPr>
          <w:rFonts w:ascii="Times New Roman" w:hAnsi="Times New Roman" w:cs="Times New Roman"/>
        </w:rPr>
        <w:t>MFFM</w:t>
      </w:r>
      <w:r>
        <w:rPr>
          <w:rFonts w:ascii="Times New Roman" w:hAnsi="Times New Roman" w:cs="Times New Roman"/>
        </w:rPr>
        <w:t>因此建立身份映射、</w:t>
      </w:r>
      <w:r>
        <w:rPr>
          <w:rFonts w:ascii="Times New Roman" w:hAnsi="Times New Roman" w:cs="Times New Roman"/>
        </w:rPr>
        <w:t>SPPF</w:t>
      </w:r>
      <w:r>
        <w:rPr>
          <w:rFonts w:ascii="Times New Roman" w:hAnsi="Times New Roman" w:cs="Times New Roman"/>
        </w:rPr>
        <w:t>、局部和全局四条并行分支，如图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所示。局部分支采用阶梯式超列与大核注意力</w:t>
      </w:r>
      <w:r>
        <w:rPr>
          <w:rFonts w:ascii="Times New Roman" w:hAnsi="Times New Roman" w:cs="Times New Roman"/>
        </w:rPr>
        <w:t>(LKA)</w:t>
      </w:r>
      <w:r>
        <w:rPr>
          <w:rFonts w:ascii="Times New Roman" w:hAnsi="Times New Roman" w:cs="Times New Roman"/>
        </w:rPr>
        <w:t>，从各级池化特征中连续聚合多尺度局部上下文；全局分支则借助改进的上下文锚点注意力</w:t>
      </w:r>
      <w:r>
        <w:rPr>
          <w:rFonts w:ascii="Times New Roman" w:hAnsi="Times New Roman" w:cs="Times New Roman"/>
        </w:rPr>
        <w:t>(CCA)</w:t>
      </w:r>
      <w:r>
        <w:rPr>
          <w:rFonts w:ascii="Times New Roman" w:hAnsi="Times New Roman" w:cs="Times New Roman"/>
        </w:rPr>
        <w:t>，通过平均池化、深度卷积和上采样补充长程语义。四路输出在通道维拼接后经卷积融合，在保留原始信息的同时兼顾局部细节、深层语义与大范围上下文。</w:t>
      </w:r>
    </w:p>
    <w:p w14:paraId="74DE1B3A" w14:textId="788FFF98" w:rsidR="00FD115C" w:rsidRDefault="00FD115C" w:rsidP="00FD115C">
      <w:pPr>
        <w:rPr>
          <w:rFonts w:ascii="Times New Roman" w:hAnsi="Times New Roman" w:cs="Times New Roman"/>
          <w:szCs w:val="21"/>
        </w:rPr>
      </w:pPr>
      <w:r w:rsidRPr="00FD115C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474D6E51" wp14:editId="38B505B5">
            <wp:extent cx="5274310" cy="3051175"/>
            <wp:effectExtent l="0" t="0" r="2540" b="0"/>
            <wp:docPr id="2053361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61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0B72" w14:textId="5D7C2BE9" w:rsidR="00FD115C" w:rsidRDefault="00FD115C" w:rsidP="00FD115C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图</w:t>
      </w:r>
      <w:r>
        <w:rPr>
          <w:rFonts w:ascii="Times New Roman" w:hAnsi="Times New Roman" w:cs="Times New Roman" w:hint="eastAsia"/>
          <w:sz w:val="18"/>
          <w:szCs w:val="18"/>
        </w:rPr>
        <w:t>4 E-PAN</w:t>
      </w:r>
      <w:r>
        <w:rPr>
          <w:rFonts w:ascii="Times New Roman" w:hAnsi="Times New Roman" w:cs="Times New Roman" w:hint="eastAsia"/>
          <w:sz w:val="18"/>
          <w:szCs w:val="18"/>
        </w:rPr>
        <w:t>（左）和</w:t>
      </w:r>
      <w:r>
        <w:rPr>
          <w:rFonts w:ascii="Times New Roman" w:hAnsi="Times New Roman" w:cs="Times New Roman" w:hint="eastAsia"/>
          <w:sz w:val="18"/>
          <w:szCs w:val="18"/>
        </w:rPr>
        <w:t>CE-Head</w:t>
      </w:r>
      <w:r>
        <w:rPr>
          <w:rFonts w:ascii="Times New Roman" w:hAnsi="Times New Roman" w:cs="Times New Roman" w:hint="eastAsia"/>
          <w:sz w:val="18"/>
          <w:szCs w:val="18"/>
        </w:rPr>
        <w:t>（右）的结构</w:t>
      </w:r>
    </w:p>
    <w:p w14:paraId="29AB077C" w14:textId="25D7BBAA" w:rsidR="00FD115C" w:rsidRPr="00141E41" w:rsidRDefault="00FD115C" w:rsidP="00A975E0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跨层融合阶段的关键问题是，传统</w:t>
      </w:r>
      <w:r>
        <w:rPr>
          <w:rFonts w:ascii="Times New Roman" w:hAnsi="Times New Roman" w:cs="Times New Roman"/>
        </w:rPr>
        <w:t>PAN</w:t>
      </w:r>
      <w:r>
        <w:rPr>
          <w:rFonts w:ascii="Times New Roman" w:hAnsi="Times New Roman" w:cs="Times New Roman"/>
        </w:rPr>
        <w:t>使用简单拼接或相加，难以充分利用浅层细节与深层语义，且会在双向传递中产生信息损失。图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左侧的</w:t>
      </w:r>
      <w:r>
        <w:rPr>
          <w:rFonts w:ascii="Times New Roman" w:hAnsi="Times New Roman" w:cs="Times New Roman"/>
        </w:rPr>
        <w:t>E-PAN</w:t>
      </w:r>
      <w:r>
        <w:rPr>
          <w:rFonts w:ascii="Times New Roman" w:hAnsi="Times New Roman" w:cs="Times New Roman"/>
        </w:rPr>
        <w:t>为两种传播方向分别设计融合策略：自顶向下时，利用通道先验卷积注意力突出高层语义，并以多核深度卷积提取低层空间细节；自底向上时，利用共享多语义空间注意力增强低层关键位置，再用渐进式通道自注意力补充高层语义。融合结果因而同时包含细节先验和语义先验。图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右侧的</w:t>
      </w:r>
      <w:r>
        <w:rPr>
          <w:rFonts w:ascii="Times New Roman" w:hAnsi="Times New Roman" w:cs="Times New Roman"/>
        </w:rPr>
        <w:t>CE-Head</w:t>
      </w:r>
      <w:r>
        <w:rPr>
          <w:rFonts w:ascii="Times New Roman" w:hAnsi="Times New Roman" w:cs="Times New Roman"/>
        </w:rPr>
        <w:t>则在原检测头每个分支中加入两条不同卷积核的并行路径，将不同感受野的输出逐元素相加，以利用目标周围环境帮助分类和定位。</w:t>
      </w:r>
    </w:p>
    <w:p w14:paraId="487C39E2" w14:textId="6BC0B3F0" w:rsidR="00FD115C" w:rsidRDefault="00141E41" w:rsidP="00FD115C">
      <w:pPr>
        <w:rPr>
          <w:rFonts w:ascii="Times New Roman" w:hAnsi="Times New Roman" w:cs="Times New Roman"/>
          <w:szCs w:val="21"/>
        </w:rPr>
      </w:pPr>
      <w:r w:rsidRPr="00141E41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AC3F639" wp14:editId="2AC9C23F">
            <wp:extent cx="4810125" cy="3000375"/>
            <wp:effectExtent l="0" t="0" r="9525" b="9525"/>
            <wp:docPr id="727798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8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013D" w14:textId="762C8024" w:rsidR="00141E41" w:rsidRPr="00141E41" w:rsidRDefault="00141E41" w:rsidP="00FD115C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表</w:t>
      </w:r>
      <w:r>
        <w:rPr>
          <w:rFonts w:ascii="Times New Roman" w:hAnsi="Times New Roman" w:cs="Times New Roman" w:hint="eastAsia"/>
          <w:sz w:val="18"/>
          <w:szCs w:val="18"/>
        </w:rPr>
        <w:t>1 MFEL-YOLO</w:t>
      </w:r>
      <w:r>
        <w:rPr>
          <w:rFonts w:ascii="Times New Roman" w:hAnsi="Times New Roman" w:cs="Times New Roman" w:hint="eastAsia"/>
          <w:sz w:val="18"/>
          <w:szCs w:val="18"/>
        </w:rPr>
        <w:t>与不同检测器在</w:t>
      </w:r>
      <w:r>
        <w:rPr>
          <w:rFonts w:ascii="Times New Roman" w:hAnsi="Times New Roman" w:cs="Times New Roman" w:hint="eastAsia"/>
          <w:sz w:val="18"/>
          <w:szCs w:val="18"/>
        </w:rPr>
        <w:t>VisDrone2019</w:t>
      </w:r>
      <w:r>
        <w:rPr>
          <w:rFonts w:ascii="Times New Roman" w:hAnsi="Times New Roman" w:cs="Times New Roman" w:hint="eastAsia"/>
          <w:sz w:val="18"/>
          <w:szCs w:val="18"/>
        </w:rPr>
        <w:t>数据集上的性能对比</w:t>
      </w:r>
    </w:p>
    <w:p w14:paraId="39FC5BA6" w14:textId="4FDEE457" w:rsidR="00FD115C" w:rsidRPr="00FD115C" w:rsidRDefault="00FD115C" w:rsidP="00FD115C">
      <w:p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作者在</w:t>
      </w:r>
      <w:r>
        <w:rPr>
          <w:rFonts w:ascii="Times New Roman" w:hAnsi="Times New Roman" w:cs="Times New Roman"/>
        </w:rPr>
        <w:t>VisDrone2019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AI-TOD</w:t>
      </w:r>
      <w:r>
        <w:rPr>
          <w:rFonts w:ascii="Times New Roman" w:hAnsi="Times New Roman" w:cs="Times New Roman"/>
        </w:rPr>
        <w:t>两个航拍小目标数据集上进行实验。</w:t>
      </w:r>
      <w:r>
        <w:rPr>
          <w:rFonts w:ascii="Times New Roman" w:hAnsi="Times New Roman" w:cs="Times New Roman"/>
        </w:rPr>
        <w:t>VisDrone2019</w:t>
      </w:r>
      <w:r>
        <w:rPr>
          <w:rFonts w:ascii="Times New Roman" w:hAnsi="Times New Roman" w:cs="Times New Roman"/>
        </w:rPr>
        <w:t>训练图像经重叠裁剪由</w:t>
      </w:r>
      <w:r>
        <w:rPr>
          <w:rFonts w:ascii="Times New Roman" w:hAnsi="Times New Roman" w:cs="Times New Roman"/>
        </w:rPr>
        <w:t>6471</w:t>
      </w:r>
      <w:r>
        <w:rPr>
          <w:rFonts w:ascii="Times New Roman" w:hAnsi="Times New Roman" w:cs="Times New Roman"/>
        </w:rPr>
        <w:t>幅扩增至</w:t>
      </w:r>
      <w:r>
        <w:rPr>
          <w:rFonts w:ascii="Times New Roman" w:hAnsi="Times New Roman" w:cs="Times New Roman"/>
        </w:rPr>
        <w:t>39817</w:t>
      </w:r>
      <w:r>
        <w:rPr>
          <w:rFonts w:ascii="Times New Roman" w:hAnsi="Times New Roman" w:cs="Times New Roman"/>
        </w:rPr>
        <w:t>幅；</w:t>
      </w:r>
      <w:r>
        <w:rPr>
          <w:rFonts w:ascii="Times New Roman" w:hAnsi="Times New Roman" w:cs="Times New Roman"/>
        </w:rPr>
        <w:t>AI-TOD</w:t>
      </w:r>
      <w:r>
        <w:rPr>
          <w:rFonts w:ascii="Times New Roman" w:hAnsi="Times New Roman" w:cs="Times New Roman"/>
        </w:rPr>
        <w:t>中的目标平均尺寸约为</w:t>
      </w:r>
      <w:r>
        <w:rPr>
          <w:rFonts w:ascii="Times New Roman" w:hAnsi="Times New Roman" w:cs="Times New Roman"/>
        </w:rPr>
        <w:t>12.8</w:t>
      </w:r>
      <w:r>
        <w:rPr>
          <w:rFonts w:ascii="Times New Roman" w:hAnsi="Times New Roman" w:cs="Times New Roman"/>
        </w:rPr>
        <w:t>像素，检测难度更高。表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显示，</w:t>
      </w:r>
      <w:r>
        <w:rPr>
          <w:rFonts w:ascii="Times New Roman" w:hAnsi="Times New Roman" w:cs="Times New Roman"/>
        </w:rPr>
        <w:t>MFEL-YOLO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VisDrone2019</w:t>
      </w:r>
      <w:r>
        <w:rPr>
          <w:rFonts w:ascii="Times New Roman" w:hAnsi="Times New Roman" w:cs="Times New Roman"/>
        </w:rPr>
        <w:t>上以</w:t>
      </w:r>
      <w:r>
        <w:rPr>
          <w:rFonts w:ascii="Times New Roman" w:hAnsi="Times New Roman" w:cs="Times New Roman"/>
        </w:rPr>
        <w:t>5.23M</w:t>
      </w:r>
      <w:r>
        <w:rPr>
          <w:rFonts w:ascii="Times New Roman" w:hAnsi="Times New Roman" w:cs="Times New Roman"/>
        </w:rPr>
        <w:t>参数取得</w:t>
      </w:r>
      <w:r>
        <w:rPr>
          <w:rFonts w:ascii="Times New Roman" w:hAnsi="Times New Roman" w:cs="Times New Roman"/>
        </w:rPr>
        <w:t>27.3%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mAP</w:t>
      </w:r>
      <w:r>
        <w:rPr>
          <w:rFonts w:ascii="Times New Roman" w:hAnsi="Times New Roman" w:cs="Times New Roman"/>
        </w:rPr>
        <w:lastRenderedPageBreak/>
        <w:t>和</w:t>
      </w:r>
      <w:r>
        <w:rPr>
          <w:rFonts w:ascii="Times New Roman" w:hAnsi="Times New Roman" w:cs="Times New Roman"/>
        </w:rPr>
        <w:t>44.7%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mAP50</w:t>
      </w:r>
      <w:r>
        <w:rPr>
          <w:rFonts w:ascii="Times New Roman" w:hAnsi="Times New Roman" w:cs="Times New Roman"/>
        </w:rPr>
        <w:t>。与</w:t>
      </w:r>
      <w:r>
        <w:rPr>
          <w:rFonts w:ascii="Times New Roman" w:hAnsi="Times New Roman" w:cs="Times New Roman"/>
        </w:rPr>
        <w:t>YOLOv8-S</w:t>
      </w:r>
      <w:r>
        <w:rPr>
          <w:rFonts w:ascii="Times New Roman" w:hAnsi="Times New Roman" w:cs="Times New Roman"/>
        </w:rPr>
        <w:t>相比，</w:t>
      </w:r>
      <w:r>
        <w:rPr>
          <w:rFonts w:ascii="Times New Roman" w:hAnsi="Times New Roman" w:cs="Times New Roman"/>
        </w:rPr>
        <w:t>mAP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mAP50</w:t>
      </w:r>
      <w:r>
        <w:rPr>
          <w:rFonts w:ascii="Times New Roman" w:hAnsi="Times New Roman" w:cs="Times New Roman"/>
        </w:rPr>
        <w:t>分别提高</w:t>
      </w:r>
      <w:r>
        <w:rPr>
          <w:rFonts w:ascii="Times New Roman" w:hAnsi="Times New Roman" w:cs="Times New Roman"/>
        </w:rPr>
        <w:t>4.1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6.1</w:t>
      </w:r>
      <w:r>
        <w:rPr>
          <w:rFonts w:ascii="Times New Roman" w:hAnsi="Times New Roman" w:cs="Times New Roman"/>
        </w:rPr>
        <w:t>个百分点，而参数量仅为其</w:t>
      </w:r>
      <w:r>
        <w:rPr>
          <w:rFonts w:ascii="Times New Roman" w:hAnsi="Times New Roman" w:cs="Times New Roman"/>
        </w:rPr>
        <w:t>46.99%</w:t>
      </w:r>
      <w:r>
        <w:rPr>
          <w:rFonts w:ascii="Times New Roman" w:hAnsi="Times New Roman" w:cs="Times New Roman"/>
        </w:rPr>
        <w:t>；小、中、大目标</w:t>
      </w:r>
      <w:r>
        <w:rPr>
          <w:rFonts w:ascii="Times New Roman" w:hAnsi="Times New Roman" w:cs="Times New Roman"/>
        </w:rPr>
        <w:t>AP</w:t>
      </w:r>
      <w:r>
        <w:rPr>
          <w:rFonts w:ascii="Times New Roman" w:hAnsi="Times New Roman" w:cs="Times New Roman"/>
        </w:rPr>
        <w:t>分别提高</w:t>
      </w:r>
      <w:r>
        <w:rPr>
          <w:rFonts w:ascii="Times New Roman" w:hAnsi="Times New Roman" w:cs="Times New Roman"/>
        </w:rPr>
        <w:t>5.9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3.6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1.2</w:t>
      </w:r>
      <w:r>
        <w:rPr>
          <w:rFonts w:ascii="Times New Roman" w:hAnsi="Times New Roman" w:cs="Times New Roman"/>
        </w:rPr>
        <w:t>个百分点。即使与参数量更大的</w:t>
      </w:r>
      <w:r>
        <w:rPr>
          <w:rFonts w:ascii="Times New Roman" w:hAnsi="Times New Roman" w:cs="Times New Roman"/>
        </w:rPr>
        <w:t>YOLOv11-M</w:t>
      </w:r>
      <w:r>
        <w:rPr>
          <w:rFonts w:ascii="Times New Roman" w:hAnsi="Times New Roman" w:cs="Times New Roman"/>
        </w:rPr>
        <w:t>相比，</w:t>
      </w:r>
      <w:r>
        <w:rPr>
          <w:rFonts w:ascii="Times New Roman" w:hAnsi="Times New Roman" w:cs="Times New Roman"/>
        </w:rPr>
        <w:t>MFEL-YOLO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mAP</w:t>
      </w:r>
      <w:r>
        <w:rPr>
          <w:rFonts w:ascii="Times New Roman" w:hAnsi="Times New Roman" w:cs="Times New Roman"/>
        </w:rPr>
        <w:t>仍高</w:t>
      </w:r>
      <w:r>
        <w:rPr>
          <w:rFonts w:ascii="Times New Roman" w:hAnsi="Times New Roman" w:cs="Times New Roman"/>
        </w:rPr>
        <w:t>0.2</w:t>
      </w:r>
      <w:r>
        <w:rPr>
          <w:rFonts w:ascii="Times New Roman" w:hAnsi="Times New Roman" w:cs="Times New Roman"/>
        </w:rPr>
        <w:t>个百分点。在</w:t>
      </w:r>
      <w:r>
        <w:rPr>
          <w:rFonts w:ascii="Times New Roman" w:hAnsi="Times New Roman" w:cs="Times New Roman"/>
        </w:rPr>
        <w:t>AI-TOD</w:t>
      </w:r>
      <w:r>
        <w:rPr>
          <w:rFonts w:ascii="Times New Roman" w:hAnsi="Times New Roman" w:cs="Times New Roman"/>
        </w:rPr>
        <w:t>上，模型取得</w:t>
      </w:r>
      <w:r>
        <w:rPr>
          <w:rFonts w:ascii="Times New Roman" w:hAnsi="Times New Roman" w:cs="Times New Roman"/>
        </w:rPr>
        <w:t>15.3%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mAP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35.3%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mAP50</w:t>
      </w:r>
      <w:r>
        <w:rPr>
          <w:rFonts w:ascii="Times New Roman" w:hAnsi="Times New Roman" w:cs="Times New Roman"/>
        </w:rPr>
        <w:t>，较</w:t>
      </w:r>
      <w:r>
        <w:rPr>
          <w:rFonts w:ascii="Times New Roman" w:hAnsi="Times New Roman" w:cs="Times New Roman"/>
        </w:rPr>
        <w:t>YOLOv8-S</w:t>
      </w:r>
      <w:r>
        <w:rPr>
          <w:rFonts w:ascii="Times New Roman" w:hAnsi="Times New Roman" w:cs="Times New Roman"/>
        </w:rPr>
        <w:t>分别提高</w:t>
      </w:r>
      <w:r>
        <w:rPr>
          <w:rFonts w:ascii="Times New Roman" w:hAnsi="Times New Roman" w:cs="Times New Roman"/>
        </w:rPr>
        <w:t>1.2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2.5</w:t>
      </w:r>
      <w:r>
        <w:rPr>
          <w:rFonts w:ascii="Times New Roman" w:hAnsi="Times New Roman" w:cs="Times New Roman"/>
        </w:rPr>
        <w:t>个百分点，极小、微小和小型目标的召回率分别提高</w:t>
      </w:r>
      <w:r>
        <w:rPr>
          <w:rFonts w:ascii="Times New Roman" w:hAnsi="Times New Roman" w:cs="Times New Roman"/>
        </w:rPr>
        <w:t>3.6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2.1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1.6</w:t>
      </w:r>
      <w:r>
        <w:rPr>
          <w:rFonts w:ascii="Times New Roman" w:hAnsi="Times New Roman" w:cs="Times New Roman"/>
        </w:rPr>
        <w:t>个百分点。</w:t>
      </w:r>
    </w:p>
    <w:p w14:paraId="67249772" w14:textId="61EB5EE7" w:rsidR="00FD115C" w:rsidRDefault="00FD115C" w:rsidP="00FD115C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inline distT="0" distB="0" distL="0" distR="0" wp14:anchorId="1DA4B80F" wp14:editId="6EF97298">
            <wp:extent cx="5274310" cy="2488565"/>
            <wp:effectExtent l="0" t="0" r="2540" b="6985"/>
            <wp:docPr id="16473084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08441" name="图片 16473084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867C" w14:textId="4CEF6774" w:rsidR="00FD115C" w:rsidRDefault="00FD115C" w:rsidP="00FD115C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 w:val="18"/>
          <w:szCs w:val="18"/>
        </w:rPr>
        <w:t>图</w:t>
      </w:r>
      <w:r>
        <w:rPr>
          <w:rFonts w:ascii="Times New Roman" w:hAnsi="Times New Roman" w:cs="Times New Roman" w:hint="eastAsia"/>
          <w:sz w:val="18"/>
          <w:szCs w:val="18"/>
        </w:rPr>
        <w:t>5 MFEL-YOLO</w:t>
      </w:r>
      <w:r>
        <w:rPr>
          <w:rFonts w:ascii="Times New Roman" w:hAnsi="Times New Roman" w:cs="Times New Roman" w:hint="eastAsia"/>
          <w:sz w:val="18"/>
          <w:szCs w:val="18"/>
        </w:rPr>
        <w:t>与其他</w:t>
      </w:r>
      <w:r>
        <w:rPr>
          <w:rFonts w:ascii="Times New Roman" w:hAnsi="Times New Roman" w:cs="Times New Roman" w:hint="eastAsia"/>
          <w:sz w:val="18"/>
          <w:szCs w:val="18"/>
        </w:rPr>
        <w:t>YOLO</w:t>
      </w:r>
      <w:r>
        <w:rPr>
          <w:rFonts w:ascii="Times New Roman" w:hAnsi="Times New Roman" w:cs="Times New Roman" w:hint="eastAsia"/>
          <w:sz w:val="18"/>
          <w:szCs w:val="18"/>
        </w:rPr>
        <w:t>系列模型在</w:t>
      </w:r>
      <w:r>
        <w:rPr>
          <w:rFonts w:ascii="Times New Roman" w:hAnsi="Times New Roman" w:cs="Times New Roman" w:hint="eastAsia"/>
          <w:sz w:val="18"/>
          <w:szCs w:val="18"/>
        </w:rPr>
        <w:t>VisDrone2019</w:t>
      </w:r>
      <w:r>
        <w:rPr>
          <w:rFonts w:ascii="Times New Roman" w:hAnsi="Times New Roman" w:cs="Times New Roman" w:hint="eastAsia"/>
          <w:sz w:val="18"/>
          <w:szCs w:val="18"/>
        </w:rPr>
        <w:t>上的检测结果对比。绿色、蓝色和红色边界框分别表示真阳性、假阳性和假阴性预测</w:t>
      </w:r>
    </w:p>
    <w:p w14:paraId="23C8083C" w14:textId="17B981CF" w:rsidR="00FD115C" w:rsidRDefault="00FD115C" w:rsidP="00FD115C">
      <w:p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定性结果进一步说明了性能差异。如图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所示，在远距离和密集交通场景中，</w:t>
      </w:r>
      <w:r>
        <w:rPr>
          <w:rFonts w:ascii="Times New Roman" w:hAnsi="Times New Roman" w:cs="Times New Roman"/>
        </w:rPr>
        <w:t>YOLOv8-S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YOLOv8-M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YOLOv9-M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YOLOv10-M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YOLOv11-M</w:t>
      </w:r>
      <w:r>
        <w:rPr>
          <w:rFonts w:ascii="Times New Roman" w:hAnsi="Times New Roman" w:cs="Times New Roman"/>
        </w:rPr>
        <w:t>仍出现较多漏检或类别错误，而</w:t>
      </w:r>
      <w:r>
        <w:rPr>
          <w:rFonts w:ascii="Times New Roman" w:hAnsi="Times New Roman" w:cs="Times New Roman"/>
        </w:rPr>
        <w:t>MFEL-YOLO</w:t>
      </w:r>
      <w:r>
        <w:rPr>
          <w:rFonts w:ascii="Times New Roman" w:hAnsi="Times New Roman" w:cs="Times New Roman"/>
        </w:rPr>
        <w:t>保留了更多真阳性框，并减少了假阳性和假阴性。模块消融也给出一致证据：在统一的</w:t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t>轮训练设置下，单独加入</w:t>
      </w:r>
      <w:r>
        <w:rPr>
          <w:rFonts w:ascii="Times New Roman" w:hAnsi="Times New Roman" w:cs="Times New Roman"/>
        </w:rPr>
        <w:t>HE-C2F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MFFM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E-PAN</w:t>
      </w:r>
      <w:r>
        <w:rPr>
          <w:rFonts w:ascii="Times New Roman" w:hAnsi="Times New Roman" w:cs="Times New Roman"/>
        </w:rPr>
        <w:t>可使基线</w:t>
      </w:r>
      <w:r>
        <w:rPr>
          <w:rFonts w:ascii="Times New Roman" w:hAnsi="Times New Roman" w:cs="Times New Roman"/>
        </w:rPr>
        <w:t>mAP</w:t>
      </w:r>
      <w:r>
        <w:rPr>
          <w:rFonts w:ascii="Times New Roman" w:hAnsi="Times New Roman" w:cs="Times New Roman"/>
        </w:rPr>
        <w:t>分别提高</w:t>
      </w:r>
      <w:r>
        <w:rPr>
          <w:rFonts w:ascii="Times New Roman" w:hAnsi="Times New Roman" w:cs="Times New Roman"/>
        </w:rPr>
        <w:t>0.2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0.2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0.4</w:t>
      </w:r>
      <w:r>
        <w:rPr>
          <w:rFonts w:ascii="Times New Roman" w:hAnsi="Times New Roman" w:cs="Times New Roman"/>
        </w:rPr>
        <w:t>个百分点；完整组合将</w:t>
      </w:r>
      <w:r>
        <w:rPr>
          <w:rFonts w:ascii="Times New Roman" w:hAnsi="Times New Roman" w:cs="Times New Roman"/>
        </w:rPr>
        <w:t>mAP</w:t>
      </w: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/>
        </w:rPr>
        <w:t>25.0%</w:t>
      </w:r>
      <w:r>
        <w:rPr>
          <w:rFonts w:ascii="Times New Roman" w:hAnsi="Times New Roman" w:cs="Times New Roman"/>
        </w:rPr>
        <w:t>提升至</w:t>
      </w:r>
      <w:r>
        <w:rPr>
          <w:rFonts w:ascii="Times New Roman" w:hAnsi="Times New Roman" w:cs="Times New Roman"/>
        </w:rPr>
        <w:t>25.9%</w:t>
      </w:r>
      <w:r>
        <w:rPr>
          <w:rFonts w:ascii="Times New Roman" w:hAnsi="Times New Roman" w:cs="Times New Roman"/>
        </w:rPr>
        <w:t>。移除</w:t>
      </w:r>
      <w:r>
        <w:rPr>
          <w:rFonts w:ascii="Times New Roman" w:hAnsi="Times New Roman" w:cs="Times New Roman"/>
        </w:rPr>
        <w:t>CE-Head</w:t>
      </w:r>
      <w:r>
        <w:rPr>
          <w:rFonts w:ascii="Times New Roman" w:hAnsi="Times New Roman" w:cs="Times New Roman"/>
        </w:rPr>
        <w:t>后，小目标</w:t>
      </w:r>
      <w:r>
        <w:rPr>
          <w:rFonts w:ascii="Times New Roman" w:hAnsi="Times New Roman" w:cs="Times New Roman"/>
        </w:rPr>
        <w:t>AP</w:t>
      </w:r>
      <w:r>
        <w:rPr>
          <w:rFonts w:ascii="Times New Roman" w:hAnsi="Times New Roman" w:cs="Times New Roman"/>
        </w:rPr>
        <w:t>和中目标</w:t>
      </w:r>
      <w:r>
        <w:rPr>
          <w:rFonts w:ascii="Times New Roman" w:hAnsi="Times New Roman" w:cs="Times New Roman"/>
        </w:rPr>
        <w:t>AP</w:t>
      </w:r>
      <w:r>
        <w:rPr>
          <w:rFonts w:ascii="Times New Roman" w:hAnsi="Times New Roman" w:cs="Times New Roman"/>
        </w:rPr>
        <w:t>分别下降</w:t>
      </w:r>
      <w:r>
        <w:rPr>
          <w:rFonts w:ascii="Times New Roman" w:hAnsi="Times New Roman" w:cs="Times New Roman"/>
        </w:rPr>
        <w:t>0.3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0.2</w:t>
      </w:r>
      <w:r>
        <w:rPr>
          <w:rFonts w:ascii="Times New Roman" w:hAnsi="Times New Roman" w:cs="Times New Roman"/>
        </w:rPr>
        <w:t>个百分点，表明上下文增强主要体现在不同尺度目标的分类与定位协同上。</w:t>
      </w:r>
    </w:p>
    <w:p w14:paraId="5B1DA12A" w14:textId="7101EB15" w:rsidR="00141E41" w:rsidRDefault="00141E41" w:rsidP="00FD115C">
      <w:pPr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综上，</w:t>
      </w:r>
      <w:r>
        <w:rPr>
          <w:rFonts w:ascii="Times New Roman" w:hAnsi="Times New Roman" w:cs="Times New Roman"/>
        </w:rPr>
        <w:t>MFEL-YOLO</w:t>
      </w:r>
      <w:r>
        <w:rPr>
          <w:rFonts w:ascii="Times New Roman" w:hAnsi="Times New Roman" w:cs="Times New Roman"/>
        </w:rPr>
        <w:t>围绕无人机航拍小目标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特征少、尺度变、融合难、背景强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四类问题，在特征提取、跨层融合和检测头三个阶段进行协同增强。</w:t>
      </w:r>
      <w:r>
        <w:rPr>
          <w:rFonts w:ascii="Times New Roman" w:hAnsi="Times New Roman" w:cs="Times New Roman"/>
        </w:rPr>
        <w:t>HE-C2F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MFFM</w:t>
      </w:r>
      <w:r>
        <w:rPr>
          <w:rFonts w:ascii="Times New Roman" w:hAnsi="Times New Roman" w:cs="Times New Roman"/>
        </w:rPr>
        <w:t>负责提取并保留细粒度信息，</w:t>
      </w:r>
      <w:r>
        <w:rPr>
          <w:rFonts w:ascii="Times New Roman" w:hAnsi="Times New Roman" w:cs="Times New Roman"/>
        </w:rPr>
        <w:t>E-PAN</w:t>
      </w:r>
      <w:r>
        <w:rPr>
          <w:rFonts w:ascii="Times New Roman" w:hAnsi="Times New Roman" w:cs="Times New Roman"/>
        </w:rPr>
        <w:t>缩小浅层细节与深层语义之间的偏差，</w:t>
      </w:r>
      <w:r>
        <w:rPr>
          <w:rFonts w:ascii="Times New Roman" w:hAnsi="Times New Roman" w:cs="Times New Roman"/>
        </w:rPr>
        <w:t>CE-Head</w:t>
      </w:r>
      <w:r>
        <w:rPr>
          <w:rFonts w:ascii="Times New Roman" w:hAnsi="Times New Roman" w:cs="Times New Roman"/>
        </w:rPr>
        <w:t>利用多尺度上下文辅助识别。两个数据集的定量结果和可视化均表明，该方法在仅</w:t>
      </w:r>
      <w:r>
        <w:rPr>
          <w:rFonts w:ascii="Times New Roman" w:hAnsi="Times New Roman" w:cs="Times New Roman"/>
        </w:rPr>
        <w:t>5.23M</w:t>
      </w:r>
      <w:r>
        <w:rPr>
          <w:rFonts w:ascii="Times New Roman" w:hAnsi="Times New Roman" w:cs="Times New Roman"/>
        </w:rPr>
        <w:t>参数下取得了有竞争力的检测精度，体现出面向资源受限无人机平台的应用潜力。作者后续计划在该框架上进一步探索多模态融合的小目标检测，以提升复杂场景下的鲁棒性。</w:t>
      </w:r>
    </w:p>
    <w:p w14:paraId="400E5109" w14:textId="77777777" w:rsidR="00141E41" w:rsidRDefault="00141E41" w:rsidP="00FD115C">
      <w:pPr>
        <w:ind w:firstLine="420"/>
        <w:rPr>
          <w:rFonts w:ascii="Times New Roman" w:hAnsi="Times New Roman" w:cs="Times New Roman"/>
          <w:szCs w:val="21"/>
        </w:rPr>
      </w:pPr>
    </w:p>
    <w:p w14:paraId="68B9B243" w14:textId="77777777" w:rsidR="00141E41" w:rsidRDefault="00141E41" w:rsidP="00FD115C">
      <w:pPr>
        <w:ind w:firstLine="420"/>
        <w:rPr>
          <w:rFonts w:ascii="Times New Roman" w:hAnsi="Times New Roman" w:cs="Times New Roman"/>
          <w:szCs w:val="21"/>
        </w:rPr>
      </w:pPr>
    </w:p>
    <w:p w14:paraId="05650AD7" w14:textId="77777777" w:rsidR="00141E41" w:rsidRPr="00D651A3" w:rsidRDefault="00141E41" w:rsidP="00141E41">
      <w:pPr>
        <w:ind w:firstLine="420"/>
        <w:rPr>
          <w:rFonts w:hint="eastAsia"/>
        </w:rPr>
      </w:pPr>
      <w:r>
        <w:rPr>
          <w:rFonts w:ascii="Times New Roman" w:hAnsi="Times New Roman" w:cs="Times New Roman"/>
        </w:rPr>
        <w:t>原文链接：</w:t>
      </w:r>
    </w:p>
    <w:p w14:paraId="4E7D5D3A" w14:textId="4DE9CCDB" w:rsidR="00141E41" w:rsidRDefault="00141E41" w:rsidP="00FD115C">
      <w:pPr>
        <w:ind w:firstLine="420"/>
        <w:rPr>
          <w:rFonts w:asciiTheme="minorEastAsia" w:hAnsiTheme="minorEastAsia" w:cs="Times New Roman" w:hint="eastAsia"/>
          <w:szCs w:val="21"/>
        </w:rPr>
      </w:pPr>
      <w:r>
        <w:rPr>
          <w:rFonts w:ascii="Times New Roman" w:hAnsi="Times New Roman" w:cs="Times New Roman"/>
        </w:rPr>
        <w:t>https://doi.org/10.1016/j.eswa.2025.128459</w:t>
      </w:r>
    </w:p>
    <w:p w14:paraId="52709335" w14:textId="77777777" w:rsidR="00141E41" w:rsidRDefault="00141E41" w:rsidP="00FD115C">
      <w:pPr>
        <w:ind w:firstLine="420"/>
        <w:rPr>
          <w:rFonts w:asciiTheme="minorEastAsia" w:hAnsiTheme="minorEastAsia" w:cs="Times New Roman" w:hint="eastAsia"/>
          <w:szCs w:val="21"/>
        </w:rPr>
      </w:pPr>
    </w:p>
    <w:p w14:paraId="0C9C2089" w14:textId="77777777" w:rsidR="00141E41" w:rsidRDefault="00141E41" w:rsidP="00FD115C">
      <w:pPr>
        <w:ind w:firstLine="420"/>
        <w:rPr>
          <w:rFonts w:asciiTheme="minorEastAsia" w:hAnsiTheme="minorEastAsia" w:cs="Times New Roman" w:hint="eastAsia"/>
          <w:szCs w:val="21"/>
        </w:rPr>
      </w:pPr>
    </w:p>
    <w:p w14:paraId="6D904388" w14:textId="77777777" w:rsidR="00141E41" w:rsidRDefault="00141E41" w:rsidP="00FD115C">
      <w:pPr>
        <w:ind w:firstLine="420"/>
        <w:rPr>
          <w:rFonts w:asciiTheme="minorEastAsia" w:hAnsiTheme="minorEastAsia" w:cs="Times New Roman" w:hint="eastAsia"/>
          <w:szCs w:val="21"/>
        </w:rPr>
      </w:pPr>
    </w:p>
    <w:p w14:paraId="6EF02FCB" w14:textId="77777777" w:rsidR="00141E41" w:rsidRDefault="00141E41" w:rsidP="00FD115C">
      <w:pPr>
        <w:ind w:firstLine="420"/>
        <w:rPr>
          <w:rFonts w:asciiTheme="minorEastAsia" w:hAnsiTheme="minorEastAsia" w:cs="Times New Roman" w:hint="eastAsia"/>
          <w:szCs w:val="21"/>
        </w:rPr>
      </w:pPr>
    </w:p>
    <w:p w14:paraId="55B0F109" w14:textId="322CF542" w:rsidR="00141E41" w:rsidRDefault="00141E41" w:rsidP="00141E41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6026924B" wp14:editId="25395AA6">
            <wp:extent cx="1286510" cy="1584960"/>
            <wp:effectExtent l="0" t="0" r="8890" b="0"/>
            <wp:docPr id="118319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撰稿人：高然</w:t>
      </w:r>
    </w:p>
    <w:p w14:paraId="4572B9D4" w14:textId="77777777" w:rsidR="00141E41" w:rsidRPr="00B846AA" w:rsidRDefault="00141E41" w:rsidP="00141E41">
      <w:pPr>
        <w:rPr>
          <w:rFonts w:ascii="Times New Roman" w:hAnsi="Times New Roman" w:cs="Times New Roman"/>
        </w:rPr>
      </w:pPr>
      <w:r w:rsidRPr="0021535C">
        <w:rPr>
          <w:rFonts w:asciiTheme="minorEastAsia" w:hAnsiTheme="minorEastAsia" w:hint="eastAsia"/>
          <w:sz w:val="18"/>
          <w:szCs w:val="18"/>
        </w:rPr>
        <w:t>声明:本文旨在传递和分享科研资讯，仅供个人学习、参考和学术交流使用，不作为商业用途，文中所引用文献已指明作者及来源。由于水平有限可能存在解读不准确等问题，如涉及知识产权保护或其他问题请及时联系邮箱li_yutong1103@163.com，我们将尽快协调处理。</w:t>
      </w:r>
    </w:p>
    <w:p w14:paraId="3079CE54" w14:textId="77777777" w:rsidR="00141E41" w:rsidRPr="00141E41" w:rsidRDefault="00141E41" w:rsidP="00141E41">
      <w:pPr>
        <w:rPr>
          <w:rFonts w:ascii="Times New Roman" w:hAnsi="Times New Roman" w:cs="Times New Roman"/>
          <w:szCs w:val="21"/>
        </w:rPr>
      </w:pPr>
    </w:p>
    <w:sectPr w:rsidR="00141E41" w:rsidRPr="00141E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1A5D9423-C6F3-4D20-BF39-E54DE315EF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E33309FE-4FA0-4549-A7D1-A81D1FF89B5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86"/>
    <w:rsid w:val="00021773"/>
    <w:rsid w:val="0007400D"/>
    <w:rsid w:val="0012165A"/>
    <w:rsid w:val="00141E41"/>
    <w:rsid w:val="0020472D"/>
    <w:rsid w:val="00230445"/>
    <w:rsid w:val="00401A86"/>
    <w:rsid w:val="00510543"/>
    <w:rsid w:val="005E260F"/>
    <w:rsid w:val="00614173"/>
    <w:rsid w:val="00672F86"/>
    <w:rsid w:val="00A975E0"/>
    <w:rsid w:val="00E23BAF"/>
    <w:rsid w:val="00EE7B2A"/>
    <w:rsid w:val="00F66736"/>
    <w:rsid w:val="00FD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9D56"/>
  <w14:defaultImageDpi w14:val="32767"/>
  <w15:chartTrackingRefBased/>
  <w15:docId w15:val="{4C80ACE5-4FD9-467D-A1F9-16B4AFBA7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73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1A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A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A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A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A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A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A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A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1A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1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1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1A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1A8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1A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1A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1A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1A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1A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1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A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1A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A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1A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A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1A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1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1A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1A8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41E4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41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[文献速递No.788]MFEL-YOLO用于无人机航拍图像中的小目标检测</dc:title>
  <dc:subject/>
  <dc:creator>然 高</dc:creator>
  <cp:keywords/>
  <dc:description/>
  <cp:lastModifiedBy>然 高</cp:lastModifiedBy>
  <cp:revision>4</cp:revision>
  <dcterms:created xsi:type="dcterms:W3CDTF">2025-01-16T08:52:00Z</dcterms:created>
  <dcterms:modified xsi:type="dcterms:W3CDTF">2026-08-03T02:45:00Z</dcterms:modified>
</cp:coreProperties>
</file>