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Effect of diet and sex on average daily gain (ADG)</w:t>
      </w:r>
    </w:p>
    <w:p>
      <w:pPr>
        <w:pStyle w:val="Titre2"/>
      </w:pPr>
      <w:r>
        <w:t xml:space="preserve">Primary journal-ready table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Effect of diet and sex on average daily gain (ADG), based on weekly summarized means adjusted for week.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02"/>
        <w:gridCol w:w="1902"/>
        <w:gridCol w:w="2585"/>
        <w:gridCol w:w="1646"/>
        <w:gridCol w:w="2328"/>
        <w:gridCol w:w="2548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Female n/week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Female (EMM ± SEM)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Male n/week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Male (EMM ± SEM)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 (EMM ± SEM)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8–10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3.52 ± 0.51a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10–10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2.98 ± 0.31a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3.25 ± 0.33a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10–10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3.41 ± 0.38a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7–9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5.82 ± 0.58b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4.61 ± 0.36b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6–10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2.99 ± 0.55a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9–10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2.57 ± 0.38a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2.78 ± 0.36a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8–10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3.66 ± 0.42a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10–10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3.51 ± 0.35a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3.59 ± 0.30ab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Values are model-estimated marginal means (EMM) ± SEM.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 each sex column, means with different letters differ significantly at p &lt; 0.05 (Tukey-adjusted).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fixed effects: Diet p = ; Sex p = ; Diet × Sex p = 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summarized means were analysed using weighted generalized least squares with week included in the model, continuous-time AR(1) correlation across weeks within each diet × sex series, and weights based on SEM^2.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n/week indicates the observed range of weekly sample sizes contributing to each diet × sex series.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Model effects table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Fixed effects from the weighted generalized least squares model for weekly ADG.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32"/>
        <w:gridCol w:w="1066"/>
        <w:gridCol w:w="1038"/>
        <w:gridCol w:w="1027"/>
      </w:tblGrid>
      <w:tr>
        <w:trPr>
          <w:trHeight w:val="58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p.value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82.869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0.315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factor(week)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5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diet:sex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2026-03-18T21:18:12Z</dcterms:modified>
  <cp:category/>
</cp:coreProperties>
</file>