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Growth performance tables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Average daily gain (ADG) and final body weight of guinea pigs by diet.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02"/>
        <w:gridCol w:w="1902"/>
        <w:gridCol w:w="2428"/>
        <w:gridCol w:w="1646"/>
        <w:gridCol w:w="2245"/>
        <w:gridCol w:w="2391"/>
        <w:gridCol w:w="1768"/>
        <w:gridCol w:w="2599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Female n/week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Female ADG (g/day)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Male n/week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Male ADG (g/day)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ADG (g/day)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Final weight 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final weight (g)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8–10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3.52 ± 0.51a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10–10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2.98 ± 0.31a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3.25 ± 0.33a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667.2 ± 28.3 NA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10–10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3.41 ± 0.38a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7–9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5.82 ± 0.58b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4.61 ± 0.36b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738.7 ± 30.2 NA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6–10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2.99 ± 0.55a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9–10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2.57 ± 0.38a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2.78 ± 0.36a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650.7 ± 33.1 NA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8–10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3.66 ± 0.42a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10–10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3.51 ± 0.35a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3.59 ± 0.30ab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718.1 ± 28.6 NA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Test performed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Weighted GLS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Weighted GLS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Weighted GLS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ANCOVA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Test statistic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Diet × Sex: F =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Diet × Sex: F =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Diet: F =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Diet: F = 1.618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Diet × Sex: p = 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Diet × Sex: p = 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Diet: p = 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Diet: p = 0.205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Values are estimated marginal means ± SEM.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ADG values were obtained from the weighted generalized least squares model adjusted for week.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Final body weight values were obtained from ANCOVA adjusted for initial body weight and sex.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Means with different letters within the same outcome column differ significantly at p &lt; 0.05 (Tukey-adjusted).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 sex-specific ADG columns, the reported omnibus statistic corresponds to the Diet × Sex interaction; for overall ADG and final body weight, the reported omnibus statistic corresponds to the main effect of Diet.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n/week indicates the observed range of weekly sample sizes used in the ADG analysis; final weight n indicates the number of animals used in the ANCOVA.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Supplementary Table S1. Fixed effects from the models used to analyse average daily gain (ADG) and final body weight.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5"/>
        <w:gridCol w:w="1621"/>
        <w:gridCol w:w="655"/>
        <w:gridCol w:w="1132"/>
        <w:gridCol w:w="1090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Pr(&gt;F)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82.869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factor(week)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diet:sex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Final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Final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0.205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Final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0.041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Final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Initial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0.282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Final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 ×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0.875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Final weight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2026-03-19T01:13:49Z</dcterms:modified>
  <cp:category/>
</cp:coreProperties>
</file>