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6614D" w14:textId="77777777" w:rsidR="00A75C47" w:rsidRPr="00A75C47" w:rsidRDefault="00A75C47" w:rsidP="00A75C47">
      <w:pPr>
        <w:rPr>
          <w:b/>
          <w:bCs/>
        </w:rPr>
      </w:pPr>
      <w:r w:rsidRPr="00A75C47">
        <w:rPr>
          <w:b/>
          <w:bCs/>
        </w:rPr>
        <w:t>Materials &amp; Methods paragraph (Sensory analysis)</w:t>
      </w:r>
    </w:p>
    <w:p w14:paraId="0F6F9294" w14:textId="07CD08D2" w:rsidR="00A75C47" w:rsidRPr="00A75C47" w:rsidRDefault="00A75C47" w:rsidP="00A75C47">
      <w:r>
        <w:t>..</w:t>
      </w:r>
      <w:r w:rsidRPr="00A75C47">
        <w:t>add specifics like location/ethics/training/serving order/blinding if needed):</w:t>
      </w:r>
    </w:p>
    <w:p w14:paraId="4656F5CE" w14:textId="77777777" w:rsidR="00A75C47" w:rsidRPr="00A75C47" w:rsidRDefault="00A75C47" w:rsidP="00A75C47">
      <w:r w:rsidRPr="00A75C47">
        <w:rPr>
          <w:b/>
          <w:bCs/>
        </w:rPr>
        <w:t>Materials &amp; Methods – Sensory evaluation and statistical analysis (example paragraph):</w:t>
      </w:r>
    </w:p>
    <w:p w14:paraId="1120C8F7" w14:textId="77777777" w:rsidR="00A75C47" w:rsidRDefault="00A75C47" w:rsidP="00A75C47">
      <w:r w:rsidRPr="00A75C47">
        <w:t>Consumer sensory acceptability of meat samples from the different dietary treatments was evaluated using a 9-point hedonic scale (1 = dislike extremely; 9 = like extremely), with “no response” entries treated as missing values and excluded pairwise from analyses. Sensory attributes assessed included colour, flavour, tenderness, juiciness, taste, and overall quality, and willingness-to-buy was recorded as a binary response (yes/no). Hedonic responses were recoded to numeric scores (1–9) and summarised as mean ± 95% confidence intervals. Treatment effects on each sensory attribute were analysed using linear mixed-effects models with diet as a fixed effect, and gender and age group included as covariates, while respondent ID was fitted as a random intercept to account for between-consumer variability. Model assumptions were evaluated using residual diagnostics (normality and homoscedasticity). Where assumptions were not adequately met, non-parametric analyses (Kruskal–Wallis tests with appropriate post hoc comparisons) were applied. Willingness-to-buy was analysed using logistic regression including diet and key sensory drivers as predictors. Statistical significance was declared at α = 0.05. All analyses were performed in R.</w:t>
      </w:r>
    </w:p>
    <w:p w14:paraId="13B879BB" w14:textId="77777777" w:rsidR="003A76CF" w:rsidRDefault="003A76CF" w:rsidP="00A75C47"/>
    <w:p w14:paraId="3BF4BC5B" w14:textId="77777777" w:rsidR="003A76CF" w:rsidRPr="003A76CF" w:rsidRDefault="003A76CF" w:rsidP="003A76CF">
      <w:pPr>
        <w:rPr>
          <w:b/>
          <w:bCs/>
        </w:rPr>
      </w:pPr>
      <w:r w:rsidRPr="003A76CF">
        <w:rPr>
          <w:b/>
          <w:bCs/>
        </w:rPr>
        <w:t>How to decide: parametric vs non-parametric wording</w:t>
      </w:r>
    </w:p>
    <w:p w14:paraId="36EABA4A" w14:textId="77777777" w:rsidR="003A76CF" w:rsidRPr="003A76CF" w:rsidRDefault="003A76CF" w:rsidP="003A76CF">
      <w:pPr>
        <w:rPr>
          <w:b/>
          <w:bCs/>
        </w:rPr>
      </w:pPr>
      <w:r w:rsidRPr="003A76CF">
        <w:rPr>
          <w:b/>
          <w:bCs/>
        </w:rPr>
        <w:t>What’s “best practice” for 9-point hedonic data?</w:t>
      </w:r>
    </w:p>
    <w:p w14:paraId="65F96A71" w14:textId="77777777" w:rsidR="003A76CF" w:rsidRPr="003A76CF" w:rsidRDefault="003A76CF" w:rsidP="003A76CF">
      <w:pPr>
        <w:numPr>
          <w:ilvl w:val="0"/>
          <w:numId w:val="1"/>
        </w:numPr>
      </w:pPr>
      <w:r w:rsidRPr="003A76CF">
        <w:t xml:space="preserve">Hedonic scores are </w:t>
      </w:r>
      <w:r w:rsidRPr="003A76CF">
        <w:rPr>
          <w:b/>
          <w:bCs/>
        </w:rPr>
        <w:t>ordinal</w:t>
      </w:r>
      <w:r w:rsidRPr="003A76CF">
        <w:t xml:space="preserve">, but are </w:t>
      </w:r>
      <w:r w:rsidRPr="003A76CF">
        <w:rPr>
          <w:b/>
          <w:bCs/>
        </w:rPr>
        <w:t>often treated as approximately continuous</w:t>
      </w:r>
      <w:r w:rsidRPr="003A76CF">
        <w:t xml:space="preserve"> in animal/food science when sample sizes are decent and residuals are reasonable.</w:t>
      </w:r>
    </w:p>
    <w:p w14:paraId="2C756EC8" w14:textId="77777777" w:rsidR="003A76CF" w:rsidRPr="003A76CF" w:rsidRDefault="003A76CF" w:rsidP="003A76CF">
      <w:pPr>
        <w:numPr>
          <w:ilvl w:val="0"/>
          <w:numId w:val="1"/>
        </w:numPr>
      </w:pPr>
      <w:r w:rsidRPr="003A76CF">
        <w:t>The strongest, reviewer-resistant approach is:</w:t>
      </w:r>
    </w:p>
    <w:p w14:paraId="3027C08E" w14:textId="77777777" w:rsidR="003A76CF" w:rsidRPr="003A76CF" w:rsidRDefault="003A76CF" w:rsidP="003A76CF">
      <w:pPr>
        <w:numPr>
          <w:ilvl w:val="1"/>
          <w:numId w:val="1"/>
        </w:numPr>
      </w:pPr>
      <w:r w:rsidRPr="003A76CF">
        <w:rPr>
          <w:b/>
          <w:bCs/>
        </w:rPr>
        <w:t>Mixed-effects model</w:t>
      </w:r>
      <w:r w:rsidRPr="003A76CF">
        <w:t xml:space="preserve"> (accounts for ID variability)</w:t>
      </w:r>
    </w:p>
    <w:p w14:paraId="0012CF85" w14:textId="77777777" w:rsidR="003A76CF" w:rsidRPr="003A76CF" w:rsidRDefault="003A76CF" w:rsidP="003A76CF">
      <w:pPr>
        <w:numPr>
          <w:ilvl w:val="1"/>
          <w:numId w:val="1"/>
        </w:numPr>
      </w:pPr>
      <w:r w:rsidRPr="003A76CF">
        <w:t xml:space="preserve">and/or </w:t>
      </w:r>
      <w:r w:rsidRPr="003A76CF">
        <w:rPr>
          <w:b/>
          <w:bCs/>
        </w:rPr>
        <w:t>ordinal mixed model</w:t>
      </w:r>
      <w:r w:rsidRPr="003A76CF">
        <w:t xml:space="preserve"> (if reviewers push back)</w:t>
      </w:r>
    </w:p>
    <w:p w14:paraId="6CAFE32D" w14:textId="77777777" w:rsidR="003A76CF" w:rsidRPr="003A76CF" w:rsidRDefault="003A76CF" w:rsidP="003A76CF">
      <w:pPr>
        <w:rPr>
          <w:b/>
          <w:bCs/>
        </w:rPr>
      </w:pPr>
      <w:r w:rsidRPr="003A76CF">
        <w:rPr>
          <w:b/>
          <w:bCs/>
        </w:rPr>
        <w:t>A practical decision rule</w:t>
      </w:r>
    </w:p>
    <w:p w14:paraId="32AB2897" w14:textId="77777777" w:rsidR="003A76CF" w:rsidRPr="003A76CF" w:rsidRDefault="003A76CF" w:rsidP="003A76CF">
      <w:r w:rsidRPr="003A76CF">
        <w:t xml:space="preserve">Use </w:t>
      </w:r>
      <w:r w:rsidRPr="003A76CF">
        <w:rPr>
          <w:b/>
          <w:bCs/>
        </w:rPr>
        <w:t>parametric (mixed model)</w:t>
      </w:r>
      <w:r w:rsidRPr="003A76CF">
        <w:t xml:space="preserve"> when:</w:t>
      </w:r>
    </w:p>
    <w:p w14:paraId="6B40F80D" w14:textId="77777777" w:rsidR="003A76CF" w:rsidRPr="003A76CF" w:rsidRDefault="003A76CF" w:rsidP="003A76CF">
      <w:pPr>
        <w:numPr>
          <w:ilvl w:val="0"/>
          <w:numId w:val="2"/>
        </w:numPr>
      </w:pPr>
      <w:r w:rsidRPr="003A76CF">
        <w:t>Each diet has a reasonable number of respondents (rule of thumb: ≥ 20/diet is nice; smaller can still work)</w:t>
      </w:r>
    </w:p>
    <w:p w14:paraId="36790AB3" w14:textId="77777777" w:rsidR="003A76CF" w:rsidRPr="003A76CF" w:rsidRDefault="003A76CF" w:rsidP="003A76CF">
      <w:pPr>
        <w:numPr>
          <w:ilvl w:val="0"/>
          <w:numId w:val="2"/>
        </w:numPr>
      </w:pPr>
      <w:r w:rsidRPr="003A76CF">
        <w:t>Residual plots look acceptable (no extreme skew, no crazy heteroscedasticity)</w:t>
      </w:r>
    </w:p>
    <w:p w14:paraId="5C9C5828" w14:textId="77777777" w:rsidR="003A76CF" w:rsidRPr="003A76CF" w:rsidRDefault="003A76CF" w:rsidP="003A76CF">
      <w:pPr>
        <w:numPr>
          <w:ilvl w:val="0"/>
          <w:numId w:val="2"/>
        </w:numPr>
      </w:pPr>
      <w:r w:rsidRPr="003A76CF">
        <w:t>Conclusions are stable (parametric and nonparametric tell the same story)</w:t>
      </w:r>
    </w:p>
    <w:p w14:paraId="74EEDC48" w14:textId="77777777" w:rsidR="003A76CF" w:rsidRPr="003A76CF" w:rsidRDefault="003A76CF" w:rsidP="003A76CF">
      <w:r w:rsidRPr="003A76CF">
        <w:lastRenderedPageBreak/>
        <w:t xml:space="preserve">Use </w:t>
      </w:r>
      <w:r w:rsidRPr="003A76CF">
        <w:rPr>
          <w:b/>
          <w:bCs/>
        </w:rPr>
        <w:t>non-parametric</w:t>
      </w:r>
      <w:r w:rsidRPr="003A76CF">
        <w:t xml:space="preserve"> when:</w:t>
      </w:r>
    </w:p>
    <w:p w14:paraId="0A85A9A0" w14:textId="77777777" w:rsidR="003A76CF" w:rsidRPr="003A76CF" w:rsidRDefault="003A76CF" w:rsidP="003A76CF">
      <w:pPr>
        <w:numPr>
          <w:ilvl w:val="0"/>
          <w:numId w:val="3"/>
        </w:numPr>
      </w:pPr>
      <w:r w:rsidRPr="003A76CF">
        <w:t>Heavy ceiling/floor effects (most responses are 8–9 or 1–2)</w:t>
      </w:r>
    </w:p>
    <w:p w14:paraId="44C90F27" w14:textId="77777777" w:rsidR="003A76CF" w:rsidRPr="003A76CF" w:rsidRDefault="003A76CF" w:rsidP="003A76CF">
      <w:pPr>
        <w:numPr>
          <w:ilvl w:val="0"/>
          <w:numId w:val="3"/>
        </w:numPr>
      </w:pPr>
      <w:r w:rsidRPr="003A76CF">
        <w:t>Strong heteroscedasticity or very non-normal residuals</w:t>
      </w:r>
    </w:p>
    <w:p w14:paraId="70573590" w14:textId="77777777" w:rsidR="003A76CF" w:rsidRPr="003A76CF" w:rsidRDefault="003A76CF" w:rsidP="003A76CF">
      <w:pPr>
        <w:numPr>
          <w:ilvl w:val="0"/>
          <w:numId w:val="3"/>
        </w:numPr>
      </w:pPr>
      <w:r w:rsidRPr="003A76CF">
        <w:t>Very small n per diet</w:t>
      </w:r>
    </w:p>
    <w:p w14:paraId="5CAED2D1" w14:textId="77777777" w:rsidR="003A76CF" w:rsidRPr="003A76CF" w:rsidRDefault="003A76CF" w:rsidP="003A76CF">
      <w:pPr>
        <w:rPr>
          <w:b/>
          <w:bCs/>
        </w:rPr>
      </w:pPr>
      <w:r w:rsidRPr="003A76CF">
        <w:rPr>
          <w:b/>
          <w:bCs/>
        </w:rPr>
        <w:t>Code to run diagnostics quickly (for one attribute)</w:t>
      </w:r>
    </w:p>
    <w:p w14:paraId="39DA7F5B" w14:textId="77777777" w:rsidR="003A76CF" w:rsidRPr="003A76CF" w:rsidRDefault="003A76CF" w:rsidP="003A76CF">
      <w:r w:rsidRPr="003A76CF">
        <w:t>library(performance)</w:t>
      </w:r>
    </w:p>
    <w:p w14:paraId="0E54A153" w14:textId="77777777" w:rsidR="003A76CF" w:rsidRPr="003A76CF" w:rsidRDefault="003A76CF" w:rsidP="003A76CF">
      <w:r w:rsidRPr="003A76CF">
        <w:t>library(lme4)</w:t>
      </w:r>
    </w:p>
    <w:p w14:paraId="5FBDA9C5" w14:textId="77777777" w:rsidR="003A76CF" w:rsidRPr="003A76CF" w:rsidRDefault="003A76CF" w:rsidP="003A76CF">
      <w:r w:rsidRPr="003A76CF">
        <w:t>library(</w:t>
      </w:r>
      <w:proofErr w:type="spellStart"/>
      <w:r w:rsidRPr="003A76CF">
        <w:t>lmerTest</w:t>
      </w:r>
      <w:proofErr w:type="spellEnd"/>
      <w:r w:rsidRPr="003A76CF">
        <w:t>)</w:t>
      </w:r>
    </w:p>
    <w:p w14:paraId="0A26C263" w14:textId="77777777" w:rsidR="003A76CF" w:rsidRPr="003A76CF" w:rsidRDefault="003A76CF" w:rsidP="003A76CF"/>
    <w:p w14:paraId="0BFBFEF3" w14:textId="77777777" w:rsidR="003A76CF" w:rsidRPr="003A76CF" w:rsidRDefault="003A76CF" w:rsidP="003A76CF">
      <w:r w:rsidRPr="003A76CF">
        <w:t xml:space="preserve">m1 &lt;- </w:t>
      </w:r>
      <w:proofErr w:type="spellStart"/>
      <w:r w:rsidRPr="003A76CF">
        <w:t>lmer</w:t>
      </w:r>
      <w:proofErr w:type="spellEnd"/>
      <w:r w:rsidRPr="003A76CF">
        <w:t>(</w:t>
      </w:r>
      <w:proofErr w:type="spellStart"/>
      <w:r w:rsidRPr="003A76CF">
        <w:t>overall_quality</w:t>
      </w:r>
      <w:proofErr w:type="spellEnd"/>
      <w:r w:rsidRPr="003A76CF">
        <w:t xml:space="preserve"> ~ diet + gender + </w:t>
      </w:r>
      <w:proofErr w:type="spellStart"/>
      <w:r w:rsidRPr="003A76CF">
        <w:t>age_group</w:t>
      </w:r>
      <w:proofErr w:type="spellEnd"/>
      <w:r w:rsidRPr="003A76CF">
        <w:t xml:space="preserve"> + (1|id), data = </w:t>
      </w:r>
      <w:proofErr w:type="spellStart"/>
      <w:r w:rsidRPr="003A76CF">
        <w:t>sensory_num</w:t>
      </w:r>
      <w:proofErr w:type="spellEnd"/>
      <w:r w:rsidRPr="003A76CF">
        <w:t>)</w:t>
      </w:r>
    </w:p>
    <w:p w14:paraId="5D705F7B" w14:textId="77777777" w:rsidR="003A76CF" w:rsidRPr="003A76CF" w:rsidRDefault="003A76CF" w:rsidP="003A76CF"/>
    <w:p w14:paraId="3B0BDC28" w14:textId="77777777" w:rsidR="003A76CF" w:rsidRPr="003A76CF" w:rsidRDefault="003A76CF" w:rsidP="003A76CF">
      <w:proofErr w:type="spellStart"/>
      <w:r w:rsidRPr="003A76CF">
        <w:t>check_model</w:t>
      </w:r>
      <w:proofErr w:type="spellEnd"/>
      <w:r w:rsidRPr="003A76CF">
        <w:t>(m1)   # diagnostic plots</w:t>
      </w:r>
    </w:p>
    <w:p w14:paraId="5109C8A4" w14:textId="77777777" w:rsidR="003A76CF" w:rsidRPr="003A76CF" w:rsidRDefault="003A76CF" w:rsidP="003A76CF">
      <w:proofErr w:type="spellStart"/>
      <w:r w:rsidRPr="003A76CF">
        <w:t>check_normality</w:t>
      </w:r>
      <w:proofErr w:type="spellEnd"/>
      <w:r w:rsidRPr="003A76CF">
        <w:t>(m1)</w:t>
      </w:r>
    </w:p>
    <w:p w14:paraId="7F631ACF" w14:textId="77777777" w:rsidR="003A76CF" w:rsidRPr="003A76CF" w:rsidRDefault="003A76CF" w:rsidP="003A76CF">
      <w:proofErr w:type="spellStart"/>
      <w:r w:rsidRPr="003A76CF">
        <w:t>check_heteroscedasticity</w:t>
      </w:r>
      <w:proofErr w:type="spellEnd"/>
      <w:r w:rsidRPr="003A76CF">
        <w:t>(m1)</w:t>
      </w:r>
    </w:p>
    <w:p w14:paraId="1808723C" w14:textId="77777777" w:rsidR="003A76CF" w:rsidRPr="003A76CF" w:rsidRDefault="003A76CF" w:rsidP="003A76CF">
      <w:r w:rsidRPr="003A76CF">
        <w:pict w14:anchorId="3E64CC0C">
          <v:rect id="_x0000_i1031" style="width:0;height:1.5pt" o:hralign="center" o:hrstd="t" o:hr="t" fillcolor="#a0a0a0" stroked="f"/>
        </w:pict>
      </w:r>
    </w:p>
    <w:p w14:paraId="1713252A" w14:textId="77777777" w:rsidR="003A76CF" w:rsidRPr="003A76CF" w:rsidRDefault="003A76CF" w:rsidP="003A76CF">
      <w:pPr>
        <w:rPr>
          <w:b/>
          <w:bCs/>
        </w:rPr>
      </w:pPr>
      <w:r w:rsidRPr="003A76CF">
        <w:rPr>
          <w:b/>
          <w:bCs/>
        </w:rPr>
        <w:t>Recommended reporting wording (copy/paste options)</w:t>
      </w:r>
    </w:p>
    <w:p w14:paraId="54858D08" w14:textId="77777777" w:rsidR="003A76CF" w:rsidRPr="003A76CF" w:rsidRDefault="003A76CF" w:rsidP="003A76CF">
      <w:pPr>
        <w:rPr>
          <w:b/>
          <w:bCs/>
        </w:rPr>
      </w:pPr>
      <w:r w:rsidRPr="003A76CF">
        <w:rPr>
          <w:b/>
          <w:bCs/>
        </w:rPr>
        <w:t>If you go parametric (mixed model)</w:t>
      </w:r>
    </w:p>
    <w:p w14:paraId="22803E68" w14:textId="77777777" w:rsidR="003A76CF" w:rsidRPr="003A76CF" w:rsidRDefault="003A76CF" w:rsidP="003A76CF">
      <w:r w:rsidRPr="003A76CF">
        <w:t>“Hedonic scores were analysed using linear mixed-effects models with diet as a fixed effect and respondent ID as a random intercept. Gender and age group were included as covariates. Model assumptions were checked using residual diagnostics.”</w:t>
      </w:r>
    </w:p>
    <w:p w14:paraId="2CE6CEBC" w14:textId="77777777" w:rsidR="003A76CF" w:rsidRPr="003A76CF" w:rsidRDefault="003A76CF" w:rsidP="003A76CF">
      <w:pPr>
        <w:rPr>
          <w:b/>
          <w:bCs/>
        </w:rPr>
      </w:pPr>
      <w:r w:rsidRPr="003A76CF">
        <w:rPr>
          <w:b/>
          <w:bCs/>
        </w:rPr>
        <w:t>If you go non-parametric</w:t>
      </w:r>
    </w:p>
    <w:p w14:paraId="2D95C98E" w14:textId="77777777" w:rsidR="003A76CF" w:rsidRPr="003A76CF" w:rsidRDefault="003A76CF" w:rsidP="003A76CF">
      <w:r w:rsidRPr="003A76CF">
        <w:t>“Because hedonic scores did not satisfy model assumptions, treatment effects were evaluated using Kruskal–Wallis tests followed by post hoc pairwise comparisons with multiplicity adjustment.”</w:t>
      </w:r>
    </w:p>
    <w:p w14:paraId="66621C75" w14:textId="77777777" w:rsidR="003A76CF" w:rsidRPr="003A76CF" w:rsidRDefault="003A76CF" w:rsidP="003A76CF">
      <w:pPr>
        <w:rPr>
          <w:b/>
          <w:bCs/>
        </w:rPr>
      </w:pPr>
      <w:r w:rsidRPr="003A76CF">
        <w:rPr>
          <w:b/>
          <w:bCs/>
        </w:rPr>
        <w:t>If you go “robust + reviewer-proof” (my favourite)</w:t>
      </w:r>
    </w:p>
    <w:p w14:paraId="5CEAA678" w14:textId="77777777" w:rsidR="003A76CF" w:rsidRPr="003A76CF" w:rsidRDefault="003A76CF" w:rsidP="003A76CF">
      <w:r w:rsidRPr="003A76CF">
        <w:t>“Primary inference was based on linear mixed-effects models; non-parametric tests were used as sensitivity analyses and produced consistent conclusions.”</w:t>
      </w:r>
    </w:p>
    <w:p w14:paraId="31012E00" w14:textId="77777777" w:rsidR="003A76CF" w:rsidRPr="003A76CF" w:rsidRDefault="003A76CF" w:rsidP="003A76CF">
      <w:r w:rsidRPr="003A76CF">
        <w:lastRenderedPageBreak/>
        <w:t>(That last sentence often prevents reviewer battles.)</w:t>
      </w:r>
    </w:p>
    <w:p w14:paraId="7C5DF7B7" w14:textId="77777777" w:rsidR="003A76CF" w:rsidRPr="00A75C47" w:rsidRDefault="003A76CF" w:rsidP="00A75C47"/>
    <w:p w14:paraId="08CFFFC3" w14:textId="77777777" w:rsidR="00B805A8" w:rsidRDefault="00B805A8"/>
    <w:sectPr w:rsidR="00B805A8" w:rsidSect="00C25D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A6964"/>
    <w:multiLevelType w:val="multilevel"/>
    <w:tmpl w:val="BA2E2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911CC4"/>
    <w:multiLevelType w:val="multilevel"/>
    <w:tmpl w:val="6476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8873D1"/>
    <w:multiLevelType w:val="multilevel"/>
    <w:tmpl w:val="C9AA3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853091">
    <w:abstractNumId w:val="2"/>
  </w:num>
  <w:num w:numId="2" w16cid:durableId="747389239">
    <w:abstractNumId w:val="1"/>
  </w:num>
  <w:num w:numId="3" w16cid:durableId="2078833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324" w:allStyles="0" w:customStyles="0" w:latentStyles="1" w:stylesInUse="0" w:headingStyles="1" w:numberingStyles="0" w:tableStyles="0" w:directFormattingOnRuns="1" w:directFormattingOnParagraphs="1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C47"/>
    <w:rsid w:val="000440A4"/>
    <w:rsid w:val="000B0EB6"/>
    <w:rsid w:val="001365F8"/>
    <w:rsid w:val="0025469A"/>
    <w:rsid w:val="003A76CF"/>
    <w:rsid w:val="003C23E5"/>
    <w:rsid w:val="00482113"/>
    <w:rsid w:val="00A75C47"/>
    <w:rsid w:val="00AC2152"/>
    <w:rsid w:val="00B805A8"/>
    <w:rsid w:val="00B90866"/>
    <w:rsid w:val="00BC0526"/>
    <w:rsid w:val="00C25DAD"/>
    <w:rsid w:val="00D65E1A"/>
    <w:rsid w:val="00EC4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9077DE"/>
  <w15:chartTrackingRefBased/>
  <w15:docId w15:val="{839A46F6-7326-4075-9A46-35D8C935E3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0A4"/>
  </w:style>
  <w:style w:type="paragraph" w:styleId="Heading1">
    <w:name w:val="heading 1"/>
    <w:basedOn w:val="Normal"/>
    <w:next w:val="Normal"/>
    <w:link w:val="Heading1Char"/>
    <w:uiPriority w:val="9"/>
    <w:qFormat/>
    <w:rsid w:val="00A75C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5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C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C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C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C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C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C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C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C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5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C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C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C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C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C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C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C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C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C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C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C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C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C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C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C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C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C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C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513</Words>
  <Characters>2928</Characters>
  <Application>Microsoft Office Word</Application>
  <DocSecurity>0</DocSecurity>
  <Lines>24</Lines>
  <Paragraphs>6</Paragraphs>
  <ScaleCrop>false</ScaleCrop>
  <Company/>
  <LinksUpToDate>false</LinksUpToDate>
  <CharactersWithSpaces>3435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Chia, Shaphan</dc:creator>
  <cp:keywords/>
  <dc:description/>
  <cp:lastModifiedBy>Chia, Shaphan</cp:lastModifiedBy>
  <cp:revision>2</cp:revision>
  <dcterms:created xsi:type="dcterms:W3CDTF">2025-12-20T17:00:00Z</dcterms:created>
  <dcterms:modified xsi:type="dcterms:W3CDTF">2025-12-20T17:11:00Z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8a2b78f9-9724-4f09-bf18-7ec2266cd2a8</vt:lpwstr>
  </property>
</Properties>
</file>