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E314A" w14:textId="101A6460" w:rsidR="00917C6D" w:rsidRPr="000B3BC3" w:rsidRDefault="00917C6D" w:rsidP="00917C6D">
      <w:pPr>
        <w:rPr>
          <w:b/>
          <w:bCs/>
          <w:sz w:val="20"/>
          <w:szCs w:val="20"/>
        </w:rPr>
      </w:pPr>
      <w:r w:rsidRPr="000B3BC3">
        <w:rPr>
          <w:b/>
          <w:bCs/>
          <w:sz w:val="20"/>
          <w:szCs w:val="20"/>
        </w:rPr>
        <w:t>Methods justification</w:t>
      </w:r>
      <w:r w:rsidRPr="000B3BC3">
        <w:rPr>
          <w:b/>
          <w:bCs/>
          <w:sz w:val="20"/>
          <w:szCs w:val="20"/>
        </w:rPr>
        <w:t xml:space="preserve"> Organ weight</w:t>
      </w:r>
    </w:p>
    <w:p w14:paraId="71C5AA3D" w14:textId="77777777" w:rsidR="00917C6D" w:rsidRPr="000B3BC3" w:rsidRDefault="00917C6D" w:rsidP="00917C6D">
      <w:pPr>
        <w:rPr>
          <w:sz w:val="20"/>
          <w:szCs w:val="20"/>
        </w:rPr>
      </w:pPr>
      <w:r w:rsidRPr="000B3BC3">
        <w:rPr>
          <w:i/>
          <w:iCs/>
          <w:sz w:val="20"/>
          <w:szCs w:val="20"/>
        </w:rPr>
        <w:t>Preliminary inspection revealed no consistent sex-specific trends across organs, and given the limited sample size per sex (n = 2), sex was not retained as a factor in the final analysis. Data from males and females were therefore pooled within each diet to increase precision of estimation. Sex-specific values are provided in Supplementary Table S1.</w:t>
      </w:r>
    </w:p>
    <w:p w14:paraId="4720D581" w14:textId="77777777" w:rsidR="00917C6D" w:rsidRPr="000B3BC3" w:rsidRDefault="00917C6D" w:rsidP="00917C6D">
      <w:pPr>
        <w:rPr>
          <w:b/>
          <w:bCs/>
          <w:sz w:val="20"/>
          <w:szCs w:val="20"/>
        </w:rPr>
      </w:pPr>
      <w:r w:rsidRPr="000B3BC3">
        <w:rPr>
          <w:b/>
          <w:bCs/>
          <w:sz w:val="20"/>
          <w:szCs w:val="20"/>
        </w:rPr>
        <w:t>Reviewer-proof wording</w:t>
      </w:r>
    </w:p>
    <w:p w14:paraId="51AB8CB4" w14:textId="77777777" w:rsidR="00917C6D" w:rsidRPr="000B3BC3" w:rsidRDefault="00917C6D" w:rsidP="00917C6D">
      <w:pPr>
        <w:rPr>
          <w:i/>
          <w:iCs/>
          <w:sz w:val="20"/>
          <w:szCs w:val="20"/>
        </w:rPr>
      </w:pPr>
      <w:r w:rsidRPr="000B3BC3">
        <w:rPr>
          <w:i/>
          <w:iCs/>
          <w:sz w:val="20"/>
          <w:szCs w:val="20"/>
        </w:rPr>
        <w:t>This decision was made a priori to prioritise estimation of dietary effects rather than underpowered interaction testing.</w:t>
      </w:r>
    </w:p>
    <w:p w14:paraId="19E2FD7A" w14:textId="77777777" w:rsidR="009D558A" w:rsidRPr="000B3BC3" w:rsidRDefault="009D558A" w:rsidP="009D558A">
      <w:pPr>
        <w:rPr>
          <w:b/>
          <w:bCs/>
          <w:sz w:val="20"/>
          <w:szCs w:val="20"/>
        </w:rPr>
      </w:pPr>
      <w:r w:rsidRPr="000B3BC3">
        <w:rPr>
          <w:b/>
          <w:bCs/>
          <w:sz w:val="20"/>
          <w:szCs w:val="20"/>
        </w:rPr>
        <w:t>Strong statistical paragraph (ready to use)</w:t>
      </w:r>
    </w:p>
    <w:p w14:paraId="3422F86E" w14:textId="77777777" w:rsidR="009D558A" w:rsidRPr="000B3BC3" w:rsidRDefault="009D558A" w:rsidP="009D558A">
      <w:pPr>
        <w:rPr>
          <w:i/>
          <w:iCs/>
          <w:sz w:val="20"/>
          <w:szCs w:val="20"/>
        </w:rPr>
      </w:pPr>
      <w:r w:rsidRPr="000B3BC3">
        <w:rPr>
          <w:i/>
          <w:iCs/>
          <w:sz w:val="20"/>
          <w:szCs w:val="20"/>
        </w:rPr>
        <w:t>Given the limited sample size per treatment–sex combination (n = 2), sex was not retained as an explanatory factor. Data from males and females were pooled within each dietary treatment, resulting in n = 4 per diet. Analyses focused on estimation of dietary effects, summarised as means and bootstrap-derived 95% confidence intervals. Statistical testing is presented as exploratory.</w:t>
      </w:r>
    </w:p>
    <w:p w14:paraId="3E647D06" w14:textId="01ED4C65" w:rsidR="00945071" w:rsidRPr="000B3BC3" w:rsidRDefault="003F6A0E" w:rsidP="009D558A">
      <w:pPr>
        <w:rPr>
          <w:sz w:val="20"/>
          <w:szCs w:val="20"/>
        </w:rPr>
      </w:pPr>
      <w:r w:rsidRPr="000B3BC3">
        <w:rPr>
          <w:sz w:val="20"/>
          <w:szCs w:val="20"/>
        </w:rPr>
        <w:t>“Sex effects were not evaluated due to limited power”</w:t>
      </w:r>
    </w:p>
    <w:p w14:paraId="70069AF1" w14:textId="77777777" w:rsidR="00945071" w:rsidRPr="000B3BC3" w:rsidRDefault="00945071" w:rsidP="00945071">
      <w:pPr>
        <w:rPr>
          <w:b/>
          <w:bCs/>
          <w:sz w:val="20"/>
          <w:szCs w:val="20"/>
        </w:rPr>
      </w:pPr>
      <w:r w:rsidRPr="000B3BC3">
        <w:rPr>
          <w:b/>
          <w:bCs/>
          <w:sz w:val="20"/>
          <w:szCs w:val="20"/>
        </w:rPr>
        <w:t>Statistical analysis paragraph (high-impact safe)</w:t>
      </w:r>
    </w:p>
    <w:p w14:paraId="48731599" w14:textId="77777777" w:rsidR="00945071" w:rsidRPr="000B3BC3" w:rsidRDefault="00945071" w:rsidP="00945071">
      <w:pPr>
        <w:rPr>
          <w:sz w:val="20"/>
          <w:szCs w:val="20"/>
        </w:rPr>
      </w:pPr>
      <w:r w:rsidRPr="000B3BC3">
        <w:rPr>
          <w:i/>
          <w:iCs/>
          <w:sz w:val="20"/>
          <w:szCs w:val="20"/>
        </w:rPr>
        <w:t>Given the small sample size per dietary treatment (n = 4), organ weights were analysed using an estimation-based approach. Mean values and 95% confidence intervals were obtained by nonparametric bootstrap resampling (10,000 iterations), whereby samples were repeatedly drawn with replacement and the mean recalculated for each resample. This approach avoids assumptions of normality and provides robust uncertainty estimates for small datasets.</w:t>
      </w:r>
    </w:p>
    <w:p w14:paraId="6BDABE0B" w14:textId="29ECFFAC" w:rsidR="00945071" w:rsidRPr="000B3BC3" w:rsidRDefault="001E344A" w:rsidP="009D558A">
      <w:pPr>
        <w:rPr>
          <w:b/>
          <w:bCs/>
          <w:sz w:val="20"/>
          <w:szCs w:val="20"/>
        </w:rPr>
      </w:pPr>
      <w:r w:rsidRPr="000B3BC3">
        <w:rPr>
          <w:b/>
          <w:bCs/>
          <w:sz w:val="20"/>
          <w:szCs w:val="20"/>
        </w:rPr>
        <w:t>Results section</w:t>
      </w:r>
    </w:p>
    <w:p w14:paraId="558C779A" w14:textId="47D6B103" w:rsidR="001E344A" w:rsidRPr="000B3BC3" w:rsidRDefault="001E344A" w:rsidP="001E344A">
      <w:pPr>
        <w:jc w:val="both"/>
        <w:rPr>
          <w:sz w:val="20"/>
          <w:szCs w:val="20"/>
        </w:rPr>
      </w:pPr>
      <w:r w:rsidRPr="000B3BC3">
        <w:rPr>
          <w:sz w:val="20"/>
          <w:szCs w:val="20"/>
        </w:rPr>
        <w:t>Pooling males and females to increase precision (n = 4 per diet), internal organ weights were compared across diets using an estimation-based approach (Figure X). Diet T2 was associated with a higher mean heart weight relative to the control diet (T1), whereas diets T3 and T4 showed no consistent heart-related effects. Lung weight was lower in animals fed T4 compared with T1, and spleen weight showed a progressive reduction in T3 and T4. In contrast, liver, kidney, and intestinal weights exhibited substantial inter-individual variability, with overlapping confidence intervals across diets, indicating no clear diet-related shifts.</w:t>
      </w:r>
    </w:p>
    <w:p w14:paraId="76003527" w14:textId="57A89BCD" w:rsidR="001E344A" w:rsidRPr="000B3BC3" w:rsidRDefault="001E344A" w:rsidP="001E344A">
      <w:pPr>
        <w:jc w:val="both"/>
        <w:rPr>
          <w:sz w:val="20"/>
          <w:szCs w:val="20"/>
        </w:rPr>
      </w:pPr>
      <w:r w:rsidRPr="000B3BC3">
        <w:rPr>
          <w:noProof/>
          <w:sz w:val="20"/>
          <w:szCs w:val="20"/>
        </w:rPr>
        <w:drawing>
          <wp:inline distT="0" distB="0" distL="0" distR="0" wp14:anchorId="603D2F35" wp14:editId="4581FC9B">
            <wp:extent cx="2067339" cy="1262594"/>
            <wp:effectExtent l="0" t="0" r="9525" b="0"/>
            <wp:docPr id="80313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V="1">
                      <a:off x="0" y="0"/>
                      <a:ext cx="2086232" cy="1274132"/>
                    </a:xfrm>
                    <a:prstGeom prst="rect">
                      <a:avLst/>
                    </a:prstGeom>
                    <a:noFill/>
                  </pic:spPr>
                </pic:pic>
              </a:graphicData>
            </a:graphic>
          </wp:inline>
        </w:drawing>
      </w:r>
    </w:p>
    <w:p w14:paraId="554C0E90" w14:textId="2767633B" w:rsidR="001E344A" w:rsidRPr="000B3BC3" w:rsidRDefault="001E344A" w:rsidP="001E344A">
      <w:pPr>
        <w:rPr>
          <w:sz w:val="20"/>
          <w:szCs w:val="20"/>
        </w:rPr>
      </w:pPr>
      <w:r w:rsidRPr="000B3BC3">
        <w:rPr>
          <w:b/>
          <w:bCs/>
          <w:sz w:val="20"/>
          <w:szCs w:val="20"/>
        </w:rPr>
        <w:t>Figure X. Internal organ weights by diet (sex pooled).</w:t>
      </w:r>
      <w:r w:rsidRPr="000B3BC3">
        <w:rPr>
          <w:sz w:val="20"/>
          <w:szCs w:val="20"/>
        </w:rPr>
        <w:br/>
        <w:t xml:space="preserve">Grey points represent individual animals; </w:t>
      </w:r>
      <w:proofErr w:type="spellStart"/>
      <w:r w:rsidRPr="000B3BC3">
        <w:rPr>
          <w:sz w:val="20"/>
          <w:szCs w:val="20"/>
        </w:rPr>
        <w:t>colored</w:t>
      </w:r>
      <w:proofErr w:type="spellEnd"/>
      <w:r w:rsidRPr="000B3BC3">
        <w:rPr>
          <w:sz w:val="20"/>
          <w:szCs w:val="20"/>
        </w:rPr>
        <w:t xml:space="preserve"> points indicate diet-specific means; vertical bars denote bootstrap 95% confidence intervals (10,000 resamples). Diet T1 serves as the control. The figure emphasizes effect sizes and uncertainty rather than null-hypothesis testing.</w:t>
      </w:r>
    </w:p>
    <w:p w14:paraId="1A74E3B7" w14:textId="39057824" w:rsidR="000B3BC3" w:rsidRDefault="000B3BC3" w:rsidP="00B31B50">
      <w:pPr>
        <w:spacing w:after="0" w:line="240" w:lineRule="auto"/>
        <w:rPr>
          <w:sz w:val="20"/>
          <w:szCs w:val="20"/>
        </w:rPr>
      </w:pPr>
      <w:r w:rsidRPr="000B3BC3">
        <w:rPr>
          <w:sz w:val="20"/>
          <w:szCs w:val="20"/>
        </w:rPr>
        <w:lastRenderedPageBreak/>
        <w:t>How does this diet change each organ weight relative to the control diet (T1)?</w:t>
      </w:r>
    </w:p>
    <w:p w14:paraId="55401951" w14:textId="06ED72DE" w:rsidR="00B31B50" w:rsidRDefault="00B31B50" w:rsidP="00B31B50">
      <w:pPr>
        <w:spacing w:after="0" w:line="240" w:lineRule="auto"/>
        <w:rPr>
          <w:sz w:val="20"/>
          <w:szCs w:val="20"/>
        </w:rPr>
      </w:pPr>
      <w:r>
        <w:rPr>
          <w:sz w:val="20"/>
          <w:szCs w:val="20"/>
        </w:rPr>
        <w:t xml:space="preserve">See </w:t>
      </w:r>
      <w:r w:rsidRPr="00B31B50">
        <w:rPr>
          <w:b/>
          <w:bCs/>
          <w:sz w:val="20"/>
          <w:szCs w:val="20"/>
        </w:rPr>
        <w:t>forest plot</w:t>
      </w:r>
      <w:r>
        <w:rPr>
          <w:sz w:val="20"/>
          <w:szCs w:val="20"/>
        </w:rPr>
        <w:t xml:space="preserve"> below</w:t>
      </w:r>
    </w:p>
    <w:p w14:paraId="3CFB26AC" w14:textId="77777777" w:rsidR="000B3BC3" w:rsidRPr="000B3BC3" w:rsidRDefault="000B3BC3" w:rsidP="00B31B50">
      <w:pPr>
        <w:spacing w:after="0" w:line="240" w:lineRule="auto"/>
        <w:rPr>
          <w:b/>
          <w:bCs/>
          <w:sz w:val="20"/>
          <w:szCs w:val="20"/>
        </w:rPr>
      </w:pPr>
      <w:r w:rsidRPr="000B3BC3">
        <w:rPr>
          <w:b/>
          <w:bCs/>
          <w:sz w:val="20"/>
          <w:szCs w:val="20"/>
        </w:rPr>
        <w:t>Spleen</w:t>
      </w:r>
    </w:p>
    <w:p w14:paraId="0A077884" w14:textId="77777777" w:rsidR="000B3BC3" w:rsidRPr="000B3BC3" w:rsidRDefault="000B3BC3" w:rsidP="00B31B50">
      <w:pPr>
        <w:numPr>
          <w:ilvl w:val="0"/>
          <w:numId w:val="1"/>
        </w:numPr>
        <w:spacing w:after="0" w:line="240" w:lineRule="auto"/>
        <w:rPr>
          <w:sz w:val="20"/>
          <w:szCs w:val="20"/>
        </w:rPr>
      </w:pPr>
      <w:r w:rsidRPr="000B3BC3">
        <w:rPr>
          <w:b/>
          <w:bCs/>
          <w:sz w:val="20"/>
          <w:szCs w:val="20"/>
        </w:rPr>
        <w:t>T3 and T4:</w:t>
      </w:r>
      <w:r w:rsidRPr="000B3BC3">
        <w:rPr>
          <w:sz w:val="20"/>
          <w:szCs w:val="20"/>
        </w:rPr>
        <w:t xml:space="preserve"> CIs entirely below 0</w:t>
      </w:r>
    </w:p>
    <w:p w14:paraId="5BA7263C" w14:textId="77777777" w:rsidR="000B3BC3" w:rsidRPr="000B3BC3" w:rsidRDefault="000B3BC3" w:rsidP="00B31B50">
      <w:pPr>
        <w:numPr>
          <w:ilvl w:val="0"/>
          <w:numId w:val="1"/>
        </w:numPr>
        <w:spacing w:after="0" w:line="240" w:lineRule="auto"/>
        <w:rPr>
          <w:sz w:val="20"/>
          <w:szCs w:val="20"/>
        </w:rPr>
      </w:pPr>
      <w:r w:rsidRPr="000B3BC3">
        <w:rPr>
          <w:b/>
          <w:bCs/>
          <w:sz w:val="20"/>
          <w:szCs w:val="20"/>
        </w:rPr>
        <w:t>T2:</w:t>
      </w:r>
      <w:r w:rsidRPr="000B3BC3">
        <w:rPr>
          <w:sz w:val="20"/>
          <w:szCs w:val="20"/>
        </w:rPr>
        <w:t xml:space="preserve"> CI overlaps 0</w:t>
      </w:r>
    </w:p>
    <w:p w14:paraId="3672B42C" w14:textId="77777777" w:rsidR="000B3BC3" w:rsidRPr="000B3BC3" w:rsidRDefault="000B3BC3" w:rsidP="00B31B50">
      <w:pPr>
        <w:spacing w:after="0" w:line="240" w:lineRule="auto"/>
        <w:rPr>
          <w:sz w:val="20"/>
          <w:szCs w:val="20"/>
        </w:rPr>
      </w:pPr>
      <w:r w:rsidRPr="000B3BC3">
        <w:rPr>
          <w:b/>
          <w:bCs/>
          <w:sz w:val="20"/>
          <w:szCs w:val="20"/>
        </w:rPr>
        <w:t>Interpretation</w:t>
      </w:r>
    </w:p>
    <w:p w14:paraId="6976D6CC" w14:textId="77777777" w:rsidR="000B3BC3" w:rsidRPr="000B3BC3" w:rsidRDefault="000B3BC3" w:rsidP="00B31B50">
      <w:pPr>
        <w:spacing w:after="0" w:line="240" w:lineRule="auto"/>
        <w:rPr>
          <w:sz w:val="20"/>
          <w:szCs w:val="20"/>
        </w:rPr>
      </w:pPr>
      <w:r w:rsidRPr="000B3BC3">
        <w:rPr>
          <w:sz w:val="20"/>
          <w:szCs w:val="20"/>
        </w:rPr>
        <w:t>Diets T3 and T4 are consistently associated with reduced spleen weight relative to T1.</w:t>
      </w:r>
    </w:p>
    <w:p w14:paraId="05148E9E" w14:textId="77BCFBE1" w:rsidR="000B3BC3" w:rsidRDefault="000B3BC3" w:rsidP="00B31B50">
      <w:pPr>
        <w:spacing w:after="0" w:line="240" w:lineRule="auto"/>
        <w:rPr>
          <w:sz w:val="20"/>
          <w:szCs w:val="20"/>
        </w:rPr>
      </w:pPr>
      <w:r w:rsidRPr="000B3BC3">
        <w:rPr>
          <w:sz w:val="20"/>
          <w:szCs w:val="20"/>
        </w:rPr>
        <w:t xml:space="preserve">This is one of the </w:t>
      </w:r>
      <w:r w:rsidRPr="000B3BC3">
        <w:rPr>
          <w:b/>
          <w:bCs/>
          <w:sz w:val="20"/>
          <w:szCs w:val="20"/>
        </w:rPr>
        <w:t>strongest signals</w:t>
      </w:r>
      <w:r w:rsidRPr="000B3BC3">
        <w:rPr>
          <w:sz w:val="20"/>
          <w:szCs w:val="20"/>
        </w:rPr>
        <w:t xml:space="preserve"> in the dataset</w:t>
      </w:r>
      <w:r>
        <w:rPr>
          <w:sz w:val="20"/>
          <w:szCs w:val="20"/>
        </w:rPr>
        <w:t xml:space="preserve"> (reduced spleen maybe related absence of inflammation)</w:t>
      </w:r>
      <w:r w:rsidRPr="000B3BC3">
        <w:rPr>
          <w:sz w:val="20"/>
          <w:szCs w:val="20"/>
        </w:rPr>
        <w:t>.</w:t>
      </w:r>
    </w:p>
    <w:p w14:paraId="3954CCE6" w14:textId="77777777" w:rsidR="00B31B50" w:rsidRDefault="00B31B50" w:rsidP="00B31B50">
      <w:pPr>
        <w:rPr>
          <w:b/>
          <w:bCs/>
          <w:sz w:val="20"/>
          <w:szCs w:val="20"/>
        </w:rPr>
      </w:pPr>
    </w:p>
    <w:p w14:paraId="32246F09" w14:textId="581F06CD" w:rsidR="00B31B50" w:rsidRPr="00B31B50" w:rsidRDefault="00B31B50" w:rsidP="00B31B50">
      <w:pPr>
        <w:rPr>
          <w:b/>
          <w:bCs/>
          <w:sz w:val="20"/>
          <w:szCs w:val="20"/>
        </w:rPr>
      </w:pPr>
      <w:r w:rsidRPr="00B31B50">
        <w:rPr>
          <w:b/>
          <w:bCs/>
          <w:sz w:val="20"/>
          <w:szCs w:val="20"/>
        </w:rPr>
        <w:t>Diet effects on internal organ weights</w:t>
      </w:r>
    </w:p>
    <w:p w14:paraId="685B396B" w14:textId="54783BEC" w:rsidR="00B31B50" w:rsidRPr="000B3BC3" w:rsidRDefault="00B31B50" w:rsidP="001E344A">
      <w:pPr>
        <w:rPr>
          <w:sz w:val="20"/>
          <w:szCs w:val="20"/>
        </w:rPr>
      </w:pPr>
      <w:r w:rsidRPr="00B31B50">
        <w:rPr>
          <w:i/>
          <w:iCs/>
          <w:sz w:val="20"/>
          <w:szCs w:val="20"/>
        </w:rPr>
        <w:t xml:space="preserve">Dietary effects on internal organ weights were evaluated relative to the control diet (T1) using an estimation-based approach with bootstrap-derived confidence intervals (Figure </w:t>
      </w:r>
      <w:r>
        <w:rPr>
          <w:i/>
          <w:iCs/>
          <w:sz w:val="20"/>
          <w:szCs w:val="20"/>
        </w:rPr>
        <w:t>below</w:t>
      </w:r>
      <w:r w:rsidRPr="00B31B50">
        <w:rPr>
          <w:i/>
          <w:iCs/>
          <w:sz w:val="20"/>
          <w:szCs w:val="20"/>
        </w:rPr>
        <w:t>). Pooling males and females to increase precision (n = 4 per diet), diet T2 was associated with a higher heart weight compared with T1, whereas heart-related effects of T3 and T4 were inconclusive. In contrast, spleen weight was consistently reduced in animals fed diets T3 and T4, with confidence intervals excluding zero. Lung weight was also lower under diet T4 relative to the control. No consistent diet-related effects were detected for liver, kidney, or intestinal weights, which exhibited substantial inter-individual variability and overlapping uncertainty intervals across diets.</w:t>
      </w:r>
    </w:p>
    <w:p w14:paraId="22711C45" w14:textId="71593C8B" w:rsidR="009D558A" w:rsidRDefault="000B3BC3" w:rsidP="00917C6D">
      <w:pPr>
        <w:rPr>
          <w:sz w:val="20"/>
          <w:szCs w:val="20"/>
        </w:rPr>
      </w:pPr>
      <w:r>
        <w:rPr>
          <w:noProof/>
          <w:sz w:val="20"/>
          <w:szCs w:val="20"/>
        </w:rPr>
        <w:drawing>
          <wp:inline distT="0" distB="0" distL="0" distR="0" wp14:anchorId="60C0CD1C" wp14:editId="73BA958A">
            <wp:extent cx="3149202" cy="1923324"/>
            <wp:effectExtent l="0" t="0" r="0" b="1270"/>
            <wp:docPr id="1907553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76354" cy="1939907"/>
                    </a:xfrm>
                    <a:prstGeom prst="rect">
                      <a:avLst/>
                    </a:prstGeom>
                    <a:noFill/>
                  </pic:spPr>
                </pic:pic>
              </a:graphicData>
            </a:graphic>
          </wp:inline>
        </w:drawing>
      </w:r>
    </w:p>
    <w:p w14:paraId="157F1653" w14:textId="064DF502" w:rsidR="00B31B50" w:rsidRPr="000B3BC3" w:rsidRDefault="00B31B50" w:rsidP="00917C6D">
      <w:pPr>
        <w:rPr>
          <w:sz w:val="20"/>
          <w:szCs w:val="20"/>
        </w:rPr>
      </w:pPr>
      <w:r w:rsidRPr="00B31B50">
        <w:rPr>
          <w:b/>
          <w:bCs/>
          <w:sz w:val="20"/>
          <w:szCs w:val="20"/>
        </w:rPr>
        <w:t>Figure. Diet effects on internal organ weights relative to the control (T1).</w:t>
      </w:r>
      <w:r w:rsidRPr="00B31B50">
        <w:rPr>
          <w:sz w:val="20"/>
          <w:szCs w:val="20"/>
        </w:rPr>
        <w:br/>
        <w:t>Points represent mean differences (Δ g) relative to T1; horizontal lines indicate bootstrap 95% confidence intervals (10,000 resamples). The vertical reference line denotes no difference from the control. Values to the right indicate heavier organs, whereas values to the left indicate lighter organs compared with T1.</w:t>
      </w:r>
    </w:p>
    <w:p w14:paraId="391123C7" w14:textId="77777777" w:rsidR="00B805A8" w:rsidRPr="000B3BC3" w:rsidRDefault="00B805A8">
      <w:pPr>
        <w:rPr>
          <w:sz w:val="20"/>
          <w:szCs w:val="20"/>
        </w:rPr>
      </w:pPr>
    </w:p>
    <w:sectPr w:rsidR="00B805A8" w:rsidRPr="000B3BC3"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7FF"/>
    <w:multiLevelType w:val="multilevel"/>
    <w:tmpl w:val="8B12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22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6D"/>
    <w:rsid w:val="000440A4"/>
    <w:rsid w:val="000B0EB6"/>
    <w:rsid w:val="000B3BC3"/>
    <w:rsid w:val="001365F8"/>
    <w:rsid w:val="001E344A"/>
    <w:rsid w:val="003C23E5"/>
    <w:rsid w:val="003F6A0E"/>
    <w:rsid w:val="00482113"/>
    <w:rsid w:val="00917C6D"/>
    <w:rsid w:val="00945071"/>
    <w:rsid w:val="009D558A"/>
    <w:rsid w:val="00AC2152"/>
    <w:rsid w:val="00B31B50"/>
    <w:rsid w:val="00B4521C"/>
    <w:rsid w:val="00B805A8"/>
    <w:rsid w:val="00B90866"/>
    <w:rsid w:val="00BC0526"/>
    <w:rsid w:val="00C25DAD"/>
    <w:rsid w:val="00D65E1A"/>
    <w:rsid w:val="00EC49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FC1C0"/>
  <w15:chartTrackingRefBased/>
  <w15:docId w15:val="{D1C34A16-31E9-4ECB-AB5B-B35397D5E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917C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C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C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C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C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C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C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C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C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C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6D"/>
    <w:rPr>
      <w:rFonts w:eastAsiaTheme="majorEastAsia" w:cstheme="majorBidi"/>
      <w:color w:val="272727" w:themeColor="text1" w:themeTint="D8"/>
    </w:rPr>
  </w:style>
  <w:style w:type="paragraph" w:styleId="Title">
    <w:name w:val="Title"/>
    <w:basedOn w:val="Normal"/>
    <w:next w:val="Normal"/>
    <w:link w:val="TitleChar"/>
    <w:uiPriority w:val="10"/>
    <w:qFormat/>
    <w:rsid w:val="00917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6D"/>
    <w:pPr>
      <w:spacing w:before="160"/>
      <w:jc w:val="center"/>
    </w:pPr>
    <w:rPr>
      <w:i/>
      <w:iCs/>
      <w:color w:val="404040" w:themeColor="text1" w:themeTint="BF"/>
    </w:rPr>
  </w:style>
  <w:style w:type="character" w:customStyle="1" w:styleId="QuoteChar">
    <w:name w:val="Quote Char"/>
    <w:basedOn w:val="DefaultParagraphFont"/>
    <w:link w:val="Quote"/>
    <w:uiPriority w:val="29"/>
    <w:rsid w:val="00917C6D"/>
    <w:rPr>
      <w:i/>
      <w:iCs/>
      <w:color w:val="404040" w:themeColor="text1" w:themeTint="BF"/>
    </w:rPr>
  </w:style>
  <w:style w:type="paragraph" w:styleId="ListParagraph">
    <w:name w:val="List Paragraph"/>
    <w:basedOn w:val="Normal"/>
    <w:uiPriority w:val="34"/>
    <w:qFormat/>
    <w:rsid w:val="00917C6D"/>
    <w:pPr>
      <w:ind w:left="720"/>
      <w:contextualSpacing/>
    </w:pPr>
  </w:style>
  <w:style w:type="character" w:styleId="IntenseEmphasis">
    <w:name w:val="Intense Emphasis"/>
    <w:basedOn w:val="DefaultParagraphFont"/>
    <w:uiPriority w:val="21"/>
    <w:qFormat/>
    <w:rsid w:val="00917C6D"/>
    <w:rPr>
      <w:i/>
      <w:iCs/>
      <w:color w:val="2F5496" w:themeColor="accent1" w:themeShade="BF"/>
    </w:rPr>
  </w:style>
  <w:style w:type="paragraph" w:styleId="IntenseQuote">
    <w:name w:val="Intense Quote"/>
    <w:basedOn w:val="Normal"/>
    <w:next w:val="Normal"/>
    <w:link w:val="IntenseQuoteChar"/>
    <w:uiPriority w:val="30"/>
    <w:qFormat/>
    <w:rsid w:val="00917C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C6D"/>
    <w:rPr>
      <w:i/>
      <w:iCs/>
      <w:color w:val="2F5496" w:themeColor="accent1" w:themeShade="BF"/>
    </w:rPr>
  </w:style>
  <w:style w:type="character" w:styleId="IntenseReference">
    <w:name w:val="Intense Reference"/>
    <w:basedOn w:val="DefaultParagraphFont"/>
    <w:uiPriority w:val="32"/>
    <w:qFormat/>
    <w:rsid w:val="00917C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2</Pages>
  <Words>609</Words>
  <Characters>3474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6</cp:revision>
  <dcterms:created xsi:type="dcterms:W3CDTF">2025-12-23T16:08:00Z</dcterms:created>
  <dcterms:modified xsi:type="dcterms:W3CDTF">2025-12-23T19:40:00Z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1ab0f69a-670d-49df-a9f3-c06417b5593f</vt:lpwstr>
  </property>
</Properties>
</file>